
<file path=[Content_Types].xml><?xml version="1.0" encoding="utf-8"?>
<Types xmlns="http://schemas.openxmlformats.org/package/2006/content-types">
  <Default Extension="xlsx" ContentType="application/vnd.openxmlformats-officedocument.spreadsheetml.sheet"/>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仿宋_GB2312" w:eastAsia="仿宋_GB2312"/>
          <w:b/>
          <w:sz w:val="32"/>
          <w:szCs w:val="32"/>
        </w:rPr>
      </w:pPr>
    </w:p>
    <w:p>
      <w:pPr>
        <w:jc w:val="center"/>
        <w:rPr>
          <w:rFonts w:ascii="黑体" w:eastAsia="黑体"/>
          <w:sz w:val="72"/>
          <w:szCs w:val="72"/>
        </w:rPr>
      </w:pPr>
    </w:p>
    <w:p>
      <w:pPr>
        <w:jc w:val="center"/>
        <w:rPr>
          <w:rFonts w:ascii="黑体" w:eastAsia="黑体"/>
          <w:sz w:val="72"/>
          <w:szCs w:val="72"/>
        </w:rPr>
      </w:pPr>
    </w:p>
    <w:p>
      <w:pPr>
        <w:jc w:val="center"/>
        <w:rPr>
          <w:rFonts w:ascii="黑体" w:eastAsia="黑体"/>
          <w:sz w:val="72"/>
          <w:szCs w:val="72"/>
        </w:rPr>
      </w:pPr>
    </w:p>
    <w:p>
      <w:pPr>
        <w:jc w:val="center"/>
        <w:rPr>
          <w:rFonts w:ascii="黑体" w:eastAsia="黑体"/>
          <w:sz w:val="72"/>
          <w:szCs w:val="72"/>
        </w:rPr>
      </w:pPr>
    </w:p>
    <w:p>
      <w:pPr>
        <w:jc w:val="center"/>
        <w:rPr>
          <w:rFonts w:ascii="黑体" w:eastAsia="黑体"/>
          <w:sz w:val="72"/>
          <w:szCs w:val="72"/>
        </w:rPr>
      </w:pPr>
      <w:r>
        <w:rPr>
          <w:rFonts w:hint="eastAsia" w:ascii="黑体" w:eastAsia="黑体"/>
          <w:sz w:val="72"/>
          <w:szCs w:val="72"/>
        </w:rPr>
        <w:t>2025年度部门决算（公开</w:t>
      </w:r>
      <w:r>
        <w:rPr>
          <w:rFonts w:ascii="黑体" w:eastAsia="黑体"/>
          <w:sz w:val="72"/>
          <w:szCs w:val="72"/>
        </w:rPr>
        <w:t>）</w:t>
      </w:r>
    </w:p>
    <w:p>
      <w:pPr>
        <w:jc w:val="center"/>
        <w:rPr>
          <w:rFonts w:ascii="黑体" w:eastAsia="黑体"/>
          <w:sz w:val="52"/>
          <w:szCs w:val="52"/>
        </w:rPr>
      </w:pPr>
    </w:p>
    <w:p>
      <w:pPr>
        <w:jc w:val="center"/>
        <w:rPr>
          <w:rFonts w:ascii="黑体" w:eastAsia="黑体"/>
          <w:sz w:val="52"/>
          <w:szCs w:val="52"/>
        </w:rPr>
      </w:pPr>
    </w:p>
    <w:p>
      <w:pPr>
        <w:jc w:val="center"/>
        <w:rPr>
          <w:rFonts w:ascii="黑体" w:eastAsia="黑体"/>
          <w:sz w:val="52"/>
          <w:szCs w:val="52"/>
        </w:rPr>
      </w:pPr>
    </w:p>
    <w:p>
      <w:pPr>
        <w:jc w:val="center"/>
        <w:rPr>
          <w:rFonts w:ascii="黑体" w:eastAsia="黑体"/>
          <w:sz w:val="52"/>
          <w:szCs w:val="52"/>
        </w:rPr>
      </w:pPr>
    </w:p>
    <w:p>
      <w:pPr>
        <w:jc w:val="center"/>
        <w:rPr>
          <w:rFonts w:ascii="黑体" w:eastAsia="黑体"/>
          <w:sz w:val="32"/>
          <w:szCs w:val="32"/>
        </w:rPr>
      </w:pPr>
    </w:p>
    <w:p>
      <w:pPr>
        <w:spacing w:line="500" w:lineRule="exact"/>
        <w:ind w:firstLine="645"/>
        <w:jc w:val="center"/>
        <w:rPr>
          <w:rFonts w:ascii="宋体" w:hAnsi="宋体" w:cs="宋体"/>
          <w:b/>
          <w:bCs/>
          <w:kern w:val="0"/>
          <w:sz w:val="44"/>
          <w:szCs w:val="36"/>
        </w:rPr>
      </w:pPr>
      <w:r>
        <w:rPr>
          <w:rFonts w:hint="eastAsia" w:ascii="宋体" w:hAnsi="宋体" w:cs="宋体"/>
          <w:b/>
          <w:bCs/>
          <w:kern w:val="0"/>
          <w:sz w:val="44"/>
          <w:szCs w:val="36"/>
        </w:rPr>
        <w:t>目    录</w:t>
      </w:r>
    </w:p>
    <w:p>
      <w:pPr>
        <w:spacing w:line="500" w:lineRule="exact"/>
        <w:ind w:firstLine="645"/>
        <w:jc w:val="center"/>
        <w:rPr>
          <w:rFonts w:ascii="宋体" w:hAnsi="宋体" w:cs="宋体"/>
          <w:b/>
          <w:bCs/>
          <w:kern w:val="0"/>
          <w:sz w:val="36"/>
          <w:szCs w:val="36"/>
        </w:rPr>
      </w:pPr>
    </w:p>
    <w:p>
      <w:pPr>
        <w:tabs>
          <w:tab w:val="center" w:pos="6979"/>
        </w:tabs>
        <w:spacing w:line="500" w:lineRule="exact"/>
        <w:ind w:firstLine="1600" w:firstLineChars="400"/>
        <w:jc w:val="left"/>
        <w:rPr>
          <w:rFonts w:ascii="宋体" w:hAnsi="宋体" w:cs="宋体"/>
          <w:bCs/>
          <w:spacing w:val="40"/>
          <w:kern w:val="0"/>
          <w:sz w:val="32"/>
          <w:szCs w:val="32"/>
        </w:rPr>
      </w:pPr>
      <w:r>
        <w:rPr>
          <w:rFonts w:hint="eastAsia" w:ascii="宋体" w:hAnsi="宋体" w:cs="宋体"/>
          <w:bCs/>
          <w:spacing w:val="40"/>
          <w:kern w:val="0"/>
          <w:sz w:val="32"/>
          <w:szCs w:val="32"/>
        </w:rPr>
        <w:t>第一部分 2025年度部门决算报表</w:t>
      </w:r>
    </w:p>
    <w:p>
      <w:pPr>
        <w:tabs>
          <w:tab w:val="center" w:pos="6979"/>
        </w:tabs>
        <w:spacing w:line="500" w:lineRule="exact"/>
        <w:ind w:firstLine="2400" w:firstLineChars="600"/>
        <w:jc w:val="left"/>
        <w:rPr>
          <w:rFonts w:ascii="仿宋_GB2312" w:hAnsi="仿宋" w:eastAsia="仿宋_GB2312"/>
          <w:spacing w:val="40"/>
          <w:sz w:val="32"/>
          <w:szCs w:val="32"/>
        </w:rPr>
      </w:pPr>
      <w:r>
        <w:rPr>
          <w:rFonts w:hint="eastAsia" w:ascii="仿宋_GB2312" w:hAnsi="仿宋" w:eastAsia="仿宋_GB2312" w:cs="宋体"/>
          <w:bCs/>
          <w:spacing w:val="40"/>
          <w:kern w:val="0"/>
          <w:sz w:val="32"/>
          <w:szCs w:val="32"/>
        </w:rPr>
        <w:t>一、收入支出决算总表</w:t>
      </w:r>
    </w:p>
    <w:p>
      <w:pPr>
        <w:tabs>
          <w:tab w:val="center" w:pos="6979"/>
        </w:tabs>
        <w:spacing w:line="500" w:lineRule="exact"/>
        <w:ind w:firstLine="2400" w:firstLineChars="600"/>
        <w:jc w:val="left"/>
        <w:rPr>
          <w:rFonts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rPr>
        <w:t>二、收入决算表</w:t>
      </w:r>
    </w:p>
    <w:p>
      <w:pPr>
        <w:tabs>
          <w:tab w:val="center" w:pos="6979"/>
        </w:tabs>
        <w:spacing w:line="500" w:lineRule="exact"/>
        <w:ind w:firstLine="2400" w:firstLineChars="600"/>
        <w:jc w:val="left"/>
        <w:rPr>
          <w:rFonts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rPr>
        <w:t>三、支出决算表</w:t>
      </w:r>
    </w:p>
    <w:p>
      <w:pPr>
        <w:tabs>
          <w:tab w:val="center" w:pos="6979"/>
        </w:tabs>
        <w:spacing w:line="500" w:lineRule="exact"/>
        <w:ind w:firstLine="2400" w:firstLineChars="600"/>
        <w:jc w:val="left"/>
        <w:rPr>
          <w:rFonts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rPr>
        <w:t>四、财政拨款收入支出决算总表</w:t>
      </w:r>
    </w:p>
    <w:p>
      <w:pPr>
        <w:tabs>
          <w:tab w:val="center" w:pos="6979"/>
        </w:tabs>
        <w:spacing w:line="500" w:lineRule="exact"/>
        <w:ind w:firstLine="2400" w:firstLineChars="600"/>
        <w:jc w:val="left"/>
        <w:rPr>
          <w:rFonts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rPr>
        <w:t>五、一般公共预算财政拨款支出决算表</w:t>
      </w:r>
    </w:p>
    <w:p>
      <w:pPr>
        <w:tabs>
          <w:tab w:val="center" w:pos="6979"/>
        </w:tabs>
        <w:spacing w:line="500" w:lineRule="exact"/>
        <w:ind w:firstLine="2400" w:firstLineChars="600"/>
        <w:jc w:val="left"/>
        <w:rPr>
          <w:rFonts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rPr>
        <w:t>六、一般公共预算财政拨款</w:t>
      </w:r>
      <w:r>
        <w:rPr>
          <w:rFonts w:ascii="仿宋_GB2312" w:hAnsi="仿宋" w:eastAsia="仿宋_GB2312" w:cs="宋体"/>
          <w:bCs/>
          <w:spacing w:val="40"/>
          <w:kern w:val="0"/>
          <w:sz w:val="32"/>
          <w:szCs w:val="32"/>
        </w:rPr>
        <w:t>基本支出决算表</w:t>
      </w:r>
    </w:p>
    <w:p>
      <w:pPr>
        <w:tabs>
          <w:tab w:val="center" w:pos="6979"/>
        </w:tabs>
        <w:spacing w:line="500" w:lineRule="exact"/>
        <w:ind w:firstLine="2400" w:firstLineChars="600"/>
        <w:jc w:val="left"/>
        <w:rPr>
          <w:rFonts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rPr>
        <w:t>七</w:t>
      </w:r>
      <w:r>
        <w:rPr>
          <w:rFonts w:ascii="仿宋_GB2312" w:hAnsi="仿宋" w:eastAsia="仿宋_GB2312" w:cs="宋体"/>
          <w:bCs/>
          <w:spacing w:val="40"/>
          <w:kern w:val="0"/>
          <w:sz w:val="32"/>
          <w:szCs w:val="32"/>
        </w:rPr>
        <w:t>、</w:t>
      </w:r>
      <w:r>
        <w:rPr>
          <w:rFonts w:hint="eastAsia" w:ascii="仿宋_GB2312" w:hAnsi="仿宋" w:eastAsia="仿宋_GB2312" w:cs="宋体"/>
          <w:bCs/>
          <w:spacing w:val="40"/>
          <w:kern w:val="0"/>
          <w:sz w:val="32"/>
          <w:szCs w:val="32"/>
        </w:rPr>
        <w:t>政府性基金预算财政拨款收入支出决算表</w:t>
      </w:r>
    </w:p>
    <w:p>
      <w:pPr>
        <w:tabs>
          <w:tab w:val="center" w:pos="6979"/>
        </w:tabs>
        <w:spacing w:line="500" w:lineRule="exact"/>
        <w:ind w:firstLine="2400" w:firstLineChars="600"/>
        <w:jc w:val="left"/>
        <w:rPr>
          <w:rFonts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rPr>
        <w:t>八、</w:t>
      </w:r>
      <w:r>
        <w:rPr>
          <w:rFonts w:ascii="仿宋_GB2312" w:hAnsi="仿宋" w:eastAsia="仿宋_GB2312" w:cs="宋体"/>
          <w:bCs/>
          <w:spacing w:val="40"/>
          <w:kern w:val="0"/>
          <w:sz w:val="32"/>
          <w:szCs w:val="32"/>
        </w:rPr>
        <w:t>政府性基金</w:t>
      </w:r>
      <w:r>
        <w:rPr>
          <w:rFonts w:hint="eastAsia" w:ascii="仿宋_GB2312" w:hAnsi="仿宋" w:eastAsia="仿宋_GB2312" w:cs="宋体"/>
          <w:bCs/>
          <w:spacing w:val="40"/>
          <w:kern w:val="0"/>
          <w:sz w:val="32"/>
          <w:szCs w:val="32"/>
        </w:rPr>
        <w:t>预算</w:t>
      </w:r>
      <w:r>
        <w:rPr>
          <w:rFonts w:ascii="仿宋_GB2312" w:hAnsi="仿宋" w:eastAsia="仿宋_GB2312" w:cs="宋体"/>
          <w:bCs/>
          <w:spacing w:val="40"/>
          <w:kern w:val="0"/>
          <w:sz w:val="32"/>
          <w:szCs w:val="32"/>
        </w:rPr>
        <w:t>财政拨款基本支出决算表</w:t>
      </w:r>
    </w:p>
    <w:p>
      <w:pPr>
        <w:tabs>
          <w:tab w:val="center" w:pos="6979"/>
        </w:tabs>
        <w:spacing w:line="500" w:lineRule="exact"/>
        <w:ind w:firstLine="2400" w:firstLineChars="600"/>
        <w:jc w:val="left"/>
        <w:rPr>
          <w:rFonts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rPr>
        <w:t>九、国有资本经营预算财政拨款支出决算表</w:t>
      </w:r>
    </w:p>
    <w:p>
      <w:pPr>
        <w:tabs>
          <w:tab w:val="center" w:pos="6979"/>
        </w:tabs>
        <w:spacing w:line="500" w:lineRule="exact"/>
        <w:ind w:firstLine="2400" w:firstLineChars="600"/>
        <w:jc w:val="left"/>
        <w:rPr>
          <w:rFonts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rPr>
        <w:t>十、财政拨款“三公”经费支出决算表</w:t>
      </w:r>
    </w:p>
    <w:p>
      <w:pPr>
        <w:tabs>
          <w:tab w:val="center" w:pos="6979"/>
        </w:tabs>
        <w:spacing w:line="500" w:lineRule="exact"/>
        <w:ind w:firstLine="2400" w:firstLineChars="600"/>
        <w:jc w:val="left"/>
        <w:rPr>
          <w:rFonts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rPr>
        <w:t>十一、政府采购情况表</w:t>
      </w:r>
    </w:p>
    <w:p>
      <w:pPr>
        <w:tabs>
          <w:tab w:val="center" w:pos="6979"/>
        </w:tabs>
        <w:spacing w:line="500" w:lineRule="exact"/>
        <w:ind w:firstLine="1600" w:firstLineChars="400"/>
        <w:jc w:val="left"/>
        <w:rPr>
          <w:rFonts w:ascii="宋体" w:hAnsi="宋体" w:cs="宋体"/>
          <w:bCs/>
          <w:spacing w:val="40"/>
          <w:kern w:val="0"/>
          <w:sz w:val="32"/>
          <w:szCs w:val="32"/>
        </w:rPr>
      </w:pPr>
      <w:r>
        <w:rPr>
          <w:rFonts w:hint="eastAsia" w:ascii="宋体" w:hAnsi="宋体" w:cs="宋体"/>
          <w:bCs/>
          <w:spacing w:val="40"/>
          <w:kern w:val="0"/>
          <w:sz w:val="32"/>
          <w:szCs w:val="32"/>
        </w:rPr>
        <w:t xml:space="preserve">第二部分 </w:t>
      </w:r>
      <w:r>
        <w:rPr>
          <w:rFonts w:hint="eastAsia" w:ascii="宋体" w:hAnsi="宋体"/>
          <w:spacing w:val="40"/>
          <w:sz w:val="32"/>
          <w:szCs w:val="32"/>
        </w:rPr>
        <w:t>2025年度部门决算说明</w:t>
      </w:r>
    </w:p>
    <w:p>
      <w:pPr>
        <w:tabs>
          <w:tab w:val="center" w:pos="6979"/>
        </w:tabs>
        <w:spacing w:line="500" w:lineRule="exact"/>
        <w:ind w:firstLine="1600" w:firstLineChars="400"/>
        <w:jc w:val="left"/>
        <w:rPr>
          <w:rFonts w:ascii="宋体" w:hAnsi="宋体" w:cs="宋体"/>
          <w:spacing w:val="40"/>
          <w:kern w:val="0"/>
          <w:sz w:val="32"/>
          <w:szCs w:val="32"/>
        </w:rPr>
      </w:pPr>
      <w:r>
        <w:rPr>
          <w:rFonts w:hint="eastAsia" w:ascii="宋体" w:hAnsi="宋体" w:cs="宋体"/>
          <w:bCs/>
          <w:spacing w:val="40"/>
          <w:kern w:val="0"/>
          <w:sz w:val="32"/>
          <w:szCs w:val="32"/>
        </w:rPr>
        <w:t xml:space="preserve">第三部分 </w:t>
      </w:r>
      <w:r>
        <w:rPr>
          <w:rFonts w:hint="eastAsia" w:ascii="宋体" w:hAnsi="宋体"/>
          <w:spacing w:val="40"/>
          <w:sz w:val="32"/>
          <w:szCs w:val="32"/>
        </w:rPr>
        <w:t>2025年度</w:t>
      </w:r>
      <w:r>
        <w:rPr>
          <w:rFonts w:hint="eastAsia" w:ascii="宋体" w:hAnsi="宋体" w:cs="宋体"/>
          <w:spacing w:val="40"/>
          <w:kern w:val="0"/>
          <w:sz w:val="32"/>
          <w:szCs w:val="32"/>
        </w:rPr>
        <w:t>其他重要事项的情况说明</w:t>
      </w:r>
    </w:p>
    <w:p>
      <w:pPr>
        <w:tabs>
          <w:tab w:val="center" w:pos="6979"/>
        </w:tabs>
        <w:spacing w:line="500" w:lineRule="exact"/>
        <w:ind w:firstLine="1600" w:firstLineChars="400"/>
        <w:jc w:val="left"/>
        <w:rPr>
          <w:rFonts w:ascii="宋体" w:hAnsi="宋体" w:cs="宋体"/>
          <w:spacing w:val="40"/>
          <w:kern w:val="0"/>
          <w:sz w:val="36"/>
          <w:szCs w:val="32"/>
        </w:rPr>
      </w:pPr>
      <w:r>
        <w:rPr>
          <w:rFonts w:hint="eastAsia" w:ascii="宋体" w:hAnsi="宋体" w:cs="宋体"/>
          <w:spacing w:val="40"/>
          <w:kern w:val="0"/>
          <w:sz w:val="32"/>
          <w:szCs w:val="32"/>
        </w:rPr>
        <w:t>第四部分 2025年度部门绩效评价情况</w:t>
      </w:r>
    </w:p>
    <w:p>
      <w:pPr>
        <w:tabs>
          <w:tab w:val="center" w:pos="6979"/>
        </w:tabs>
        <w:spacing w:before="156" w:beforeLines="50" w:after="156" w:afterLines="50"/>
        <w:jc w:val="center"/>
        <w:rPr>
          <w:rFonts w:ascii="宋体" w:hAnsi="宋体" w:cs="宋体"/>
          <w:b/>
          <w:bCs/>
          <w:spacing w:val="40"/>
          <w:kern w:val="0"/>
          <w:sz w:val="32"/>
          <w:szCs w:val="32"/>
        </w:rPr>
      </w:pPr>
    </w:p>
    <w:p>
      <w:pPr>
        <w:tabs>
          <w:tab w:val="center" w:pos="6979"/>
        </w:tabs>
        <w:spacing w:before="156" w:beforeLines="50" w:after="156" w:afterLines="50"/>
        <w:jc w:val="center"/>
        <w:rPr>
          <w:rFonts w:ascii="宋体" w:hAnsi="宋体" w:cs="宋体"/>
          <w:b/>
          <w:bCs/>
          <w:spacing w:val="40"/>
          <w:kern w:val="0"/>
          <w:sz w:val="32"/>
          <w:szCs w:val="32"/>
        </w:rPr>
      </w:pPr>
    </w:p>
    <w:p>
      <w:pPr>
        <w:tabs>
          <w:tab w:val="center" w:pos="6979"/>
        </w:tabs>
        <w:spacing w:before="156" w:beforeLines="50" w:after="156" w:afterLines="50"/>
        <w:jc w:val="center"/>
        <w:rPr>
          <w:rFonts w:ascii="宋体" w:hAnsi="宋体" w:cs="宋体"/>
          <w:b/>
          <w:bCs/>
          <w:spacing w:val="40"/>
          <w:kern w:val="0"/>
          <w:sz w:val="32"/>
          <w:szCs w:val="32"/>
        </w:rPr>
      </w:pPr>
    </w:p>
    <w:p>
      <w:pPr>
        <w:tabs>
          <w:tab w:val="center" w:pos="6979"/>
        </w:tabs>
        <w:spacing w:before="156" w:beforeLines="50" w:after="156" w:afterLines="50"/>
        <w:jc w:val="center"/>
        <w:rPr>
          <w:rFonts w:ascii="宋体" w:hAnsi="宋体" w:cs="宋体"/>
          <w:b/>
          <w:bCs/>
          <w:spacing w:val="40"/>
          <w:kern w:val="0"/>
          <w:sz w:val="32"/>
          <w:szCs w:val="32"/>
        </w:rPr>
      </w:pPr>
    </w:p>
    <w:p>
      <w:pPr>
        <w:tabs>
          <w:tab w:val="center" w:pos="6979"/>
        </w:tabs>
        <w:spacing w:before="156" w:beforeLines="50" w:after="156" w:afterLines="50"/>
        <w:jc w:val="center"/>
        <w:rPr>
          <w:rFonts w:ascii="宋体" w:hAnsi="宋体" w:cs="宋体"/>
          <w:b/>
          <w:bCs/>
          <w:spacing w:val="40"/>
          <w:kern w:val="0"/>
          <w:sz w:val="32"/>
          <w:szCs w:val="32"/>
        </w:rPr>
      </w:pPr>
    </w:p>
    <w:p>
      <w:pPr>
        <w:tabs>
          <w:tab w:val="center" w:pos="6979"/>
        </w:tabs>
        <w:spacing w:before="156" w:beforeLines="50" w:after="156" w:afterLines="50"/>
        <w:jc w:val="center"/>
        <w:rPr>
          <w:rFonts w:ascii="宋体" w:hAnsi="宋体" w:cs="宋体"/>
          <w:b/>
          <w:bCs/>
          <w:spacing w:val="40"/>
          <w:kern w:val="0"/>
          <w:sz w:val="32"/>
          <w:szCs w:val="32"/>
        </w:rPr>
      </w:pPr>
      <w:r>
        <w:rPr>
          <w:rFonts w:hint="eastAsia" w:ascii="宋体" w:hAnsi="宋体" w:cs="宋体"/>
          <w:b/>
          <w:bCs/>
          <w:spacing w:val="40"/>
          <w:kern w:val="0"/>
          <w:sz w:val="44"/>
          <w:szCs w:val="44"/>
        </w:rPr>
        <w:t>第一部分 2025年度部门决算报表</w:t>
      </w:r>
    </w:p>
    <w:p>
      <w:pPr>
        <w:pStyle w:val="2"/>
        <w:rPr>
          <w:b w:val="0"/>
          <w:bCs w:val="0"/>
        </w:rPr>
        <w:sectPr>
          <w:footerReference r:id="rId3" w:type="default"/>
          <w:pgSz w:w="16838" w:h="11906" w:orient="landscape"/>
          <w:pgMar w:top="1134" w:right="1134" w:bottom="1134" w:left="1134" w:header="851" w:footer="992" w:gutter="0"/>
          <w:cols w:space="720" w:num="1"/>
          <w:docGrid w:type="linesAndChars" w:linePitch="312" w:charSpace="0"/>
        </w:sectPr>
      </w:pPr>
      <w:r>
        <w:rPr>
          <w:rFonts w:hint="eastAsia" w:ascii="仿宋_GB2312" w:eastAsia="仿宋_GB2312"/>
          <w:sz w:val="28"/>
          <w:szCs w:val="28"/>
        </w:rPr>
        <w:t xml:space="preserve">   </w:t>
      </w:r>
      <w:r>
        <w:rPr>
          <w:rFonts w:hint="eastAsia" w:ascii="仿宋_GB2312" w:eastAsia="仿宋_GB2312"/>
          <w:b w:val="0"/>
          <w:bCs w:val="0"/>
          <w:sz w:val="28"/>
          <w:szCs w:val="28"/>
        </w:rPr>
        <w:t>报表详见附件。</w:t>
      </w:r>
    </w:p>
    <w:p>
      <w:pPr>
        <w:tabs>
          <w:tab w:val="center" w:pos="6979"/>
        </w:tabs>
        <w:spacing w:before="156" w:beforeLines="50" w:after="156" w:afterLines="50"/>
        <w:jc w:val="center"/>
        <w:rPr>
          <w:rFonts w:ascii="宋体" w:hAnsi="宋体"/>
          <w:b/>
          <w:sz w:val="32"/>
          <w:szCs w:val="32"/>
        </w:rPr>
      </w:pPr>
      <w:r>
        <w:rPr>
          <w:rFonts w:hint="eastAsia" w:ascii="宋体" w:hAnsi="宋体" w:cs="宋体"/>
          <w:b/>
          <w:bCs/>
          <w:spacing w:val="40"/>
          <w:kern w:val="0"/>
          <w:sz w:val="32"/>
          <w:szCs w:val="32"/>
        </w:rPr>
        <w:t xml:space="preserve">第二部分 </w:t>
      </w:r>
      <w:r>
        <w:rPr>
          <w:rFonts w:hint="eastAsia" w:ascii="宋体" w:hAnsi="宋体"/>
          <w:b/>
          <w:spacing w:val="40"/>
          <w:sz w:val="32"/>
          <w:szCs w:val="32"/>
        </w:rPr>
        <w:t>2025年度部门决算说明</w:t>
      </w:r>
    </w:p>
    <w:p>
      <w:pPr>
        <w:tabs>
          <w:tab w:val="center" w:pos="6979"/>
        </w:tabs>
        <w:spacing w:line="580" w:lineRule="exact"/>
        <w:ind w:firstLine="548" w:firstLineChars="196"/>
        <w:rPr>
          <w:rFonts w:ascii="黑体" w:eastAsia="黑体"/>
          <w:b/>
          <w:sz w:val="28"/>
          <w:szCs w:val="28"/>
        </w:rPr>
      </w:pPr>
      <w:r>
        <w:rPr>
          <w:rFonts w:hint="eastAsia" w:ascii="黑体" w:eastAsia="黑体"/>
          <w:b/>
          <w:sz w:val="28"/>
          <w:szCs w:val="28"/>
        </w:rPr>
        <w:t>一、部门/单位基本情况</w:t>
      </w:r>
      <w:r>
        <w:rPr>
          <w:rFonts w:hint="eastAsia" w:ascii="仿宋_GB2312" w:eastAsia="仿宋_GB2312"/>
          <w:sz w:val="28"/>
          <w:szCs w:val="28"/>
        </w:rPr>
        <w:t>（比照</w:t>
      </w:r>
      <w:r>
        <w:rPr>
          <w:rFonts w:ascii="仿宋_GB2312" w:eastAsia="仿宋_GB2312"/>
          <w:sz w:val="28"/>
          <w:szCs w:val="28"/>
        </w:rPr>
        <w:t>预算公开</w:t>
      </w:r>
      <w:r>
        <w:rPr>
          <w:rFonts w:hint="eastAsia" w:ascii="仿宋_GB2312" w:eastAsia="仿宋_GB2312"/>
          <w:sz w:val="28"/>
          <w:szCs w:val="28"/>
        </w:rPr>
        <w:t>的内容</w:t>
      </w:r>
      <w:r>
        <w:rPr>
          <w:rFonts w:ascii="仿宋_GB2312" w:eastAsia="仿宋_GB2312"/>
          <w:sz w:val="28"/>
          <w:szCs w:val="28"/>
        </w:rPr>
        <w:t>格式）</w:t>
      </w:r>
    </w:p>
    <w:p>
      <w:pPr>
        <w:tabs>
          <w:tab w:val="center" w:pos="6979"/>
        </w:tabs>
        <w:spacing w:line="580" w:lineRule="exact"/>
        <w:ind w:firstLine="700" w:firstLineChars="250"/>
        <w:rPr>
          <w:rFonts w:hint="eastAsia" w:ascii="仿宋_GB2312" w:eastAsia="仿宋_GB2312"/>
          <w:sz w:val="28"/>
          <w:szCs w:val="28"/>
        </w:rPr>
      </w:pPr>
      <w:r>
        <w:rPr>
          <w:rFonts w:hint="eastAsia" w:ascii="仿宋_GB2312" w:eastAsia="仿宋_GB2312"/>
          <w:sz w:val="28"/>
          <w:szCs w:val="28"/>
        </w:rPr>
        <w:t>（一</w:t>
      </w:r>
      <w:r>
        <w:rPr>
          <w:rFonts w:ascii="仿宋_GB2312" w:eastAsia="仿宋_GB2312"/>
          <w:sz w:val="28"/>
          <w:szCs w:val="28"/>
        </w:rPr>
        <w:t>）</w:t>
      </w:r>
      <w:r>
        <w:rPr>
          <w:rFonts w:hint="eastAsia" w:ascii="仿宋_GB2312" w:eastAsia="仿宋_GB2312"/>
          <w:sz w:val="28"/>
          <w:szCs w:val="28"/>
        </w:rPr>
        <w:t>本部门职责情况</w:t>
      </w:r>
    </w:p>
    <w:p>
      <w:pPr>
        <w:widowControl/>
        <w:spacing w:line="560" w:lineRule="exact"/>
        <w:ind w:firstLine="640" w:firstLineChars="200"/>
        <w:rPr>
          <w:rFonts w:hint="eastAsia" w:ascii="仿宋_GB2312" w:hAnsi="宋体" w:eastAsia="仿宋_GB2312" w:cs="宋体"/>
          <w:kern w:val="0"/>
          <w:sz w:val="32"/>
          <w:szCs w:val="32"/>
          <w:lang w:eastAsia="zh-CN"/>
        </w:rPr>
      </w:pPr>
      <w:r>
        <w:rPr>
          <w:rFonts w:hint="eastAsia" w:ascii="仿宋_GB2312" w:hAnsi="宋体" w:eastAsia="仿宋_GB2312" w:cs="宋体"/>
          <w:kern w:val="0"/>
          <w:sz w:val="32"/>
          <w:szCs w:val="32"/>
          <w:lang w:val="en-US" w:eastAsia="zh-CN"/>
        </w:rPr>
        <w:t>1.</w:t>
      </w:r>
      <w:r>
        <w:rPr>
          <w:rFonts w:hint="eastAsia" w:ascii="仿宋_GB2312" w:hAnsi="宋体" w:eastAsia="仿宋_GB2312" w:cs="宋体"/>
          <w:kern w:val="0"/>
          <w:sz w:val="32"/>
          <w:szCs w:val="32"/>
          <w:lang w:eastAsia="zh-CN"/>
        </w:rPr>
        <w:t>机构设置情况</w:t>
      </w:r>
    </w:p>
    <w:p>
      <w:pPr>
        <w:widowControl/>
        <w:spacing w:line="560" w:lineRule="exact"/>
        <w:ind w:firstLine="640" w:firstLineChars="200"/>
        <w:rPr>
          <w:rFonts w:hint="eastAsia" w:ascii="仿宋_GB2312" w:hAnsi="宋体" w:eastAsia="仿宋_GB2312" w:cs="宋体"/>
          <w:kern w:val="0"/>
          <w:sz w:val="32"/>
          <w:szCs w:val="32"/>
          <w:lang w:eastAsia="zh-CN"/>
        </w:rPr>
      </w:pPr>
      <w:r>
        <w:rPr>
          <w:rFonts w:hint="eastAsia" w:ascii="仿宋_GB2312" w:hAnsi="宋体" w:eastAsia="仿宋_GB2312" w:cs="宋体"/>
          <w:kern w:val="0"/>
          <w:sz w:val="32"/>
          <w:szCs w:val="32"/>
          <w:lang w:eastAsia="zh-CN"/>
        </w:rPr>
        <w:t>本单位共设</w:t>
      </w:r>
      <w:r>
        <w:rPr>
          <w:rFonts w:hint="eastAsia" w:ascii="仿宋_GB2312" w:hAnsi="宋体" w:eastAsia="仿宋_GB2312" w:cs="宋体"/>
          <w:kern w:val="0"/>
          <w:sz w:val="32"/>
          <w:szCs w:val="32"/>
          <w:lang w:val="en-US" w:eastAsia="zh-CN"/>
        </w:rPr>
        <w:t>9</w:t>
      </w:r>
      <w:r>
        <w:rPr>
          <w:rFonts w:hint="eastAsia" w:ascii="仿宋_GB2312" w:hAnsi="宋体" w:eastAsia="仿宋_GB2312" w:cs="宋体"/>
          <w:kern w:val="0"/>
          <w:sz w:val="32"/>
          <w:szCs w:val="32"/>
          <w:lang w:eastAsia="zh-CN"/>
        </w:rPr>
        <w:t>个内设机构。</w:t>
      </w:r>
    </w:p>
    <w:p>
      <w:pPr>
        <w:widowControl/>
        <w:spacing w:line="560" w:lineRule="exact"/>
        <w:ind w:firstLine="640" w:firstLineChars="200"/>
        <w:rPr>
          <w:rFonts w:hint="eastAsia" w:ascii="仿宋_GB2312" w:hAnsi="宋体" w:eastAsia="仿宋_GB2312" w:cs="宋体"/>
          <w:kern w:val="0"/>
          <w:sz w:val="32"/>
          <w:szCs w:val="32"/>
          <w:lang w:val="en-US" w:eastAsia="zh-CN"/>
        </w:rPr>
      </w:pPr>
      <w:r>
        <w:rPr>
          <w:rFonts w:hint="eastAsia" w:ascii="仿宋_GB2312" w:hAnsi="宋体" w:eastAsia="仿宋_GB2312" w:cs="宋体"/>
          <w:kern w:val="0"/>
          <w:sz w:val="32"/>
          <w:szCs w:val="32"/>
          <w:lang w:val="en-US" w:eastAsia="zh-CN"/>
        </w:rPr>
        <w:t>2.本单位职责情况</w:t>
      </w:r>
    </w:p>
    <w:p>
      <w:pPr>
        <w:widowControl/>
        <w:spacing w:line="560" w:lineRule="exact"/>
        <w:ind w:firstLine="640" w:firstLineChars="200"/>
        <w:rPr>
          <w:rFonts w:hint="eastAsia" w:ascii="仿宋_GB2312" w:hAnsi="宋体" w:eastAsia="仿宋_GB2312" w:cs="宋体"/>
          <w:kern w:val="0"/>
          <w:sz w:val="32"/>
          <w:szCs w:val="32"/>
        </w:rPr>
      </w:pPr>
      <w:r>
        <w:rPr>
          <w:rFonts w:hint="eastAsia" w:ascii="仿宋_GB2312" w:hAnsi="宋体" w:eastAsia="仿宋_GB2312" w:cs="宋体"/>
          <w:kern w:val="0"/>
          <w:sz w:val="32"/>
          <w:szCs w:val="32"/>
          <w:lang w:eastAsia="zh-CN"/>
        </w:rPr>
        <w:t>（</w:t>
      </w:r>
      <w:r>
        <w:rPr>
          <w:rFonts w:hint="eastAsia" w:ascii="仿宋_GB2312" w:hAnsi="宋体" w:eastAsia="仿宋_GB2312" w:cs="宋体"/>
          <w:kern w:val="0"/>
          <w:sz w:val="32"/>
          <w:szCs w:val="32"/>
          <w:lang w:val="en-US" w:eastAsia="zh-CN"/>
        </w:rPr>
        <w:t>1）</w:t>
      </w:r>
      <w:r>
        <w:rPr>
          <w:rFonts w:hint="eastAsia" w:ascii="仿宋_GB2312" w:hAnsi="宋体" w:eastAsia="仿宋_GB2312" w:cs="宋体"/>
          <w:kern w:val="0"/>
          <w:sz w:val="32"/>
          <w:szCs w:val="32"/>
        </w:rPr>
        <w:t xml:space="preserve">负责组织实施本区城市管理、市政管线及附属设施、区管道路、桥梁、燃气、供热、市容环境卫生等方面的发展规划。 </w:t>
      </w:r>
    </w:p>
    <w:p>
      <w:pPr>
        <w:widowControl/>
        <w:spacing w:line="560" w:lineRule="exact"/>
        <w:ind w:firstLine="640" w:firstLineChars="200"/>
        <w:rPr>
          <w:rFonts w:hint="eastAsia" w:ascii="仿宋_GB2312" w:hAnsi="宋体" w:eastAsia="仿宋_GB2312" w:cs="宋体"/>
          <w:kern w:val="0"/>
          <w:sz w:val="32"/>
          <w:szCs w:val="32"/>
        </w:rPr>
      </w:pPr>
      <w:r>
        <w:rPr>
          <w:rFonts w:hint="eastAsia" w:ascii="仿宋_GB2312" w:hAnsi="宋体" w:eastAsia="仿宋_GB2312" w:cs="宋体"/>
          <w:kern w:val="0"/>
          <w:sz w:val="32"/>
          <w:szCs w:val="32"/>
          <w:lang w:eastAsia="zh-CN"/>
        </w:rPr>
        <w:t>（</w:t>
      </w:r>
      <w:r>
        <w:rPr>
          <w:rFonts w:hint="eastAsia" w:ascii="仿宋_GB2312" w:hAnsi="宋体" w:eastAsia="仿宋_GB2312" w:cs="宋体"/>
          <w:kern w:val="0"/>
          <w:sz w:val="32"/>
          <w:szCs w:val="32"/>
          <w:lang w:val="en-US" w:eastAsia="zh-CN"/>
        </w:rPr>
        <w:t>2）</w:t>
      </w:r>
      <w:r>
        <w:rPr>
          <w:rFonts w:hint="eastAsia" w:ascii="仿宋_GB2312" w:hAnsi="宋体" w:eastAsia="仿宋_GB2312" w:cs="宋体"/>
          <w:kern w:val="0"/>
          <w:sz w:val="32"/>
          <w:szCs w:val="32"/>
        </w:rPr>
        <w:t>参与本区供热、燃气、市政管线、石油天然气管道、地下综合管廊、城市照明等城市管理工作的业务指导、组织协调、指挥调度、专项整治和检查评价。</w:t>
      </w:r>
    </w:p>
    <w:p>
      <w:pPr>
        <w:widowControl/>
        <w:spacing w:line="560" w:lineRule="exact"/>
        <w:ind w:firstLine="640" w:firstLineChars="200"/>
        <w:rPr>
          <w:rFonts w:hint="eastAsia" w:ascii="仿宋_GB2312" w:hAnsi="宋体" w:eastAsia="仿宋_GB2312" w:cs="宋体"/>
          <w:kern w:val="0"/>
          <w:sz w:val="32"/>
          <w:szCs w:val="32"/>
        </w:rPr>
      </w:pPr>
      <w:r>
        <w:rPr>
          <w:rFonts w:hint="eastAsia" w:ascii="仿宋_GB2312" w:hAnsi="宋体" w:eastAsia="仿宋_GB2312" w:cs="宋体"/>
          <w:kern w:val="0"/>
          <w:sz w:val="32"/>
          <w:szCs w:val="32"/>
          <w:lang w:eastAsia="zh-CN"/>
        </w:rPr>
        <w:t>（</w:t>
      </w:r>
      <w:r>
        <w:rPr>
          <w:rFonts w:hint="eastAsia" w:ascii="仿宋_GB2312" w:hAnsi="宋体" w:eastAsia="仿宋_GB2312" w:cs="宋体"/>
          <w:kern w:val="0"/>
          <w:sz w:val="32"/>
          <w:szCs w:val="32"/>
          <w:lang w:val="en-US" w:eastAsia="zh-CN"/>
        </w:rPr>
        <w:t>3）</w:t>
      </w:r>
      <w:r>
        <w:rPr>
          <w:rFonts w:hint="eastAsia" w:ascii="仿宋_GB2312" w:hAnsi="宋体" w:eastAsia="仿宋_GB2312" w:cs="宋体"/>
          <w:kern w:val="0"/>
          <w:sz w:val="32"/>
          <w:szCs w:val="32"/>
        </w:rPr>
        <w:t>负责统筹协调相关市政基础设施建设，指导协调城市道路、桥梁等设施的养护。负责本区地下管线及其检查井和井盖设施，以及地下综合管廊规划、建设和运营的辅助性、事务性工作。协助做好本区相关市政基础设施建设工程的联合验收工作。</w:t>
      </w:r>
    </w:p>
    <w:p>
      <w:pPr>
        <w:widowControl/>
        <w:spacing w:line="560" w:lineRule="exact"/>
        <w:ind w:firstLine="640" w:firstLineChars="200"/>
        <w:rPr>
          <w:rFonts w:hint="eastAsia" w:ascii="仿宋_GB2312" w:hAnsi="宋体" w:eastAsia="仿宋_GB2312" w:cs="宋体"/>
          <w:kern w:val="0"/>
          <w:sz w:val="32"/>
          <w:szCs w:val="32"/>
        </w:rPr>
      </w:pPr>
      <w:r>
        <w:rPr>
          <w:rFonts w:hint="eastAsia" w:ascii="仿宋_GB2312" w:hAnsi="宋体" w:eastAsia="仿宋_GB2312" w:cs="宋体"/>
          <w:kern w:val="0"/>
          <w:sz w:val="32"/>
          <w:szCs w:val="32"/>
          <w:lang w:eastAsia="zh-CN"/>
        </w:rPr>
        <w:t>（</w:t>
      </w:r>
      <w:r>
        <w:rPr>
          <w:rFonts w:hint="eastAsia" w:ascii="仿宋_GB2312" w:hAnsi="宋体" w:eastAsia="仿宋_GB2312" w:cs="宋体"/>
          <w:kern w:val="0"/>
          <w:sz w:val="32"/>
          <w:szCs w:val="32"/>
          <w:lang w:val="en-US" w:eastAsia="zh-CN"/>
        </w:rPr>
        <w:t>4）</w:t>
      </w:r>
      <w:r>
        <w:rPr>
          <w:rFonts w:hint="eastAsia" w:ascii="仿宋_GB2312" w:hAnsi="宋体" w:eastAsia="仿宋_GB2312" w:cs="宋体"/>
          <w:kern w:val="0"/>
          <w:sz w:val="32"/>
          <w:szCs w:val="32"/>
        </w:rPr>
        <w:t>负责本区供热、燃气、煤炭、电力、电源点的行</w:t>
      </w:r>
      <w:bookmarkStart w:id="0" w:name="_GoBack"/>
      <w:bookmarkEnd w:id="0"/>
      <w:r>
        <w:rPr>
          <w:rFonts w:hint="eastAsia" w:ascii="仿宋_GB2312" w:hAnsi="宋体" w:eastAsia="仿宋_GB2312" w:cs="宋体"/>
          <w:kern w:val="0"/>
          <w:sz w:val="32"/>
          <w:szCs w:val="32"/>
        </w:rPr>
        <w:t>业管理，以及加油（气）站、新能源汽车充电站（桩）建设管理的辅助性、事务性工作。参与本区煤、电、气等能源的日常运行监测、调度、协调和供应保障。</w:t>
      </w:r>
    </w:p>
    <w:p>
      <w:pPr>
        <w:widowControl/>
        <w:spacing w:line="560" w:lineRule="exact"/>
        <w:ind w:firstLine="640" w:firstLineChars="200"/>
        <w:rPr>
          <w:rFonts w:hint="eastAsia" w:ascii="仿宋_GB2312" w:hAnsi="宋体" w:eastAsia="仿宋_GB2312" w:cs="宋体"/>
          <w:kern w:val="0"/>
          <w:sz w:val="32"/>
          <w:szCs w:val="32"/>
        </w:rPr>
      </w:pPr>
      <w:r>
        <w:rPr>
          <w:rFonts w:hint="eastAsia" w:ascii="仿宋_GB2312" w:hAnsi="宋体" w:eastAsia="仿宋_GB2312" w:cs="宋体"/>
          <w:kern w:val="0"/>
          <w:sz w:val="32"/>
          <w:szCs w:val="32"/>
          <w:lang w:eastAsia="zh-CN"/>
        </w:rPr>
        <w:t>（</w:t>
      </w:r>
      <w:r>
        <w:rPr>
          <w:rFonts w:hint="eastAsia" w:ascii="仿宋_GB2312" w:hAnsi="宋体" w:eastAsia="仿宋_GB2312" w:cs="宋体"/>
          <w:kern w:val="0"/>
          <w:sz w:val="32"/>
          <w:szCs w:val="32"/>
          <w:lang w:val="en-US" w:eastAsia="zh-CN"/>
        </w:rPr>
        <w:t>5）</w:t>
      </w:r>
      <w:r>
        <w:rPr>
          <w:rFonts w:hint="eastAsia" w:ascii="仿宋_GB2312" w:hAnsi="宋体" w:eastAsia="仿宋_GB2312" w:cs="宋体"/>
          <w:kern w:val="0"/>
          <w:sz w:val="32"/>
          <w:szCs w:val="32"/>
        </w:rPr>
        <w:t>负责组织落实本区市容景观、户外广告、环境整治、架空线入地等城乡环境建设整治相关工作。负责协调落实重点地区、重点街道的景观建设和治理，以及城市道路公共服务设施设置工作。负责区管城市道路路牌、户外广告设施、牌匾标识语宣传品设置和城市照明的具体事务性工作。</w:t>
      </w:r>
    </w:p>
    <w:p>
      <w:pPr>
        <w:widowControl/>
        <w:spacing w:line="560" w:lineRule="exact"/>
        <w:ind w:firstLine="640" w:firstLineChars="200"/>
        <w:rPr>
          <w:rFonts w:hint="eastAsia" w:ascii="仿宋_GB2312" w:hAnsi="宋体" w:eastAsia="仿宋_GB2312" w:cs="宋体"/>
          <w:kern w:val="0"/>
          <w:sz w:val="32"/>
          <w:szCs w:val="32"/>
        </w:rPr>
      </w:pPr>
      <w:r>
        <w:rPr>
          <w:rFonts w:hint="eastAsia" w:ascii="仿宋_GB2312" w:hAnsi="宋体" w:eastAsia="仿宋_GB2312" w:cs="宋体"/>
          <w:kern w:val="0"/>
          <w:sz w:val="32"/>
          <w:szCs w:val="32"/>
          <w:lang w:eastAsia="zh-CN"/>
        </w:rPr>
        <w:t>（</w:t>
      </w:r>
      <w:r>
        <w:rPr>
          <w:rFonts w:hint="eastAsia" w:ascii="仿宋_GB2312" w:hAnsi="宋体" w:eastAsia="仿宋_GB2312" w:cs="宋体"/>
          <w:kern w:val="0"/>
          <w:sz w:val="32"/>
          <w:szCs w:val="32"/>
          <w:lang w:val="en-US" w:eastAsia="zh-CN"/>
        </w:rPr>
        <w:t>6）</w:t>
      </w:r>
      <w:r>
        <w:rPr>
          <w:rFonts w:hint="eastAsia" w:ascii="仿宋_GB2312" w:hAnsi="宋体" w:eastAsia="仿宋_GB2312" w:cs="宋体"/>
          <w:kern w:val="0"/>
          <w:sz w:val="32"/>
          <w:szCs w:val="32"/>
        </w:rPr>
        <w:t>负责本区停车设施管理的辅助性、事务性工作。参与本区停车设施的规划、建设与管理工作，承担停车资源信息化管理的基础性工作。</w:t>
      </w:r>
    </w:p>
    <w:p>
      <w:pPr>
        <w:widowControl/>
        <w:spacing w:line="560" w:lineRule="exact"/>
        <w:ind w:firstLine="640" w:firstLineChars="200"/>
        <w:rPr>
          <w:rFonts w:hint="eastAsia" w:ascii="仿宋_GB2312" w:hAnsi="宋体" w:eastAsia="仿宋_GB2312" w:cs="宋体"/>
          <w:kern w:val="0"/>
          <w:sz w:val="32"/>
          <w:szCs w:val="32"/>
          <w:lang w:eastAsia="zh-CN"/>
        </w:rPr>
      </w:pPr>
      <w:r>
        <w:rPr>
          <w:rFonts w:hint="eastAsia" w:ascii="仿宋_GB2312" w:hAnsi="宋体" w:eastAsia="仿宋_GB2312" w:cs="宋体"/>
          <w:kern w:val="0"/>
          <w:sz w:val="32"/>
          <w:szCs w:val="32"/>
          <w:lang w:eastAsia="zh-CN"/>
        </w:rPr>
        <w:t>（</w:t>
      </w:r>
      <w:r>
        <w:rPr>
          <w:rFonts w:hint="eastAsia" w:ascii="仿宋_GB2312" w:hAnsi="宋体" w:eastAsia="仿宋_GB2312" w:cs="宋体"/>
          <w:kern w:val="0"/>
          <w:sz w:val="32"/>
          <w:szCs w:val="32"/>
          <w:lang w:val="en-US" w:eastAsia="zh-CN"/>
        </w:rPr>
        <w:t>7）</w:t>
      </w:r>
      <w:r>
        <w:rPr>
          <w:rFonts w:hint="eastAsia" w:ascii="仿宋_GB2312" w:hAnsi="宋体" w:eastAsia="仿宋_GB2312" w:cs="宋体"/>
          <w:kern w:val="0"/>
          <w:sz w:val="32"/>
          <w:szCs w:val="32"/>
        </w:rPr>
        <w:t>负责组织落实本区市容卫生、建筑垃圾、生活垃圾等环境卫生相关工作。负责指导开展生活垃圾等固体废弃物清扫、收集、贮存、运输和处置工作。负责指导环境卫生设施建设的具体事务性工作。</w:t>
      </w:r>
    </w:p>
    <w:p>
      <w:pPr>
        <w:pageBreakBefore w:val="0"/>
        <w:widowControl/>
        <w:kinsoku/>
        <w:wordWrap/>
        <w:overflowPunct/>
        <w:topLinePunct w:val="0"/>
        <w:autoSpaceDE/>
        <w:autoSpaceDN/>
        <w:bidi w:val="0"/>
        <w:adjustRightInd/>
        <w:snapToGrid/>
        <w:spacing w:line="560" w:lineRule="exact"/>
        <w:ind w:firstLine="640" w:firstLineChars="200"/>
        <w:textAlignment w:val="auto"/>
        <w:rPr>
          <w:rFonts w:hint="eastAsia" w:ascii="仿宋_GB2312" w:hAnsi="宋体" w:eastAsia="仿宋_GB2312" w:cs="宋体"/>
          <w:kern w:val="0"/>
          <w:sz w:val="32"/>
          <w:szCs w:val="32"/>
        </w:rPr>
      </w:pPr>
      <w:r>
        <w:rPr>
          <w:rFonts w:hint="eastAsia" w:ascii="仿宋_GB2312" w:hAnsi="宋体" w:eastAsia="仿宋_GB2312" w:cs="宋体"/>
          <w:kern w:val="0"/>
          <w:sz w:val="32"/>
          <w:szCs w:val="32"/>
          <w:lang w:eastAsia="zh-CN"/>
        </w:rPr>
        <w:t>（</w:t>
      </w:r>
      <w:r>
        <w:rPr>
          <w:rFonts w:hint="eastAsia" w:ascii="仿宋_GB2312" w:hAnsi="宋体" w:eastAsia="仿宋_GB2312" w:cs="宋体"/>
          <w:kern w:val="0"/>
          <w:sz w:val="32"/>
          <w:szCs w:val="32"/>
          <w:lang w:val="en-US" w:eastAsia="zh-CN"/>
        </w:rPr>
        <w:t>8）</w:t>
      </w:r>
      <w:r>
        <w:rPr>
          <w:rFonts w:hint="eastAsia" w:ascii="仿宋_GB2312" w:hAnsi="宋体" w:eastAsia="仿宋_GB2312" w:cs="宋体"/>
          <w:kern w:val="0"/>
          <w:sz w:val="32"/>
          <w:szCs w:val="32"/>
        </w:rPr>
        <w:t>参与本区石油、天然气管道（不包括炼油、化工等企业厂区内管道）保护工作。</w:t>
      </w:r>
    </w:p>
    <w:p>
      <w:pPr>
        <w:pageBreakBefore w:val="0"/>
        <w:widowControl/>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_GB2312" w:hAnsi="宋体" w:eastAsia="仿宋_GB2312" w:cs="宋体"/>
          <w:kern w:val="0"/>
          <w:sz w:val="32"/>
          <w:szCs w:val="32"/>
        </w:rPr>
      </w:pPr>
      <w:r>
        <w:rPr>
          <w:rFonts w:hint="eastAsia" w:ascii="仿宋_GB2312" w:hAnsi="宋体" w:eastAsia="仿宋_GB2312" w:cs="宋体"/>
          <w:kern w:val="0"/>
          <w:sz w:val="32"/>
          <w:szCs w:val="32"/>
          <w:lang w:eastAsia="zh-CN"/>
        </w:rPr>
        <w:t>（</w:t>
      </w:r>
      <w:r>
        <w:rPr>
          <w:rFonts w:hint="eastAsia" w:ascii="仿宋_GB2312" w:hAnsi="宋体" w:eastAsia="仿宋_GB2312" w:cs="宋体"/>
          <w:kern w:val="0"/>
          <w:sz w:val="32"/>
          <w:szCs w:val="32"/>
          <w:lang w:val="en-US" w:eastAsia="zh-CN"/>
        </w:rPr>
        <w:t>9）</w:t>
      </w:r>
      <w:r>
        <w:rPr>
          <w:rFonts w:hint="eastAsia" w:ascii="仿宋_GB2312" w:hAnsi="宋体" w:eastAsia="仿宋_GB2312" w:cs="宋体"/>
          <w:kern w:val="0"/>
          <w:sz w:val="32"/>
          <w:szCs w:val="32"/>
        </w:rPr>
        <w:t>按照安全生产监管（管理）职责的分工，负责相应安全监管的具体事务性工作。</w:t>
      </w:r>
    </w:p>
    <w:p>
      <w:pPr>
        <w:pStyle w:val="2"/>
        <w:pageBreakBefore w:val="0"/>
        <w:kinsoku/>
        <w:wordWrap/>
        <w:overflowPunct/>
        <w:topLinePunct w:val="0"/>
        <w:autoSpaceDE/>
        <w:autoSpaceDN/>
        <w:bidi w:val="0"/>
        <w:adjustRightInd/>
        <w:snapToGrid/>
        <w:spacing w:before="0" w:beforeAutospacing="0" w:after="0" w:afterAutospacing="0" w:line="560" w:lineRule="exact"/>
        <w:ind w:firstLine="640" w:firstLineChars="200"/>
        <w:textAlignment w:val="auto"/>
      </w:pPr>
      <w:r>
        <w:rPr>
          <w:rFonts w:hint="eastAsia" w:ascii="仿宋_GB2312" w:hAnsi="宋体" w:eastAsia="仿宋_GB2312" w:cs="宋体"/>
          <w:b w:val="0"/>
          <w:bCs w:val="0"/>
          <w:kern w:val="0"/>
          <w:sz w:val="32"/>
          <w:szCs w:val="32"/>
          <w:lang w:val="en-US" w:eastAsia="zh-CN" w:bidi="ar-SA"/>
        </w:rPr>
        <w:t>（10）完成区城市管理委（区城乡环境建设管理办）交办的其他任务。</w:t>
      </w:r>
    </w:p>
    <w:p>
      <w:pPr>
        <w:tabs>
          <w:tab w:val="center" w:pos="6979"/>
        </w:tabs>
        <w:spacing w:line="580" w:lineRule="exact"/>
        <w:ind w:firstLine="560" w:firstLineChars="200"/>
        <w:rPr>
          <w:rFonts w:ascii="黑体" w:eastAsia="黑体"/>
          <w:b/>
          <w:sz w:val="28"/>
          <w:szCs w:val="28"/>
        </w:rPr>
      </w:pPr>
      <w:r>
        <w:rPr>
          <w:rFonts w:hint="eastAsia" w:ascii="黑体" w:eastAsia="黑体"/>
          <w:b/>
          <w:sz w:val="28"/>
          <w:szCs w:val="28"/>
        </w:rPr>
        <w:t>二、收入支出决算总体情况说明</w:t>
      </w:r>
    </w:p>
    <w:p>
      <w:pPr>
        <w:tabs>
          <w:tab w:val="center" w:pos="6979"/>
        </w:tabs>
        <w:spacing w:line="580" w:lineRule="exact"/>
        <w:ind w:firstLine="570"/>
        <w:rPr>
          <w:rFonts w:ascii="仿宋_GB2312" w:eastAsia="仿宋_GB2312"/>
          <w:color w:val="auto"/>
          <w:sz w:val="28"/>
          <w:szCs w:val="28"/>
        </w:rPr>
      </w:pPr>
      <w:r>
        <w:rPr>
          <w:rFonts w:hint="eastAsia" w:ascii="仿宋_GB2312" w:eastAsia="仿宋_GB2312"/>
          <w:color w:val="auto"/>
          <w:sz w:val="28"/>
          <w:szCs w:val="28"/>
        </w:rPr>
        <w:t>2025年度收、</w:t>
      </w:r>
      <w:r>
        <w:rPr>
          <w:rFonts w:ascii="仿宋_GB2312" w:eastAsia="仿宋_GB2312"/>
          <w:color w:val="auto"/>
          <w:sz w:val="28"/>
          <w:szCs w:val="28"/>
        </w:rPr>
        <w:t>支</w:t>
      </w:r>
      <w:r>
        <w:rPr>
          <w:rFonts w:hint="eastAsia" w:ascii="仿宋_GB2312" w:eastAsia="仿宋_GB2312"/>
          <w:color w:val="auto"/>
          <w:sz w:val="28"/>
          <w:szCs w:val="28"/>
        </w:rPr>
        <w:t>总计209,817,486.09元，</w:t>
      </w:r>
      <w:r>
        <w:rPr>
          <w:rFonts w:ascii="仿宋_GB2312" w:eastAsia="仿宋_GB2312"/>
          <w:color w:val="auto"/>
          <w:sz w:val="28"/>
          <w:szCs w:val="28"/>
        </w:rPr>
        <w:t>比上年</w:t>
      </w:r>
      <w:r>
        <w:rPr>
          <w:rFonts w:hint="eastAsia" w:ascii="仿宋_GB2312" w:eastAsia="仿宋_GB2312"/>
          <w:color w:val="auto"/>
          <w:sz w:val="28"/>
          <w:szCs w:val="28"/>
        </w:rPr>
        <w:t>减少</w:t>
      </w:r>
      <w:r>
        <w:rPr>
          <w:rFonts w:hint="eastAsia" w:ascii="仿宋_GB2312" w:eastAsia="仿宋_GB2312"/>
          <w:color w:val="auto"/>
          <w:sz w:val="28"/>
          <w:szCs w:val="28"/>
          <w:lang w:val="en-US" w:eastAsia="zh-CN"/>
        </w:rPr>
        <w:t>8,208,073.58</w:t>
      </w:r>
      <w:r>
        <w:rPr>
          <w:rFonts w:hint="eastAsia" w:ascii="仿宋_GB2312" w:eastAsia="仿宋_GB2312"/>
          <w:color w:val="auto"/>
          <w:sz w:val="28"/>
          <w:szCs w:val="28"/>
        </w:rPr>
        <w:t>元，</w:t>
      </w:r>
      <w:r>
        <w:rPr>
          <w:rFonts w:hint="eastAsia" w:ascii="仿宋_GB2312" w:eastAsia="仿宋_GB2312"/>
          <w:color w:val="auto"/>
          <w:sz w:val="28"/>
          <w:szCs w:val="28"/>
          <w:lang w:val="en-US" w:eastAsia="zh-CN"/>
        </w:rPr>
        <w:t>,</w:t>
      </w:r>
      <w:r>
        <w:rPr>
          <w:rFonts w:hint="eastAsia" w:ascii="仿宋_GB2312" w:eastAsia="仿宋_GB2312"/>
          <w:color w:val="auto"/>
          <w:sz w:val="28"/>
          <w:szCs w:val="28"/>
        </w:rPr>
        <w:t>下降</w:t>
      </w:r>
      <w:r>
        <w:rPr>
          <w:rFonts w:hint="eastAsia" w:ascii="仿宋_GB2312" w:eastAsia="仿宋_GB2312"/>
          <w:color w:val="auto"/>
          <w:sz w:val="28"/>
          <w:szCs w:val="28"/>
          <w:lang w:val="en-US" w:eastAsia="zh-CN"/>
        </w:rPr>
        <w:t>3.76</w:t>
      </w:r>
      <w:r>
        <w:rPr>
          <w:rFonts w:hint="eastAsia" w:ascii="仿宋_GB2312" w:eastAsia="仿宋_GB2312"/>
          <w:color w:val="auto"/>
          <w:sz w:val="28"/>
          <w:szCs w:val="28"/>
        </w:rPr>
        <w:t>%。</w:t>
      </w:r>
    </w:p>
    <w:p>
      <w:pPr>
        <w:tabs>
          <w:tab w:val="center" w:pos="6979"/>
        </w:tabs>
        <w:spacing w:line="580" w:lineRule="exact"/>
        <w:ind w:firstLine="570"/>
        <w:rPr>
          <w:rFonts w:ascii="仿宋_GB2312" w:eastAsia="仿宋_GB2312"/>
          <w:color w:val="auto"/>
          <w:sz w:val="28"/>
          <w:szCs w:val="28"/>
        </w:rPr>
      </w:pPr>
      <w:r>
        <w:rPr>
          <w:rFonts w:hint="eastAsia" w:ascii="仿宋_GB2312" w:eastAsia="仿宋_GB2312"/>
          <w:color w:val="auto"/>
          <w:sz w:val="28"/>
          <w:szCs w:val="28"/>
        </w:rPr>
        <w:t>（一</w:t>
      </w:r>
      <w:r>
        <w:rPr>
          <w:rFonts w:ascii="仿宋_GB2312" w:eastAsia="仿宋_GB2312"/>
          <w:color w:val="auto"/>
          <w:sz w:val="28"/>
          <w:szCs w:val="28"/>
        </w:rPr>
        <w:t>）</w:t>
      </w:r>
      <w:r>
        <w:rPr>
          <w:rFonts w:hint="eastAsia" w:ascii="仿宋_GB2312" w:eastAsia="仿宋_GB2312"/>
          <w:color w:val="auto"/>
          <w:sz w:val="28"/>
          <w:szCs w:val="28"/>
        </w:rPr>
        <w:t>收入决算</w:t>
      </w:r>
      <w:r>
        <w:rPr>
          <w:rFonts w:ascii="仿宋_GB2312" w:eastAsia="仿宋_GB2312"/>
          <w:color w:val="auto"/>
          <w:sz w:val="28"/>
          <w:szCs w:val="28"/>
        </w:rPr>
        <w:t>说明</w:t>
      </w:r>
    </w:p>
    <w:p>
      <w:pPr>
        <w:tabs>
          <w:tab w:val="center" w:pos="6979"/>
        </w:tabs>
        <w:spacing w:line="580" w:lineRule="exact"/>
        <w:ind w:firstLine="570"/>
        <w:rPr>
          <w:rFonts w:ascii="仿宋_GB2312" w:eastAsia="仿宋_GB2312"/>
          <w:color w:val="auto"/>
          <w:sz w:val="28"/>
          <w:szCs w:val="28"/>
        </w:rPr>
      </w:pPr>
      <w:r>
        <w:rPr>
          <w:rFonts w:hint="eastAsia" w:ascii="仿宋_GB2312" w:eastAsia="仿宋_GB2312"/>
          <w:color w:val="auto"/>
          <w:sz w:val="28"/>
          <w:szCs w:val="28"/>
        </w:rPr>
        <w:t>2025年度本年收入合计209,817,486.09元，</w:t>
      </w:r>
      <w:r>
        <w:rPr>
          <w:rFonts w:ascii="仿宋_GB2312" w:eastAsia="仿宋_GB2312"/>
          <w:color w:val="auto"/>
          <w:sz w:val="28"/>
          <w:szCs w:val="28"/>
        </w:rPr>
        <w:t>比上年</w:t>
      </w:r>
      <w:r>
        <w:rPr>
          <w:rFonts w:hint="eastAsia" w:ascii="仿宋_GB2312" w:eastAsia="仿宋_GB2312"/>
          <w:color w:val="auto"/>
          <w:sz w:val="28"/>
          <w:szCs w:val="28"/>
        </w:rPr>
        <w:t>减少</w:t>
      </w:r>
      <w:r>
        <w:rPr>
          <w:rFonts w:hint="eastAsia" w:ascii="仿宋_GB2312" w:eastAsia="仿宋_GB2312"/>
          <w:color w:val="auto"/>
          <w:sz w:val="28"/>
          <w:szCs w:val="28"/>
          <w:lang w:val="en-US" w:eastAsia="zh-CN"/>
        </w:rPr>
        <w:t>3176116.16</w:t>
      </w:r>
      <w:r>
        <w:rPr>
          <w:rFonts w:hint="eastAsia" w:ascii="仿宋_GB2312" w:eastAsia="仿宋_GB2312"/>
          <w:color w:val="auto"/>
          <w:sz w:val="28"/>
          <w:szCs w:val="28"/>
        </w:rPr>
        <w:t>元，下降</w:t>
      </w:r>
      <w:r>
        <w:rPr>
          <w:rFonts w:hint="eastAsia" w:ascii="仿宋_GB2312" w:eastAsia="仿宋_GB2312"/>
          <w:color w:val="auto"/>
          <w:sz w:val="28"/>
          <w:szCs w:val="28"/>
          <w:lang w:val="en-US" w:eastAsia="zh-CN"/>
        </w:rPr>
        <w:t>1.49</w:t>
      </w:r>
      <w:r>
        <w:rPr>
          <w:rFonts w:hint="eastAsia" w:ascii="仿宋_GB2312" w:eastAsia="仿宋_GB2312"/>
          <w:color w:val="auto"/>
          <w:sz w:val="28"/>
          <w:szCs w:val="28"/>
        </w:rPr>
        <w:t>%。</w:t>
      </w:r>
    </w:p>
    <w:p>
      <w:pPr>
        <w:tabs>
          <w:tab w:val="center" w:pos="6979"/>
        </w:tabs>
        <w:spacing w:line="580" w:lineRule="exact"/>
        <w:ind w:firstLine="560" w:firstLineChars="200"/>
        <w:rPr>
          <w:rFonts w:ascii="仿宋_GB2312" w:eastAsia="仿宋_GB2312"/>
          <w:color w:val="auto"/>
          <w:sz w:val="28"/>
          <w:szCs w:val="28"/>
        </w:rPr>
      </w:pPr>
      <w:r>
        <w:rPr>
          <w:rFonts w:hint="eastAsia" w:ascii="仿宋_GB2312" w:eastAsia="仿宋_GB2312"/>
          <w:color w:val="auto"/>
          <w:sz w:val="28"/>
          <w:szCs w:val="28"/>
        </w:rPr>
        <w:t>1.财政拨款收入209,817,486.09元，占收入合计的</w:t>
      </w:r>
      <w:r>
        <w:rPr>
          <w:rFonts w:hint="eastAsia" w:ascii="仿宋_GB2312" w:eastAsia="仿宋_GB2312"/>
          <w:color w:val="auto"/>
          <w:sz w:val="28"/>
          <w:szCs w:val="28"/>
          <w:lang w:val="en-US" w:eastAsia="zh-CN"/>
        </w:rPr>
        <w:t>100.00</w:t>
      </w:r>
      <w:r>
        <w:rPr>
          <w:rFonts w:hint="eastAsia" w:ascii="仿宋_GB2312" w:eastAsia="仿宋_GB2312"/>
          <w:color w:val="auto"/>
          <w:sz w:val="28"/>
          <w:szCs w:val="28"/>
        </w:rPr>
        <w:t>%。其中：一般公共预算财政拨款收入184,657,260.04元，占收入合计的</w:t>
      </w:r>
      <w:r>
        <w:rPr>
          <w:rFonts w:hint="eastAsia" w:ascii="仿宋_GB2312" w:eastAsia="仿宋_GB2312"/>
          <w:color w:val="auto"/>
          <w:sz w:val="28"/>
          <w:szCs w:val="28"/>
          <w:lang w:val="en-US" w:eastAsia="zh-CN"/>
        </w:rPr>
        <w:t>88.01</w:t>
      </w:r>
      <w:r>
        <w:rPr>
          <w:rFonts w:hint="eastAsia" w:ascii="仿宋_GB2312" w:eastAsia="仿宋_GB2312"/>
          <w:color w:val="auto"/>
          <w:sz w:val="28"/>
          <w:szCs w:val="28"/>
        </w:rPr>
        <w:t>%；政府性基金预算财政拨款收入25,160,226.05元，占收入合计的</w:t>
      </w:r>
      <w:r>
        <w:rPr>
          <w:rFonts w:hint="eastAsia" w:ascii="仿宋_GB2312" w:eastAsia="仿宋_GB2312"/>
          <w:color w:val="auto"/>
          <w:sz w:val="28"/>
          <w:szCs w:val="28"/>
          <w:lang w:val="en-US" w:eastAsia="zh-CN"/>
        </w:rPr>
        <w:t>11.99</w:t>
      </w:r>
      <w:r>
        <w:rPr>
          <w:rFonts w:hint="eastAsia" w:ascii="仿宋_GB2312" w:eastAsia="仿宋_GB2312"/>
          <w:color w:val="auto"/>
          <w:sz w:val="28"/>
          <w:szCs w:val="28"/>
        </w:rPr>
        <w:t>%；国有资本经营预算财政拨款收入</w:t>
      </w:r>
      <w:r>
        <w:rPr>
          <w:rFonts w:ascii="仿宋_GB2312" w:eastAsia="仿宋_GB2312"/>
          <w:color w:val="auto"/>
          <w:sz w:val="28"/>
          <w:szCs w:val="28"/>
        </w:rPr>
        <w:t>0</w:t>
      </w:r>
      <w:r>
        <w:rPr>
          <w:rFonts w:hint="eastAsia" w:ascii="仿宋_GB2312" w:eastAsia="仿宋_GB2312"/>
          <w:color w:val="auto"/>
          <w:sz w:val="28"/>
          <w:szCs w:val="28"/>
        </w:rPr>
        <w:t>元，占收入合计的0%；</w:t>
      </w:r>
    </w:p>
    <w:p>
      <w:pPr>
        <w:tabs>
          <w:tab w:val="center" w:pos="6979"/>
        </w:tabs>
        <w:spacing w:line="580" w:lineRule="exact"/>
        <w:ind w:firstLine="560" w:firstLineChars="200"/>
        <w:rPr>
          <w:rFonts w:ascii="仿宋_GB2312" w:eastAsia="仿宋_GB2312"/>
          <w:color w:val="auto"/>
          <w:sz w:val="28"/>
          <w:szCs w:val="28"/>
        </w:rPr>
      </w:pPr>
      <w:r>
        <w:rPr>
          <w:rFonts w:hint="eastAsia" w:ascii="仿宋_GB2312" w:eastAsia="仿宋_GB2312"/>
          <w:color w:val="auto"/>
          <w:sz w:val="28"/>
          <w:szCs w:val="28"/>
        </w:rPr>
        <w:t>2.上级补助收入</w:t>
      </w:r>
      <w:r>
        <w:rPr>
          <w:rFonts w:ascii="仿宋_GB2312" w:eastAsia="仿宋_GB2312"/>
          <w:color w:val="auto"/>
          <w:sz w:val="28"/>
          <w:szCs w:val="28"/>
        </w:rPr>
        <w:t>0</w:t>
      </w:r>
      <w:r>
        <w:rPr>
          <w:rFonts w:hint="eastAsia" w:ascii="仿宋_GB2312" w:eastAsia="仿宋_GB2312"/>
          <w:color w:val="auto"/>
          <w:sz w:val="28"/>
          <w:szCs w:val="28"/>
        </w:rPr>
        <w:t>元，占收入合计的0%；</w:t>
      </w:r>
    </w:p>
    <w:p>
      <w:pPr>
        <w:tabs>
          <w:tab w:val="center" w:pos="6979"/>
        </w:tabs>
        <w:spacing w:line="580" w:lineRule="exact"/>
        <w:ind w:firstLine="560" w:firstLineChars="200"/>
        <w:rPr>
          <w:rFonts w:ascii="仿宋_GB2312" w:eastAsia="仿宋_GB2312"/>
          <w:color w:val="auto"/>
          <w:sz w:val="28"/>
          <w:szCs w:val="28"/>
        </w:rPr>
      </w:pPr>
      <w:r>
        <w:rPr>
          <w:rFonts w:hint="eastAsia" w:ascii="仿宋_GB2312" w:eastAsia="仿宋_GB2312"/>
          <w:color w:val="auto"/>
          <w:sz w:val="28"/>
          <w:szCs w:val="28"/>
        </w:rPr>
        <w:t>3.事业收入</w:t>
      </w:r>
      <w:r>
        <w:rPr>
          <w:rFonts w:ascii="仿宋_GB2312" w:eastAsia="仿宋_GB2312"/>
          <w:color w:val="auto"/>
          <w:sz w:val="28"/>
          <w:szCs w:val="28"/>
        </w:rPr>
        <w:t>0</w:t>
      </w:r>
      <w:r>
        <w:rPr>
          <w:rFonts w:hint="eastAsia" w:ascii="仿宋_GB2312" w:eastAsia="仿宋_GB2312"/>
          <w:color w:val="auto"/>
          <w:sz w:val="28"/>
          <w:szCs w:val="28"/>
        </w:rPr>
        <w:t>元，占收入合计的0%；</w:t>
      </w:r>
    </w:p>
    <w:p>
      <w:pPr>
        <w:tabs>
          <w:tab w:val="center" w:pos="6979"/>
        </w:tabs>
        <w:spacing w:line="580" w:lineRule="exact"/>
        <w:ind w:firstLine="560" w:firstLineChars="200"/>
        <w:rPr>
          <w:rFonts w:ascii="仿宋_GB2312" w:eastAsia="仿宋_GB2312"/>
          <w:color w:val="auto"/>
          <w:sz w:val="28"/>
          <w:szCs w:val="28"/>
        </w:rPr>
      </w:pPr>
      <w:r>
        <w:rPr>
          <w:rFonts w:hint="eastAsia" w:ascii="仿宋_GB2312" w:eastAsia="仿宋_GB2312"/>
          <w:color w:val="auto"/>
          <w:sz w:val="28"/>
          <w:szCs w:val="28"/>
        </w:rPr>
        <w:t>4.经营收入</w:t>
      </w:r>
      <w:r>
        <w:rPr>
          <w:rFonts w:ascii="仿宋_GB2312" w:eastAsia="仿宋_GB2312"/>
          <w:color w:val="auto"/>
          <w:sz w:val="28"/>
          <w:szCs w:val="28"/>
        </w:rPr>
        <w:t>0</w:t>
      </w:r>
      <w:r>
        <w:rPr>
          <w:rFonts w:hint="eastAsia" w:ascii="仿宋_GB2312" w:eastAsia="仿宋_GB2312"/>
          <w:color w:val="auto"/>
          <w:sz w:val="28"/>
          <w:szCs w:val="28"/>
        </w:rPr>
        <w:t>元，占收入合计的0%；</w:t>
      </w:r>
    </w:p>
    <w:p>
      <w:pPr>
        <w:tabs>
          <w:tab w:val="center" w:pos="6979"/>
        </w:tabs>
        <w:spacing w:line="580" w:lineRule="exact"/>
        <w:ind w:firstLine="560" w:firstLineChars="200"/>
        <w:rPr>
          <w:rFonts w:ascii="仿宋_GB2312" w:eastAsia="仿宋_GB2312"/>
          <w:color w:val="auto"/>
          <w:sz w:val="28"/>
          <w:szCs w:val="28"/>
        </w:rPr>
      </w:pPr>
      <w:r>
        <w:rPr>
          <w:rFonts w:hint="eastAsia" w:ascii="仿宋_GB2312" w:eastAsia="仿宋_GB2312"/>
          <w:color w:val="auto"/>
          <w:sz w:val="28"/>
          <w:szCs w:val="28"/>
        </w:rPr>
        <w:t>5.附属单位上缴收入</w:t>
      </w:r>
      <w:r>
        <w:rPr>
          <w:rFonts w:ascii="仿宋_GB2312" w:eastAsia="仿宋_GB2312"/>
          <w:color w:val="auto"/>
          <w:sz w:val="28"/>
          <w:szCs w:val="28"/>
        </w:rPr>
        <w:t>0</w:t>
      </w:r>
      <w:r>
        <w:rPr>
          <w:rFonts w:hint="eastAsia" w:ascii="仿宋_GB2312" w:eastAsia="仿宋_GB2312"/>
          <w:color w:val="auto"/>
          <w:sz w:val="28"/>
          <w:szCs w:val="28"/>
        </w:rPr>
        <w:t>元，占收入合计的0%；</w:t>
      </w:r>
    </w:p>
    <w:p>
      <w:pPr>
        <w:tabs>
          <w:tab w:val="center" w:pos="6979"/>
        </w:tabs>
        <w:spacing w:line="580" w:lineRule="exact"/>
        <w:ind w:firstLine="560" w:firstLineChars="200"/>
        <w:rPr>
          <w:rFonts w:ascii="仿宋_GB2312" w:eastAsia="仿宋_GB2312"/>
          <w:color w:val="auto"/>
          <w:sz w:val="28"/>
          <w:szCs w:val="28"/>
        </w:rPr>
      </w:pPr>
      <w:r>
        <w:rPr>
          <w:rFonts w:hint="eastAsia" w:ascii="仿宋_GB2312" w:eastAsia="仿宋_GB2312"/>
          <w:color w:val="auto"/>
          <w:sz w:val="28"/>
          <w:szCs w:val="28"/>
        </w:rPr>
        <w:t>6.其他收入</w:t>
      </w:r>
      <w:r>
        <w:rPr>
          <w:rFonts w:hint="eastAsia" w:ascii="仿宋_GB2312" w:eastAsia="仿宋_GB2312"/>
          <w:color w:val="auto"/>
          <w:sz w:val="28"/>
          <w:szCs w:val="28"/>
          <w:lang w:val="en-US" w:eastAsia="zh-CN"/>
        </w:rPr>
        <w:t>0</w:t>
      </w:r>
      <w:r>
        <w:rPr>
          <w:rFonts w:hint="eastAsia" w:ascii="仿宋_GB2312" w:eastAsia="仿宋_GB2312"/>
          <w:color w:val="auto"/>
          <w:sz w:val="28"/>
          <w:szCs w:val="28"/>
        </w:rPr>
        <w:t>元，占收入合计的0%。</w:t>
      </w:r>
    </w:p>
    <w:p>
      <w:pPr>
        <w:pStyle w:val="2"/>
        <w:jc w:val="center"/>
        <w:rPr>
          <w:color w:val="auto"/>
        </w:rPr>
      </w:pPr>
      <w:r>
        <w:rPr>
          <w:rFonts w:hint="eastAsia" w:ascii="仿宋_GB2312" w:eastAsia="仿宋_GB2312"/>
          <w:color w:val="auto"/>
          <w:sz w:val="32"/>
        </w:rPr>
        <w:t>1：收入决算</w:t>
      </w:r>
    </w:p>
    <w:p>
      <w:pPr>
        <w:pStyle w:val="3"/>
        <w:ind w:firstLine="420"/>
        <w:jc w:val="center"/>
        <w:rPr>
          <w:color w:val="auto"/>
        </w:rPr>
      </w:pPr>
      <w:r>
        <w:rPr>
          <w:color w:val="auto"/>
        </w:rPr>
        <w:drawing>
          <wp:inline distT="0" distB="0" distL="0" distR="0">
            <wp:extent cx="4036695" cy="2328545"/>
            <wp:effectExtent l="0" t="0" r="20955" b="14605"/>
            <wp:docPr id="3" name="图表 3" title="{{pieChart1}}"/>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pPr>
        <w:tabs>
          <w:tab w:val="center" w:pos="6979"/>
        </w:tabs>
        <w:spacing w:line="580" w:lineRule="exact"/>
        <w:ind w:firstLine="570"/>
        <w:rPr>
          <w:rFonts w:ascii="仿宋_GB2312" w:eastAsia="仿宋_GB2312"/>
          <w:color w:val="auto"/>
          <w:sz w:val="28"/>
          <w:szCs w:val="28"/>
        </w:rPr>
      </w:pPr>
      <w:r>
        <w:rPr>
          <w:rFonts w:hint="eastAsia" w:ascii="仿宋_GB2312" w:eastAsia="仿宋_GB2312"/>
          <w:color w:val="auto"/>
          <w:sz w:val="28"/>
          <w:szCs w:val="28"/>
        </w:rPr>
        <w:t>（二</w:t>
      </w:r>
      <w:r>
        <w:rPr>
          <w:rFonts w:ascii="仿宋_GB2312" w:eastAsia="仿宋_GB2312"/>
          <w:color w:val="auto"/>
          <w:sz w:val="28"/>
          <w:szCs w:val="28"/>
        </w:rPr>
        <w:t>）</w:t>
      </w:r>
      <w:r>
        <w:rPr>
          <w:rFonts w:hint="eastAsia" w:ascii="仿宋_GB2312" w:eastAsia="仿宋_GB2312"/>
          <w:color w:val="auto"/>
          <w:sz w:val="28"/>
          <w:szCs w:val="28"/>
        </w:rPr>
        <w:t>支出决算</w:t>
      </w:r>
      <w:r>
        <w:rPr>
          <w:rFonts w:ascii="仿宋_GB2312" w:eastAsia="仿宋_GB2312"/>
          <w:color w:val="auto"/>
          <w:sz w:val="28"/>
          <w:szCs w:val="28"/>
        </w:rPr>
        <w:t>说明</w:t>
      </w:r>
    </w:p>
    <w:p>
      <w:pPr>
        <w:tabs>
          <w:tab w:val="center" w:pos="6979"/>
        </w:tabs>
        <w:spacing w:line="580" w:lineRule="exact"/>
        <w:ind w:firstLine="570"/>
        <w:rPr>
          <w:rFonts w:ascii="仿宋_GB2312" w:eastAsia="仿宋_GB2312"/>
          <w:color w:val="auto"/>
          <w:sz w:val="28"/>
          <w:szCs w:val="28"/>
        </w:rPr>
      </w:pPr>
      <w:r>
        <w:rPr>
          <w:rFonts w:hint="eastAsia" w:ascii="仿宋_GB2312" w:eastAsia="仿宋_GB2312"/>
          <w:color w:val="auto"/>
          <w:sz w:val="28"/>
          <w:szCs w:val="28"/>
        </w:rPr>
        <w:t>2025年度本年支出合计209,817,486.09元，</w:t>
      </w:r>
      <w:r>
        <w:rPr>
          <w:rFonts w:ascii="仿宋_GB2312" w:eastAsia="仿宋_GB2312"/>
          <w:color w:val="auto"/>
          <w:sz w:val="28"/>
          <w:szCs w:val="28"/>
        </w:rPr>
        <w:t>比上年</w:t>
      </w:r>
      <w:r>
        <w:rPr>
          <w:rFonts w:hint="eastAsia" w:ascii="仿宋_GB2312" w:eastAsia="仿宋_GB2312"/>
          <w:color w:val="auto"/>
          <w:sz w:val="28"/>
          <w:szCs w:val="28"/>
        </w:rPr>
        <w:t>减少</w:t>
      </w:r>
      <w:r>
        <w:rPr>
          <w:rFonts w:hint="eastAsia" w:ascii="仿宋_GB2312" w:eastAsia="仿宋_GB2312"/>
          <w:color w:val="auto"/>
          <w:sz w:val="28"/>
          <w:szCs w:val="28"/>
          <w:lang w:val="en-US" w:eastAsia="zh-CN"/>
        </w:rPr>
        <w:t>8,208,073.58</w:t>
      </w:r>
      <w:r>
        <w:rPr>
          <w:rFonts w:hint="eastAsia" w:ascii="仿宋_GB2312" w:eastAsia="仿宋_GB2312"/>
          <w:color w:val="auto"/>
          <w:sz w:val="28"/>
          <w:szCs w:val="28"/>
        </w:rPr>
        <w:t>元，下降</w:t>
      </w:r>
      <w:r>
        <w:rPr>
          <w:rFonts w:hint="eastAsia" w:ascii="仿宋_GB2312" w:eastAsia="仿宋_GB2312"/>
          <w:color w:val="auto"/>
          <w:sz w:val="28"/>
          <w:szCs w:val="28"/>
          <w:lang w:val="en-US" w:eastAsia="zh-CN"/>
        </w:rPr>
        <w:t>3.76</w:t>
      </w:r>
      <w:r>
        <w:rPr>
          <w:rFonts w:hint="eastAsia" w:ascii="仿宋_GB2312" w:eastAsia="仿宋_GB2312"/>
          <w:color w:val="auto"/>
          <w:sz w:val="28"/>
          <w:szCs w:val="28"/>
        </w:rPr>
        <w:t>%，其中：基本支出19,072,457.30元，占支出合计的</w:t>
      </w:r>
      <w:r>
        <w:rPr>
          <w:rFonts w:hint="eastAsia" w:ascii="仿宋_GB2312" w:eastAsia="仿宋_GB2312"/>
          <w:color w:val="auto"/>
          <w:sz w:val="28"/>
          <w:szCs w:val="28"/>
          <w:lang w:val="en-US" w:eastAsia="zh-CN"/>
        </w:rPr>
        <w:t>9.09</w:t>
      </w:r>
      <w:r>
        <w:rPr>
          <w:rFonts w:hint="eastAsia" w:ascii="仿宋_GB2312" w:eastAsia="仿宋_GB2312"/>
          <w:color w:val="auto"/>
          <w:sz w:val="28"/>
          <w:szCs w:val="28"/>
        </w:rPr>
        <w:t>%；项目支出190,745,028.79元，占支出合计的9</w:t>
      </w:r>
      <w:r>
        <w:rPr>
          <w:rFonts w:hint="eastAsia" w:ascii="仿宋_GB2312" w:eastAsia="仿宋_GB2312"/>
          <w:color w:val="auto"/>
          <w:sz w:val="28"/>
          <w:szCs w:val="28"/>
          <w:lang w:val="en-US" w:eastAsia="zh-CN"/>
        </w:rPr>
        <w:t>0.91</w:t>
      </w:r>
      <w:r>
        <w:rPr>
          <w:rFonts w:hint="eastAsia" w:ascii="仿宋_GB2312" w:eastAsia="仿宋_GB2312"/>
          <w:color w:val="auto"/>
          <w:sz w:val="28"/>
          <w:szCs w:val="28"/>
        </w:rPr>
        <w:t>%;上缴上级支出</w:t>
      </w:r>
      <w:r>
        <w:rPr>
          <w:rFonts w:ascii="仿宋_GB2312" w:eastAsia="仿宋_GB2312"/>
          <w:color w:val="auto"/>
          <w:sz w:val="28"/>
          <w:szCs w:val="28"/>
        </w:rPr>
        <w:t>0</w:t>
      </w:r>
      <w:r>
        <w:rPr>
          <w:rFonts w:hint="eastAsia" w:ascii="仿宋_GB2312" w:eastAsia="仿宋_GB2312"/>
          <w:color w:val="auto"/>
          <w:sz w:val="28"/>
          <w:szCs w:val="28"/>
        </w:rPr>
        <w:t>元，占支出合计的0%；经营支出</w:t>
      </w:r>
      <w:r>
        <w:rPr>
          <w:rFonts w:ascii="仿宋_GB2312" w:eastAsia="仿宋_GB2312"/>
          <w:color w:val="auto"/>
          <w:sz w:val="28"/>
          <w:szCs w:val="28"/>
        </w:rPr>
        <w:t>0</w:t>
      </w:r>
      <w:r>
        <w:rPr>
          <w:rFonts w:hint="eastAsia" w:ascii="仿宋_GB2312" w:eastAsia="仿宋_GB2312"/>
          <w:color w:val="auto"/>
          <w:sz w:val="28"/>
          <w:szCs w:val="28"/>
        </w:rPr>
        <w:t>元，占支出合计的0%；对附属单位补助支出</w:t>
      </w:r>
      <w:r>
        <w:rPr>
          <w:rFonts w:ascii="仿宋_GB2312" w:eastAsia="仿宋_GB2312"/>
          <w:color w:val="auto"/>
          <w:sz w:val="28"/>
          <w:szCs w:val="28"/>
        </w:rPr>
        <w:t>0</w:t>
      </w:r>
      <w:r>
        <w:rPr>
          <w:rFonts w:hint="eastAsia" w:ascii="仿宋_GB2312" w:eastAsia="仿宋_GB2312"/>
          <w:color w:val="auto"/>
          <w:sz w:val="28"/>
          <w:szCs w:val="28"/>
        </w:rPr>
        <w:t>元，占支出合计的0%。</w:t>
      </w:r>
    </w:p>
    <w:p>
      <w:pPr>
        <w:pStyle w:val="2"/>
        <w:ind w:firstLine="5772" w:firstLineChars="1804"/>
        <w:rPr>
          <w:rFonts w:ascii="仿宋_GB2312" w:eastAsia="仿宋_GB2312"/>
          <w:color w:val="auto"/>
          <w:sz w:val="32"/>
        </w:rPr>
      </w:pPr>
      <w:r>
        <w:rPr>
          <w:rFonts w:hint="eastAsia" w:ascii="仿宋_GB2312" w:eastAsia="仿宋_GB2312"/>
          <w:color w:val="auto"/>
          <w:sz w:val="32"/>
        </w:rPr>
        <w:t>图2：支出决算</w:t>
      </w:r>
    </w:p>
    <w:p>
      <w:pPr>
        <w:jc w:val="center"/>
        <w:rPr>
          <w:rFonts w:ascii="黑体" w:eastAsia="黑体"/>
          <w:b/>
          <w:color w:val="auto"/>
          <w:sz w:val="28"/>
          <w:szCs w:val="28"/>
        </w:rPr>
      </w:pPr>
      <w:r>
        <w:rPr>
          <w:color w:val="auto"/>
        </w:rPr>
        <w:drawing>
          <wp:inline distT="0" distB="0" distL="114300" distR="114300">
            <wp:extent cx="4572000" cy="2743200"/>
            <wp:effectExtent l="4445" t="4445" r="14605" b="14605"/>
            <wp:docPr id="1" name="图表 3" title="{{pieChart2}}"/>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pPr>
        <w:tabs>
          <w:tab w:val="center" w:pos="6979"/>
        </w:tabs>
        <w:spacing w:line="580" w:lineRule="exact"/>
        <w:ind w:firstLine="548" w:firstLineChars="196"/>
        <w:rPr>
          <w:rFonts w:ascii="黑体" w:eastAsia="黑体"/>
          <w:b/>
          <w:color w:val="auto"/>
          <w:sz w:val="28"/>
          <w:szCs w:val="28"/>
        </w:rPr>
      </w:pPr>
      <w:r>
        <w:rPr>
          <w:rFonts w:hint="eastAsia" w:ascii="黑体" w:eastAsia="黑体"/>
          <w:b/>
          <w:color w:val="auto"/>
          <w:sz w:val="28"/>
          <w:szCs w:val="28"/>
        </w:rPr>
        <w:t>三</w:t>
      </w:r>
      <w:r>
        <w:rPr>
          <w:rFonts w:ascii="黑体" w:eastAsia="黑体"/>
          <w:b/>
          <w:color w:val="auto"/>
          <w:sz w:val="28"/>
          <w:szCs w:val="28"/>
        </w:rPr>
        <w:t>、财政拨款</w:t>
      </w:r>
      <w:r>
        <w:rPr>
          <w:rFonts w:hint="eastAsia" w:ascii="黑体" w:eastAsia="黑体"/>
          <w:b/>
          <w:color w:val="auto"/>
          <w:sz w:val="28"/>
          <w:szCs w:val="28"/>
        </w:rPr>
        <w:t>收入支出决算</w:t>
      </w:r>
      <w:r>
        <w:rPr>
          <w:rFonts w:ascii="黑体" w:eastAsia="黑体"/>
          <w:b/>
          <w:color w:val="auto"/>
          <w:sz w:val="28"/>
          <w:szCs w:val="28"/>
        </w:rPr>
        <w:t>总体情况说明</w:t>
      </w:r>
    </w:p>
    <w:p>
      <w:pPr>
        <w:tabs>
          <w:tab w:val="center" w:pos="6979"/>
        </w:tabs>
        <w:spacing w:line="580" w:lineRule="exact"/>
        <w:ind w:firstLine="570"/>
        <w:rPr>
          <w:rFonts w:ascii="仿宋_GB2312" w:eastAsia="仿宋_GB2312"/>
          <w:color w:val="auto"/>
          <w:sz w:val="28"/>
          <w:szCs w:val="28"/>
        </w:rPr>
      </w:pPr>
      <w:r>
        <w:rPr>
          <w:rFonts w:hint="eastAsia" w:ascii="仿宋_GB2312" w:eastAsia="仿宋_GB2312"/>
          <w:color w:val="auto"/>
          <w:sz w:val="28"/>
          <w:szCs w:val="28"/>
        </w:rPr>
        <w:t>2025年度财政拨款收、</w:t>
      </w:r>
      <w:r>
        <w:rPr>
          <w:rFonts w:ascii="仿宋_GB2312" w:eastAsia="仿宋_GB2312"/>
          <w:color w:val="auto"/>
          <w:sz w:val="28"/>
          <w:szCs w:val="28"/>
        </w:rPr>
        <w:t>支</w:t>
      </w:r>
      <w:r>
        <w:rPr>
          <w:rFonts w:hint="eastAsia" w:ascii="仿宋_GB2312" w:eastAsia="仿宋_GB2312"/>
          <w:color w:val="auto"/>
          <w:sz w:val="28"/>
          <w:szCs w:val="28"/>
        </w:rPr>
        <w:t>总计209,817,486.09元，比上年减少</w:t>
      </w:r>
      <w:r>
        <w:rPr>
          <w:rFonts w:hint="eastAsia" w:ascii="仿宋_GB2312" w:eastAsia="仿宋_GB2312"/>
          <w:color w:val="auto"/>
          <w:sz w:val="28"/>
          <w:szCs w:val="28"/>
          <w:lang w:val="en-US" w:eastAsia="zh-CN"/>
        </w:rPr>
        <w:t>8,208,073.58</w:t>
      </w:r>
      <w:r>
        <w:rPr>
          <w:rFonts w:hint="eastAsia" w:ascii="仿宋_GB2312" w:eastAsia="仿宋_GB2312"/>
          <w:color w:val="auto"/>
          <w:sz w:val="28"/>
          <w:szCs w:val="28"/>
        </w:rPr>
        <w:t>元，下降</w:t>
      </w:r>
      <w:r>
        <w:rPr>
          <w:rFonts w:hint="eastAsia" w:ascii="仿宋_GB2312" w:eastAsia="仿宋_GB2312"/>
          <w:color w:val="auto"/>
          <w:sz w:val="28"/>
          <w:szCs w:val="28"/>
          <w:lang w:val="en-US" w:eastAsia="zh-CN"/>
        </w:rPr>
        <w:t>3.76</w:t>
      </w:r>
      <w:r>
        <w:rPr>
          <w:rFonts w:hint="eastAsia" w:ascii="仿宋_GB2312" w:eastAsia="仿宋_GB2312"/>
          <w:color w:val="auto"/>
          <w:sz w:val="28"/>
          <w:szCs w:val="28"/>
        </w:rPr>
        <w:t>%。主要原因：</w:t>
      </w:r>
      <w:r>
        <w:rPr>
          <w:rFonts w:hint="eastAsia" w:ascii="仿宋_GB2312" w:eastAsia="仿宋_GB2312"/>
          <w:color w:val="auto"/>
          <w:sz w:val="28"/>
          <w:szCs w:val="28"/>
          <w:lang w:eastAsia="zh-CN"/>
        </w:rPr>
        <w:t>项目减少</w:t>
      </w:r>
      <w:r>
        <w:rPr>
          <w:rFonts w:hint="eastAsia" w:ascii="仿宋_GB2312" w:eastAsia="仿宋_GB2312"/>
          <w:color w:val="auto"/>
          <w:sz w:val="28"/>
          <w:szCs w:val="28"/>
        </w:rPr>
        <w:t>。</w:t>
      </w:r>
    </w:p>
    <w:p>
      <w:pPr>
        <w:tabs>
          <w:tab w:val="center" w:pos="6979"/>
        </w:tabs>
        <w:spacing w:line="580" w:lineRule="exact"/>
        <w:ind w:firstLine="548" w:firstLineChars="196"/>
        <w:rPr>
          <w:rFonts w:ascii="黑体" w:eastAsia="黑体"/>
          <w:b/>
          <w:color w:val="auto"/>
          <w:sz w:val="28"/>
          <w:szCs w:val="28"/>
        </w:rPr>
      </w:pPr>
      <w:r>
        <w:rPr>
          <w:rFonts w:hint="eastAsia" w:ascii="黑体" w:eastAsia="黑体"/>
          <w:b/>
          <w:color w:val="auto"/>
          <w:sz w:val="28"/>
          <w:szCs w:val="28"/>
        </w:rPr>
        <w:t>四、一般公共预算财政拨款支出决算情况说明</w:t>
      </w:r>
    </w:p>
    <w:p>
      <w:pPr>
        <w:autoSpaceDE w:val="0"/>
        <w:autoSpaceDN w:val="0"/>
        <w:adjustRightInd w:val="0"/>
        <w:spacing w:line="580" w:lineRule="exact"/>
        <w:ind w:firstLine="560" w:firstLineChars="200"/>
        <w:jc w:val="left"/>
        <w:rPr>
          <w:rFonts w:ascii="仿宋_GB2312" w:eastAsia="仿宋_GB2312"/>
          <w:color w:val="auto"/>
          <w:sz w:val="28"/>
          <w:szCs w:val="28"/>
        </w:rPr>
      </w:pPr>
      <w:r>
        <w:rPr>
          <w:rFonts w:hint="eastAsia" w:ascii="仿宋_GB2312" w:eastAsia="仿宋_GB2312"/>
          <w:color w:val="auto"/>
          <w:sz w:val="28"/>
          <w:szCs w:val="28"/>
        </w:rPr>
        <w:t>（一）一般公共预算财政拨款支出决算总体情况</w:t>
      </w:r>
    </w:p>
    <w:p>
      <w:pPr>
        <w:tabs>
          <w:tab w:val="center" w:pos="6979"/>
        </w:tabs>
        <w:spacing w:line="580" w:lineRule="exact"/>
        <w:ind w:firstLine="560" w:firstLineChars="200"/>
        <w:rPr>
          <w:rFonts w:ascii="仿宋_GB2312" w:eastAsia="仿宋_GB2312"/>
          <w:color w:val="auto"/>
          <w:sz w:val="28"/>
          <w:szCs w:val="28"/>
        </w:rPr>
      </w:pPr>
      <w:r>
        <w:rPr>
          <w:rFonts w:hint="eastAsia" w:ascii="仿宋_GB2312" w:eastAsia="仿宋_GB2312"/>
          <w:color w:val="auto"/>
          <w:sz w:val="28"/>
          <w:szCs w:val="28"/>
        </w:rPr>
        <w:t>2025年度一般公共预算财政拨款支出184,657,260.04元，主要用于以下方面（按大类）：社会保障和就业支出431,636.34元，占本年财政拨款支出</w:t>
      </w:r>
      <w:r>
        <w:rPr>
          <w:rFonts w:hint="eastAsia" w:ascii="仿宋_GB2312" w:eastAsia="仿宋_GB2312"/>
          <w:color w:val="auto"/>
          <w:sz w:val="28"/>
          <w:szCs w:val="28"/>
          <w:lang w:val="en-US" w:eastAsia="zh-CN"/>
        </w:rPr>
        <w:t>0.2</w:t>
      </w:r>
      <w:r>
        <w:rPr>
          <w:rFonts w:hint="eastAsia" w:ascii="仿宋_GB2312" w:eastAsia="仿宋_GB2312"/>
          <w:color w:val="auto"/>
          <w:sz w:val="28"/>
          <w:szCs w:val="28"/>
        </w:rPr>
        <w:t>%； 节能环保支出11,609,052.03</w:t>
      </w:r>
      <w:r>
        <w:rPr>
          <w:rFonts w:hint="eastAsia" w:ascii="仿宋_GB2312" w:eastAsia="仿宋_GB2312"/>
          <w:color w:val="auto"/>
          <w:sz w:val="28"/>
          <w:szCs w:val="28"/>
          <w:lang w:eastAsia="zh-CN"/>
        </w:rPr>
        <w:t>元，</w:t>
      </w:r>
      <w:r>
        <w:rPr>
          <w:rFonts w:hint="eastAsia" w:ascii="仿宋_GB2312" w:eastAsia="仿宋_GB2312"/>
          <w:color w:val="auto"/>
          <w:sz w:val="28"/>
          <w:szCs w:val="28"/>
        </w:rPr>
        <w:t>占本年财政拨款支出</w:t>
      </w:r>
      <w:r>
        <w:rPr>
          <w:rFonts w:hint="eastAsia" w:ascii="仿宋_GB2312" w:eastAsia="仿宋_GB2312"/>
          <w:color w:val="auto"/>
          <w:sz w:val="28"/>
          <w:szCs w:val="28"/>
          <w:lang w:val="en-US" w:eastAsia="zh-CN"/>
        </w:rPr>
        <w:t>6.3</w:t>
      </w:r>
      <w:r>
        <w:rPr>
          <w:rFonts w:hint="eastAsia" w:ascii="仿宋_GB2312" w:eastAsia="仿宋_GB2312"/>
          <w:color w:val="auto"/>
          <w:sz w:val="28"/>
          <w:szCs w:val="28"/>
        </w:rPr>
        <w:t>%</w:t>
      </w:r>
      <w:r>
        <w:rPr>
          <w:rFonts w:hint="eastAsia" w:ascii="仿宋_GB2312" w:eastAsia="仿宋_GB2312"/>
          <w:color w:val="auto"/>
          <w:sz w:val="28"/>
          <w:szCs w:val="28"/>
          <w:lang w:eastAsia="zh-CN"/>
        </w:rPr>
        <w:t>；城乡社区支出172,616,571.67元，</w:t>
      </w:r>
      <w:r>
        <w:rPr>
          <w:rFonts w:hint="eastAsia" w:ascii="仿宋_GB2312" w:eastAsia="仿宋_GB2312"/>
          <w:color w:val="auto"/>
          <w:sz w:val="28"/>
          <w:szCs w:val="28"/>
        </w:rPr>
        <w:t>占本年财政拨款支出</w:t>
      </w:r>
      <w:r>
        <w:rPr>
          <w:rFonts w:hint="eastAsia" w:ascii="仿宋_GB2312" w:eastAsia="仿宋_GB2312"/>
          <w:color w:val="auto"/>
          <w:sz w:val="28"/>
          <w:szCs w:val="28"/>
          <w:lang w:val="en-US" w:eastAsia="zh-CN"/>
        </w:rPr>
        <w:t>93.5</w:t>
      </w:r>
      <w:r>
        <w:rPr>
          <w:rFonts w:hint="eastAsia" w:ascii="仿宋_GB2312" w:eastAsia="仿宋_GB2312"/>
          <w:color w:val="auto"/>
          <w:sz w:val="28"/>
          <w:szCs w:val="28"/>
        </w:rPr>
        <w:t>%。</w:t>
      </w:r>
    </w:p>
    <w:p>
      <w:pPr>
        <w:autoSpaceDE w:val="0"/>
        <w:autoSpaceDN w:val="0"/>
        <w:adjustRightInd w:val="0"/>
        <w:spacing w:line="580" w:lineRule="exact"/>
        <w:ind w:firstLine="560" w:firstLineChars="200"/>
        <w:jc w:val="left"/>
        <w:rPr>
          <w:rFonts w:ascii="仿宋_GB2312" w:eastAsia="仿宋_GB2312"/>
          <w:color w:val="auto"/>
          <w:sz w:val="28"/>
          <w:szCs w:val="28"/>
        </w:rPr>
      </w:pPr>
      <w:r>
        <w:rPr>
          <w:rFonts w:hint="eastAsia" w:ascii="仿宋_GB2312" w:eastAsia="仿宋_GB2312"/>
          <w:color w:val="auto"/>
          <w:sz w:val="28"/>
          <w:szCs w:val="28"/>
        </w:rPr>
        <w:t>（二）一般公共预算财政拨款支出决算具体情况</w:t>
      </w:r>
    </w:p>
    <w:p>
      <w:pPr>
        <w:autoSpaceDE w:val="0"/>
        <w:autoSpaceDN w:val="0"/>
        <w:adjustRightInd w:val="0"/>
        <w:spacing w:line="580" w:lineRule="exact"/>
        <w:ind w:firstLine="560" w:firstLineChars="200"/>
        <w:jc w:val="left"/>
        <w:rPr>
          <w:rFonts w:ascii="仿宋_GB2312" w:eastAsia="仿宋_GB2312"/>
          <w:color w:val="auto"/>
          <w:sz w:val="28"/>
          <w:szCs w:val="28"/>
        </w:rPr>
      </w:pPr>
      <w:r>
        <w:rPr>
          <w:rFonts w:hint="eastAsia" w:ascii="仿宋_GB2312" w:eastAsia="仿宋_GB2312"/>
          <w:color w:val="auto"/>
          <w:sz w:val="28"/>
          <w:szCs w:val="28"/>
        </w:rPr>
        <w:t>1、“社会保障和就业支出”（类）2025年度年初预算</w:t>
      </w:r>
      <w:r>
        <w:rPr>
          <w:rFonts w:hint="eastAsia" w:ascii="仿宋_GB2312" w:eastAsia="仿宋_GB2312"/>
          <w:color w:val="auto"/>
          <w:sz w:val="28"/>
          <w:szCs w:val="28"/>
          <w:lang w:val="en-US" w:eastAsia="zh-CN"/>
        </w:rPr>
        <w:t>455,806.00</w:t>
      </w:r>
      <w:r>
        <w:rPr>
          <w:rFonts w:hint="eastAsia" w:ascii="仿宋_GB2312" w:eastAsia="仿宋_GB2312"/>
          <w:color w:val="auto"/>
          <w:sz w:val="28"/>
          <w:szCs w:val="28"/>
        </w:rPr>
        <w:t>元，2025年度决算</w:t>
      </w:r>
      <w:r>
        <w:rPr>
          <w:rFonts w:hint="eastAsia" w:ascii="仿宋_GB2312" w:eastAsia="仿宋_GB2312"/>
          <w:color w:val="auto"/>
          <w:sz w:val="28"/>
          <w:szCs w:val="28"/>
          <w:lang w:val="en-US" w:eastAsia="zh-CN"/>
        </w:rPr>
        <w:t>431,636.34</w:t>
      </w:r>
      <w:r>
        <w:rPr>
          <w:rFonts w:hint="eastAsia" w:ascii="仿宋_GB2312" w:eastAsia="仿宋_GB2312"/>
          <w:color w:val="auto"/>
          <w:sz w:val="28"/>
          <w:szCs w:val="28"/>
        </w:rPr>
        <w:t>元，完成年初预算的</w:t>
      </w:r>
      <w:r>
        <w:rPr>
          <w:rFonts w:hint="eastAsia" w:ascii="仿宋_GB2312" w:eastAsia="仿宋_GB2312"/>
          <w:color w:val="auto"/>
          <w:sz w:val="28"/>
          <w:szCs w:val="28"/>
          <w:lang w:val="en-US" w:eastAsia="zh-CN"/>
        </w:rPr>
        <w:t>94.7</w:t>
      </w:r>
      <w:r>
        <w:rPr>
          <w:rFonts w:hint="eastAsia" w:ascii="仿宋_GB2312" w:eastAsia="仿宋_GB2312"/>
          <w:color w:val="auto"/>
          <w:sz w:val="28"/>
          <w:szCs w:val="28"/>
        </w:rPr>
        <w:t>%。</w:t>
      </w:r>
    </w:p>
    <w:p>
      <w:pPr>
        <w:autoSpaceDE w:val="0"/>
        <w:autoSpaceDN w:val="0"/>
        <w:adjustRightInd w:val="0"/>
        <w:spacing w:line="580" w:lineRule="exact"/>
        <w:jc w:val="left"/>
        <w:rPr>
          <w:rFonts w:ascii="仿宋_GB2312" w:eastAsia="仿宋_GB2312"/>
          <w:color w:val="auto"/>
          <w:sz w:val="28"/>
          <w:szCs w:val="28"/>
        </w:rPr>
      </w:pPr>
      <w:r>
        <w:rPr>
          <w:rFonts w:hint="eastAsia" w:ascii="仿宋_GB2312" w:eastAsia="仿宋_GB2312"/>
          <w:color w:val="auto"/>
          <w:sz w:val="28"/>
          <w:szCs w:val="28"/>
        </w:rPr>
        <w:t>其中：</w:t>
      </w:r>
    </w:p>
    <w:p>
      <w:pPr>
        <w:spacing w:line="580" w:lineRule="exact"/>
        <w:ind w:firstLine="560" w:firstLineChars="200"/>
        <w:rPr>
          <w:rFonts w:ascii="仿宋_GB2312" w:eastAsia="仿宋_GB2312"/>
          <w:color w:val="auto"/>
          <w:sz w:val="28"/>
          <w:szCs w:val="28"/>
        </w:rPr>
      </w:pPr>
      <w:r>
        <w:rPr>
          <w:rFonts w:hint="eastAsia" w:ascii="仿宋_GB2312" w:eastAsia="仿宋_GB2312"/>
          <w:color w:val="auto"/>
          <w:sz w:val="28"/>
          <w:szCs w:val="28"/>
        </w:rPr>
        <w:t>“行政事业单位养老支出”（款，下同）2025年度年初预算</w:t>
      </w:r>
      <w:r>
        <w:rPr>
          <w:rFonts w:hint="eastAsia" w:ascii="仿宋_GB2312" w:eastAsia="仿宋_GB2312"/>
          <w:color w:val="auto"/>
          <w:sz w:val="28"/>
          <w:szCs w:val="28"/>
          <w:lang w:val="en-US" w:eastAsia="zh-CN"/>
        </w:rPr>
        <w:t>455,806.00</w:t>
      </w:r>
      <w:r>
        <w:rPr>
          <w:rFonts w:hint="eastAsia" w:ascii="仿宋_GB2312" w:eastAsia="仿宋_GB2312"/>
          <w:color w:val="auto"/>
          <w:sz w:val="28"/>
          <w:szCs w:val="28"/>
        </w:rPr>
        <w:t>元，2025年度决算</w:t>
      </w:r>
      <w:r>
        <w:rPr>
          <w:rFonts w:hint="eastAsia" w:ascii="仿宋_GB2312" w:eastAsia="仿宋_GB2312"/>
          <w:color w:val="auto"/>
          <w:sz w:val="28"/>
          <w:szCs w:val="28"/>
          <w:lang w:val="en-US" w:eastAsia="zh-CN"/>
        </w:rPr>
        <w:t>431,636.34</w:t>
      </w:r>
      <w:r>
        <w:rPr>
          <w:rFonts w:hint="eastAsia" w:ascii="仿宋_GB2312" w:eastAsia="仿宋_GB2312"/>
          <w:color w:val="auto"/>
          <w:sz w:val="28"/>
          <w:szCs w:val="28"/>
        </w:rPr>
        <w:t>元，完成年初预算的</w:t>
      </w:r>
      <w:r>
        <w:rPr>
          <w:rFonts w:hint="eastAsia" w:ascii="仿宋_GB2312" w:eastAsia="仿宋_GB2312"/>
          <w:color w:val="auto"/>
          <w:sz w:val="28"/>
          <w:szCs w:val="28"/>
          <w:lang w:val="en-US" w:eastAsia="zh-CN"/>
        </w:rPr>
        <w:t>94.69</w:t>
      </w:r>
      <w:r>
        <w:rPr>
          <w:rFonts w:hint="eastAsia" w:ascii="仿宋_GB2312" w:eastAsia="仿宋_GB2312"/>
          <w:color w:val="auto"/>
          <w:sz w:val="28"/>
          <w:szCs w:val="28"/>
        </w:rPr>
        <w:t>%。主要原因：</w:t>
      </w:r>
      <w:r>
        <w:rPr>
          <w:rFonts w:hint="eastAsia" w:ascii="仿宋_GB2312" w:eastAsia="仿宋_GB2312"/>
          <w:color w:val="auto"/>
          <w:sz w:val="28"/>
          <w:szCs w:val="28"/>
          <w:lang w:eastAsia="zh-CN"/>
        </w:rPr>
        <w:t>经费调剂减少</w:t>
      </w:r>
      <w:r>
        <w:rPr>
          <w:rFonts w:hint="eastAsia" w:ascii="仿宋_GB2312" w:eastAsia="仿宋_GB2312"/>
          <w:color w:val="auto"/>
          <w:sz w:val="28"/>
          <w:szCs w:val="28"/>
        </w:rPr>
        <w:t>。</w:t>
      </w:r>
    </w:p>
    <w:p>
      <w:pPr>
        <w:spacing w:line="580" w:lineRule="exact"/>
        <w:ind w:firstLine="560" w:firstLineChars="200"/>
        <w:rPr>
          <w:rFonts w:ascii="仿宋_GB2312" w:eastAsia="仿宋_GB2312"/>
          <w:color w:val="auto"/>
          <w:sz w:val="28"/>
          <w:szCs w:val="28"/>
        </w:rPr>
      </w:pPr>
      <w:r>
        <w:rPr>
          <w:rFonts w:hint="eastAsia" w:ascii="仿宋_GB2312" w:eastAsia="仿宋_GB2312"/>
          <w:color w:val="auto"/>
          <w:sz w:val="28"/>
          <w:szCs w:val="28"/>
        </w:rPr>
        <w:t>2、“节能环保支出”(类)2025年度年初预算</w:t>
      </w:r>
      <w:r>
        <w:rPr>
          <w:rFonts w:hint="eastAsia" w:ascii="仿宋_GB2312" w:eastAsia="仿宋_GB2312"/>
          <w:color w:val="auto"/>
          <w:sz w:val="28"/>
          <w:szCs w:val="28"/>
          <w:lang w:val="en-US" w:eastAsia="zh-CN"/>
        </w:rPr>
        <w:t>17,828,117.97</w:t>
      </w:r>
      <w:r>
        <w:rPr>
          <w:rFonts w:hint="eastAsia" w:ascii="仿宋_GB2312" w:eastAsia="仿宋_GB2312"/>
          <w:color w:val="auto"/>
          <w:sz w:val="28"/>
          <w:szCs w:val="28"/>
        </w:rPr>
        <w:t>元，2025年度决算</w:t>
      </w:r>
      <w:r>
        <w:rPr>
          <w:rFonts w:hint="eastAsia" w:ascii="仿宋_GB2312" w:eastAsia="仿宋_GB2312"/>
          <w:color w:val="auto"/>
          <w:sz w:val="28"/>
          <w:szCs w:val="28"/>
          <w:lang w:val="en-US" w:eastAsia="zh-CN"/>
        </w:rPr>
        <w:t>11,609,052.03</w:t>
      </w:r>
      <w:r>
        <w:rPr>
          <w:rFonts w:hint="eastAsia" w:ascii="仿宋_GB2312" w:eastAsia="仿宋_GB2312"/>
          <w:color w:val="auto"/>
          <w:sz w:val="28"/>
          <w:szCs w:val="28"/>
        </w:rPr>
        <w:t>元，完成年初预算的</w:t>
      </w:r>
      <w:r>
        <w:rPr>
          <w:rFonts w:hint="eastAsia" w:ascii="仿宋_GB2312" w:eastAsia="仿宋_GB2312"/>
          <w:color w:val="auto"/>
          <w:sz w:val="28"/>
          <w:szCs w:val="28"/>
          <w:lang w:val="en-US" w:eastAsia="zh-CN"/>
        </w:rPr>
        <w:t>65.1</w:t>
      </w:r>
      <w:r>
        <w:rPr>
          <w:rFonts w:hint="eastAsia" w:ascii="仿宋_GB2312" w:eastAsia="仿宋_GB2312"/>
          <w:color w:val="auto"/>
          <w:sz w:val="28"/>
          <w:szCs w:val="28"/>
        </w:rPr>
        <w:t>%。其中：</w:t>
      </w:r>
    </w:p>
    <w:p>
      <w:pPr>
        <w:spacing w:line="580" w:lineRule="exact"/>
        <w:ind w:firstLine="560" w:firstLineChars="200"/>
        <w:rPr>
          <w:rFonts w:hint="eastAsia" w:ascii="仿宋_GB2312" w:eastAsia="仿宋_GB2312"/>
          <w:color w:val="auto"/>
          <w:sz w:val="28"/>
          <w:szCs w:val="28"/>
        </w:rPr>
      </w:pPr>
      <w:r>
        <w:rPr>
          <w:rFonts w:hint="eastAsia" w:ascii="仿宋_GB2312" w:eastAsia="仿宋_GB2312"/>
          <w:color w:val="auto"/>
          <w:sz w:val="28"/>
          <w:szCs w:val="28"/>
        </w:rPr>
        <w:t>“环境监测与监察”（款）2025年度年初预算</w:t>
      </w:r>
      <w:r>
        <w:rPr>
          <w:rFonts w:hint="eastAsia" w:ascii="仿宋_GB2312" w:eastAsia="仿宋_GB2312"/>
          <w:color w:val="auto"/>
          <w:sz w:val="28"/>
          <w:szCs w:val="28"/>
          <w:lang w:val="en-US" w:eastAsia="zh-CN"/>
        </w:rPr>
        <w:t>288,600</w:t>
      </w:r>
      <w:r>
        <w:rPr>
          <w:rFonts w:hint="eastAsia" w:ascii="仿宋_GB2312" w:eastAsia="仿宋_GB2312"/>
          <w:color w:val="auto"/>
          <w:sz w:val="28"/>
          <w:szCs w:val="28"/>
        </w:rPr>
        <w:t>元，2025年度决算</w:t>
      </w:r>
      <w:r>
        <w:rPr>
          <w:rFonts w:hint="eastAsia" w:ascii="仿宋_GB2312" w:eastAsia="仿宋_GB2312"/>
          <w:color w:val="auto"/>
          <w:sz w:val="28"/>
          <w:szCs w:val="28"/>
          <w:lang w:val="en-US" w:eastAsia="zh-CN"/>
        </w:rPr>
        <w:t>288,000.00</w:t>
      </w:r>
      <w:r>
        <w:rPr>
          <w:rFonts w:hint="eastAsia" w:ascii="仿宋_GB2312" w:eastAsia="仿宋_GB2312"/>
          <w:color w:val="auto"/>
          <w:sz w:val="28"/>
          <w:szCs w:val="28"/>
        </w:rPr>
        <w:t>元，完成年初预算的</w:t>
      </w:r>
      <w:r>
        <w:rPr>
          <w:rFonts w:hint="eastAsia" w:ascii="仿宋_GB2312" w:eastAsia="仿宋_GB2312"/>
          <w:color w:val="auto"/>
          <w:sz w:val="28"/>
          <w:szCs w:val="28"/>
          <w:lang w:val="en-US" w:eastAsia="zh-CN"/>
        </w:rPr>
        <w:t>99.8</w:t>
      </w:r>
      <w:r>
        <w:rPr>
          <w:rFonts w:hint="eastAsia" w:ascii="仿宋_GB2312" w:eastAsia="仿宋_GB2312"/>
          <w:color w:val="auto"/>
          <w:sz w:val="28"/>
          <w:szCs w:val="28"/>
        </w:rPr>
        <w:t>%。主要原因：</w:t>
      </w:r>
      <w:r>
        <w:rPr>
          <w:rFonts w:hint="eastAsia" w:ascii="仿宋_GB2312" w:eastAsia="仿宋_GB2312"/>
          <w:color w:val="auto"/>
          <w:sz w:val="28"/>
          <w:szCs w:val="28"/>
          <w:lang w:eastAsia="zh-CN"/>
        </w:rPr>
        <w:t>项目资金结余</w:t>
      </w:r>
      <w:r>
        <w:rPr>
          <w:rFonts w:hint="eastAsia" w:ascii="仿宋_GB2312" w:eastAsia="仿宋_GB2312"/>
          <w:color w:val="auto"/>
          <w:sz w:val="28"/>
          <w:szCs w:val="28"/>
        </w:rPr>
        <w:t>。</w:t>
      </w:r>
    </w:p>
    <w:p>
      <w:pPr>
        <w:spacing w:line="580" w:lineRule="exact"/>
        <w:ind w:firstLine="560" w:firstLineChars="200"/>
        <w:rPr>
          <w:rFonts w:hint="eastAsia" w:ascii="仿宋_GB2312" w:eastAsia="仿宋_GB2312"/>
          <w:color w:val="auto"/>
          <w:sz w:val="28"/>
          <w:szCs w:val="28"/>
        </w:rPr>
      </w:pPr>
      <w:r>
        <w:rPr>
          <w:rFonts w:hint="eastAsia" w:ascii="仿宋_GB2312" w:eastAsia="仿宋_GB2312"/>
          <w:color w:val="auto"/>
          <w:sz w:val="28"/>
          <w:szCs w:val="28"/>
        </w:rPr>
        <w:t>“其他节能环保支出”（款）2025年度年初预算</w:t>
      </w:r>
      <w:r>
        <w:rPr>
          <w:rFonts w:hint="eastAsia" w:ascii="仿宋_GB2312" w:eastAsia="仿宋_GB2312"/>
          <w:color w:val="auto"/>
          <w:sz w:val="28"/>
          <w:szCs w:val="28"/>
          <w:lang w:val="en-US" w:eastAsia="zh-CN"/>
        </w:rPr>
        <w:t>17,539,517.97</w:t>
      </w:r>
      <w:r>
        <w:rPr>
          <w:rFonts w:hint="eastAsia" w:ascii="仿宋_GB2312" w:eastAsia="仿宋_GB2312"/>
          <w:color w:val="auto"/>
          <w:sz w:val="28"/>
          <w:szCs w:val="28"/>
        </w:rPr>
        <w:t>元，2025年度决算</w:t>
      </w:r>
      <w:r>
        <w:rPr>
          <w:rFonts w:hint="eastAsia" w:ascii="仿宋_GB2312" w:eastAsia="仿宋_GB2312"/>
          <w:color w:val="auto"/>
          <w:sz w:val="28"/>
          <w:szCs w:val="28"/>
          <w:lang w:val="en-US" w:eastAsia="zh-CN"/>
        </w:rPr>
        <w:t>11,321,052.03</w:t>
      </w:r>
      <w:r>
        <w:rPr>
          <w:rFonts w:hint="eastAsia" w:ascii="仿宋_GB2312" w:eastAsia="仿宋_GB2312"/>
          <w:color w:val="auto"/>
          <w:sz w:val="28"/>
          <w:szCs w:val="28"/>
        </w:rPr>
        <w:t>元，完成年初预算的</w:t>
      </w:r>
      <w:r>
        <w:rPr>
          <w:rFonts w:hint="eastAsia" w:ascii="仿宋_GB2312" w:eastAsia="仿宋_GB2312"/>
          <w:color w:val="auto"/>
          <w:sz w:val="28"/>
          <w:szCs w:val="28"/>
          <w:lang w:val="en-US" w:eastAsia="zh-CN"/>
        </w:rPr>
        <w:t>64.5</w:t>
      </w:r>
      <w:r>
        <w:rPr>
          <w:rFonts w:hint="eastAsia" w:ascii="仿宋_GB2312" w:eastAsia="仿宋_GB2312"/>
          <w:color w:val="auto"/>
          <w:sz w:val="28"/>
          <w:szCs w:val="28"/>
        </w:rPr>
        <w:t>%。主要原因：</w:t>
      </w:r>
      <w:r>
        <w:rPr>
          <w:rFonts w:hint="eastAsia" w:ascii="仿宋_GB2312" w:eastAsia="仿宋_GB2312"/>
          <w:color w:val="auto"/>
          <w:sz w:val="28"/>
          <w:szCs w:val="28"/>
          <w:lang w:eastAsia="zh-CN"/>
        </w:rPr>
        <w:t>项目资金结余</w:t>
      </w:r>
      <w:r>
        <w:rPr>
          <w:rFonts w:hint="eastAsia" w:ascii="仿宋_GB2312" w:eastAsia="仿宋_GB2312"/>
          <w:color w:val="auto"/>
          <w:sz w:val="28"/>
          <w:szCs w:val="28"/>
        </w:rPr>
        <w:t>。</w:t>
      </w:r>
    </w:p>
    <w:p>
      <w:pPr>
        <w:spacing w:line="580" w:lineRule="exact"/>
        <w:ind w:firstLine="560" w:firstLineChars="200"/>
        <w:rPr>
          <w:rFonts w:ascii="仿宋_GB2312" w:eastAsia="仿宋_GB2312"/>
          <w:color w:val="auto"/>
          <w:sz w:val="28"/>
          <w:szCs w:val="28"/>
        </w:rPr>
      </w:pPr>
      <w:r>
        <w:rPr>
          <w:rFonts w:hint="eastAsia" w:ascii="仿宋_GB2312" w:eastAsia="仿宋_GB2312"/>
          <w:color w:val="auto"/>
          <w:sz w:val="28"/>
          <w:szCs w:val="28"/>
          <w:lang w:val="en-US" w:eastAsia="zh-CN"/>
        </w:rPr>
        <w:t>3</w:t>
      </w:r>
      <w:r>
        <w:rPr>
          <w:rFonts w:hint="eastAsia" w:ascii="仿宋_GB2312" w:eastAsia="仿宋_GB2312"/>
          <w:color w:val="auto"/>
          <w:sz w:val="28"/>
          <w:szCs w:val="28"/>
        </w:rPr>
        <w:t>、“城乡社区支出”(类)2025年度年初预算</w:t>
      </w:r>
      <w:r>
        <w:rPr>
          <w:rFonts w:hint="eastAsia" w:ascii="仿宋_GB2312" w:eastAsia="仿宋_GB2312"/>
          <w:color w:val="auto"/>
          <w:sz w:val="28"/>
          <w:szCs w:val="28"/>
          <w:lang w:val="en-US" w:eastAsia="zh-CN"/>
        </w:rPr>
        <w:t>30,386,575.61</w:t>
      </w:r>
      <w:r>
        <w:rPr>
          <w:rFonts w:hint="eastAsia" w:ascii="仿宋_GB2312" w:eastAsia="仿宋_GB2312"/>
          <w:color w:val="auto"/>
          <w:sz w:val="28"/>
          <w:szCs w:val="28"/>
        </w:rPr>
        <w:t>元，2025年度决算</w:t>
      </w:r>
      <w:r>
        <w:rPr>
          <w:rFonts w:hint="eastAsia" w:ascii="仿宋_GB2312" w:eastAsia="仿宋_GB2312"/>
          <w:color w:val="auto"/>
          <w:sz w:val="28"/>
          <w:szCs w:val="28"/>
          <w:lang w:val="en-US" w:eastAsia="zh-CN"/>
        </w:rPr>
        <w:t>172,616,571.67</w:t>
      </w:r>
      <w:r>
        <w:rPr>
          <w:rFonts w:hint="eastAsia" w:ascii="仿宋_GB2312" w:eastAsia="仿宋_GB2312"/>
          <w:color w:val="auto"/>
          <w:sz w:val="28"/>
          <w:szCs w:val="28"/>
        </w:rPr>
        <w:t>元，完成年初预算的</w:t>
      </w:r>
      <w:r>
        <w:rPr>
          <w:rFonts w:hint="eastAsia" w:ascii="仿宋_GB2312" w:eastAsia="仿宋_GB2312"/>
          <w:color w:val="auto"/>
          <w:sz w:val="28"/>
          <w:szCs w:val="28"/>
          <w:lang w:val="en-US" w:eastAsia="zh-CN"/>
        </w:rPr>
        <w:t>197.71</w:t>
      </w:r>
      <w:r>
        <w:rPr>
          <w:rFonts w:hint="eastAsia" w:ascii="仿宋_GB2312" w:eastAsia="仿宋_GB2312"/>
          <w:color w:val="auto"/>
          <w:sz w:val="28"/>
          <w:szCs w:val="28"/>
        </w:rPr>
        <w:t>%。其中：</w:t>
      </w:r>
    </w:p>
    <w:p>
      <w:pPr>
        <w:spacing w:line="580" w:lineRule="exact"/>
        <w:ind w:firstLine="560" w:firstLineChars="200"/>
        <w:rPr>
          <w:rFonts w:hint="eastAsia" w:ascii="仿宋_GB2312" w:eastAsia="仿宋_GB2312"/>
          <w:color w:val="auto"/>
          <w:sz w:val="28"/>
          <w:szCs w:val="28"/>
        </w:rPr>
      </w:pPr>
      <w:r>
        <w:rPr>
          <w:rFonts w:hint="eastAsia" w:ascii="仿宋_GB2312" w:eastAsia="仿宋_GB2312"/>
          <w:color w:val="auto"/>
          <w:sz w:val="28"/>
          <w:szCs w:val="28"/>
        </w:rPr>
        <w:t>“城乡社区管理事务”（款）2025年度年初预算</w:t>
      </w:r>
      <w:r>
        <w:rPr>
          <w:rFonts w:hint="eastAsia" w:ascii="仿宋_GB2312" w:eastAsia="仿宋_GB2312"/>
          <w:color w:val="auto"/>
          <w:sz w:val="28"/>
          <w:szCs w:val="28"/>
          <w:lang w:val="en-US" w:eastAsia="zh-CN"/>
        </w:rPr>
        <w:t>972,757.31</w:t>
      </w:r>
      <w:r>
        <w:rPr>
          <w:rFonts w:hint="eastAsia" w:ascii="仿宋_GB2312" w:eastAsia="仿宋_GB2312"/>
          <w:color w:val="auto"/>
          <w:sz w:val="28"/>
          <w:szCs w:val="28"/>
        </w:rPr>
        <w:t>元，2025年度决算</w:t>
      </w:r>
      <w:r>
        <w:rPr>
          <w:rFonts w:hint="eastAsia" w:ascii="仿宋_GB2312" w:eastAsia="仿宋_GB2312"/>
          <w:color w:val="auto"/>
          <w:sz w:val="28"/>
          <w:szCs w:val="28"/>
          <w:lang w:val="en-US" w:eastAsia="zh-CN"/>
        </w:rPr>
        <w:t>916,618.18</w:t>
      </w:r>
      <w:r>
        <w:rPr>
          <w:rFonts w:hint="eastAsia" w:ascii="仿宋_GB2312" w:eastAsia="仿宋_GB2312"/>
          <w:color w:val="auto"/>
          <w:sz w:val="28"/>
          <w:szCs w:val="28"/>
        </w:rPr>
        <w:t>元，完成年初预算的</w:t>
      </w:r>
      <w:r>
        <w:rPr>
          <w:rFonts w:hint="eastAsia" w:ascii="仿宋_GB2312" w:eastAsia="仿宋_GB2312"/>
          <w:color w:val="auto"/>
          <w:sz w:val="28"/>
          <w:szCs w:val="28"/>
          <w:lang w:val="en-US" w:eastAsia="zh-CN"/>
        </w:rPr>
        <w:t>94.2</w:t>
      </w:r>
      <w:r>
        <w:rPr>
          <w:rFonts w:hint="eastAsia" w:ascii="仿宋_GB2312" w:eastAsia="仿宋_GB2312"/>
          <w:color w:val="auto"/>
          <w:sz w:val="28"/>
          <w:szCs w:val="28"/>
        </w:rPr>
        <w:t>%。主要原因：</w:t>
      </w:r>
      <w:r>
        <w:rPr>
          <w:rFonts w:hint="eastAsia" w:ascii="仿宋_GB2312" w:eastAsia="仿宋_GB2312"/>
          <w:color w:val="auto"/>
          <w:sz w:val="28"/>
          <w:szCs w:val="28"/>
          <w:lang w:eastAsia="zh-CN"/>
        </w:rPr>
        <w:t>项目资金结余</w:t>
      </w:r>
      <w:r>
        <w:rPr>
          <w:rFonts w:hint="eastAsia" w:ascii="仿宋_GB2312" w:eastAsia="仿宋_GB2312"/>
          <w:color w:val="auto"/>
          <w:sz w:val="28"/>
          <w:szCs w:val="28"/>
        </w:rPr>
        <w:t>。</w:t>
      </w:r>
    </w:p>
    <w:p>
      <w:pPr>
        <w:spacing w:line="580" w:lineRule="exact"/>
        <w:ind w:firstLine="560" w:firstLineChars="200"/>
        <w:rPr>
          <w:rFonts w:hint="eastAsia" w:ascii="仿宋_GB2312" w:eastAsia="仿宋_GB2312"/>
          <w:color w:val="auto"/>
          <w:sz w:val="28"/>
          <w:szCs w:val="28"/>
        </w:rPr>
      </w:pPr>
      <w:r>
        <w:rPr>
          <w:rFonts w:hint="eastAsia" w:ascii="仿宋_GB2312" w:eastAsia="仿宋_GB2312"/>
          <w:color w:val="auto"/>
          <w:sz w:val="28"/>
          <w:szCs w:val="28"/>
        </w:rPr>
        <w:t>“城乡社区公共设施”（款）2025年度年初预算</w:t>
      </w:r>
      <w:r>
        <w:rPr>
          <w:rFonts w:hint="eastAsia" w:ascii="仿宋_GB2312" w:eastAsia="仿宋_GB2312"/>
          <w:color w:val="auto"/>
          <w:sz w:val="28"/>
          <w:szCs w:val="28"/>
          <w:lang w:val="en-US" w:eastAsia="zh-CN"/>
        </w:rPr>
        <w:t>11,830,913.03</w:t>
      </w:r>
      <w:r>
        <w:rPr>
          <w:rFonts w:hint="eastAsia" w:ascii="仿宋_GB2312" w:eastAsia="仿宋_GB2312"/>
          <w:color w:val="auto"/>
          <w:sz w:val="28"/>
          <w:szCs w:val="28"/>
        </w:rPr>
        <w:t>元，2025年度决算</w:t>
      </w:r>
      <w:r>
        <w:rPr>
          <w:rFonts w:hint="eastAsia" w:ascii="仿宋_GB2312" w:eastAsia="仿宋_GB2312"/>
          <w:color w:val="auto"/>
          <w:sz w:val="28"/>
          <w:szCs w:val="28"/>
          <w:lang w:val="en-US" w:eastAsia="zh-CN"/>
        </w:rPr>
        <w:t>89,968,733.96</w:t>
      </w:r>
      <w:r>
        <w:rPr>
          <w:rFonts w:hint="eastAsia" w:ascii="仿宋_GB2312" w:eastAsia="仿宋_GB2312"/>
          <w:color w:val="auto"/>
          <w:sz w:val="28"/>
          <w:szCs w:val="28"/>
        </w:rPr>
        <w:t>元，完成年初预算的</w:t>
      </w:r>
      <w:r>
        <w:rPr>
          <w:rFonts w:hint="eastAsia" w:ascii="仿宋_GB2312" w:eastAsia="仿宋_GB2312"/>
          <w:color w:val="auto"/>
          <w:sz w:val="28"/>
          <w:szCs w:val="28"/>
          <w:lang w:val="en-US" w:eastAsia="zh-CN"/>
        </w:rPr>
        <w:t>760.5</w:t>
      </w:r>
      <w:r>
        <w:rPr>
          <w:rFonts w:hint="eastAsia" w:ascii="仿宋_GB2312" w:eastAsia="仿宋_GB2312"/>
          <w:color w:val="auto"/>
          <w:sz w:val="28"/>
          <w:szCs w:val="28"/>
        </w:rPr>
        <w:t>%。主要原因：</w:t>
      </w:r>
      <w:r>
        <w:rPr>
          <w:rFonts w:hint="eastAsia" w:ascii="仿宋_GB2312" w:eastAsia="仿宋_GB2312"/>
          <w:color w:val="auto"/>
          <w:sz w:val="28"/>
          <w:szCs w:val="28"/>
          <w:lang w:eastAsia="zh-CN"/>
        </w:rPr>
        <w:t>项目增加</w:t>
      </w:r>
      <w:r>
        <w:rPr>
          <w:rFonts w:hint="eastAsia" w:ascii="仿宋_GB2312" w:eastAsia="仿宋_GB2312"/>
          <w:color w:val="auto"/>
          <w:sz w:val="28"/>
          <w:szCs w:val="28"/>
        </w:rPr>
        <w:t>。</w:t>
      </w:r>
    </w:p>
    <w:p>
      <w:pPr>
        <w:spacing w:line="580" w:lineRule="exact"/>
        <w:ind w:firstLine="560" w:firstLineChars="200"/>
        <w:rPr>
          <w:rFonts w:hint="eastAsia" w:ascii="仿宋_GB2312" w:eastAsia="仿宋_GB2312"/>
          <w:color w:val="auto"/>
          <w:sz w:val="28"/>
          <w:szCs w:val="28"/>
        </w:rPr>
      </w:pPr>
      <w:r>
        <w:rPr>
          <w:rFonts w:hint="eastAsia" w:ascii="仿宋_GB2312" w:eastAsia="仿宋_GB2312"/>
          <w:color w:val="auto"/>
          <w:sz w:val="28"/>
          <w:szCs w:val="28"/>
        </w:rPr>
        <w:t>“城乡社区环境卫生”（款）2025年度年初预算</w:t>
      </w:r>
      <w:r>
        <w:rPr>
          <w:rFonts w:hint="eastAsia" w:ascii="仿宋_GB2312" w:eastAsia="仿宋_GB2312"/>
          <w:color w:val="auto"/>
          <w:sz w:val="28"/>
          <w:szCs w:val="28"/>
          <w:lang w:val="en-US" w:eastAsia="zh-CN"/>
        </w:rPr>
        <w:t>17,582,905.27</w:t>
      </w:r>
      <w:r>
        <w:rPr>
          <w:rFonts w:hint="eastAsia" w:ascii="仿宋_GB2312" w:eastAsia="仿宋_GB2312"/>
          <w:color w:val="auto"/>
          <w:sz w:val="28"/>
          <w:szCs w:val="28"/>
        </w:rPr>
        <w:t>元，2025年度决算</w:t>
      </w:r>
      <w:r>
        <w:rPr>
          <w:rFonts w:hint="eastAsia" w:ascii="仿宋_GB2312" w:eastAsia="仿宋_GB2312"/>
          <w:color w:val="auto"/>
          <w:sz w:val="28"/>
          <w:szCs w:val="28"/>
          <w:lang w:val="en-US" w:eastAsia="zh-CN"/>
        </w:rPr>
        <w:t>79,885,910.06</w:t>
      </w:r>
      <w:r>
        <w:rPr>
          <w:rFonts w:hint="eastAsia" w:ascii="仿宋_GB2312" w:eastAsia="仿宋_GB2312"/>
          <w:color w:val="auto"/>
          <w:sz w:val="28"/>
          <w:szCs w:val="28"/>
        </w:rPr>
        <w:t>元，完成年初预算的</w:t>
      </w:r>
      <w:r>
        <w:rPr>
          <w:rFonts w:hint="eastAsia" w:ascii="仿宋_GB2312" w:eastAsia="仿宋_GB2312"/>
          <w:color w:val="auto"/>
          <w:sz w:val="28"/>
          <w:szCs w:val="28"/>
          <w:lang w:val="en-US" w:eastAsia="zh-CN"/>
        </w:rPr>
        <w:t>454.3</w:t>
      </w:r>
      <w:r>
        <w:rPr>
          <w:rFonts w:hint="eastAsia" w:ascii="仿宋_GB2312" w:eastAsia="仿宋_GB2312"/>
          <w:color w:val="auto"/>
          <w:sz w:val="28"/>
          <w:szCs w:val="28"/>
        </w:rPr>
        <w:t>%。主要原因：</w:t>
      </w:r>
      <w:r>
        <w:rPr>
          <w:rFonts w:hint="eastAsia" w:ascii="仿宋_GB2312" w:eastAsia="仿宋_GB2312"/>
          <w:color w:val="auto"/>
          <w:sz w:val="28"/>
          <w:szCs w:val="28"/>
          <w:lang w:eastAsia="zh-CN"/>
        </w:rPr>
        <w:t>项目增加</w:t>
      </w:r>
      <w:r>
        <w:rPr>
          <w:rFonts w:hint="eastAsia" w:ascii="仿宋_GB2312" w:eastAsia="仿宋_GB2312"/>
          <w:color w:val="auto"/>
          <w:sz w:val="28"/>
          <w:szCs w:val="28"/>
        </w:rPr>
        <w:t>。</w:t>
      </w:r>
    </w:p>
    <w:p>
      <w:pPr>
        <w:spacing w:line="580" w:lineRule="exact"/>
        <w:ind w:firstLine="560" w:firstLineChars="200"/>
        <w:rPr>
          <w:rFonts w:hint="eastAsia" w:ascii="仿宋_GB2312" w:eastAsia="仿宋_GB2312"/>
          <w:color w:val="auto"/>
          <w:sz w:val="28"/>
          <w:szCs w:val="28"/>
        </w:rPr>
      </w:pPr>
      <w:r>
        <w:rPr>
          <w:rFonts w:hint="eastAsia" w:ascii="仿宋_GB2312" w:eastAsia="仿宋_GB2312"/>
          <w:color w:val="auto"/>
          <w:sz w:val="28"/>
          <w:szCs w:val="28"/>
        </w:rPr>
        <w:t>“其他城乡社区支出”（款）2025年度年初预算</w:t>
      </w:r>
      <w:r>
        <w:rPr>
          <w:rFonts w:hint="eastAsia" w:ascii="仿宋_GB2312" w:eastAsia="仿宋_GB2312"/>
          <w:color w:val="auto"/>
          <w:sz w:val="28"/>
          <w:szCs w:val="28"/>
          <w:lang w:val="en-US" w:eastAsia="zh-CN"/>
        </w:rPr>
        <w:t>0.00</w:t>
      </w:r>
      <w:r>
        <w:rPr>
          <w:rFonts w:hint="eastAsia" w:ascii="仿宋_GB2312" w:eastAsia="仿宋_GB2312"/>
          <w:color w:val="auto"/>
          <w:sz w:val="28"/>
          <w:szCs w:val="28"/>
        </w:rPr>
        <w:t>万元，2025年度决算</w:t>
      </w:r>
      <w:r>
        <w:rPr>
          <w:rFonts w:hint="eastAsia" w:ascii="仿宋_GB2312" w:eastAsia="仿宋_GB2312"/>
          <w:color w:val="auto"/>
          <w:sz w:val="28"/>
          <w:szCs w:val="28"/>
          <w:lang w:val="en-US" w:eastAsia="zh-CN"/>
        </w:rPr>
        <w:t>1,845,309.47</w:t>
      </w:r>
      <w:r>
        <w:rPr>
          <w:rFonts w:hint="eastAsia" w:ascii="仿宋_GB2312" w:eastAsia="仿宋_GB2312"/>
          <w:color w:val="auto"/>
          <w:sz w:val="28"/>
          <w:szCs w:val="28"/>
        </w:rPr>
        <w:t>元，完成年初预算的</w:t>
      </w:r>
      <w:r>
        <w:rPr>
          <w:rFonts w:hint="eastAsia" w:ascii="仿宋_GB2312" w:eastAsia="仿宋_GB2312"/>
          <w:color w:val="auto"/>
          <w:sz w:val="28"/>
          <w:szCs w:val="28"/>
          <w:lang w:val="en-US" w:eastAsia="zh-CN"/>
        </w:rPr>
        <w:t>184.5</w:t>
      </w:r>
      <w:r>
        <w:rPr>
          <w:rFonts w:hint="eastAsia" w:ascii="仿宋_GB2312" w:eastAsia="仿宋_GB2312"/>
          <w:color w:val="auto"/>
          <w:sz w:val="28"/>
          <w:szCs w:val="28"/>
        </w:rPr>
        <w:t>%。主要原因：</w:t>
      </w:r>
      <w:r>
        <w:rPr>
          <w:rFonts w:hint="eastAsia" w:ascii="仿宋_GB2312" w:eastAsia="仿宋_GB2312"/>
          <w:color w:val="auto"/>
          <w:sz w:val="28"/>
          <w:szCs w:val="28"/>
          <w:lang w:eastAsia="zh-CN"/>
        </w:rPr>
        <w:t>项目增加</w:t>
      </w:r>
      <w:r>
        <w:rPr>
          <w:rFonts w:hint="eastAsia" w:ascii="仿宋_GB2312" w:eastAsia="仿宋_GB2312"/>
          <w:color w:val="auto"/>
          <w:sz w:val="28"/>
          <w:szCs w:val="28"/>
        </w:rPr>
        <w:t>。</w:t>
      </w:r>
    </w:p>
    <w:p>
      <w:pPr>
        <w:spacing w:line="580" w:lineRule="exact"/>
        <w:ind w:firstLine="560" w:firstLineChars="200"/>
        <w:rPr>
          <w:rFonts w:ascii="仿宋_GB2312" w:eastAsia="仿宋_GB2312"/>
          <w:color w:val="auto"/>
          <w:sz w:val="28"/>
          <w:szCs w:val="28"/>
        </w:rPr>
      </w:pPr>
      <w:r>
        <w:rPr>
          <w:rFonts w:hint="eastAsia" w:ascii="黑体" w:eastAsia="黑体"/>
          <w:b/>
          <w:color w:val="auto"/>
          <w:sz w:val="28"/>
          <w:szCs w:val="28"/>
        </w:rPr>
        <w:t>五、政府性基金预算财政拨款支出决算情况说明</w:t>
      </w:r>
    </w:p>
    <w:p>
      <w:pPr>
        <w:autoSpaceDE w:val="0"/>
        <w:autoSpaceDN w:val="0"/>
        <w:adjustRightInd w:val="0"/>
        <w:spacing w:line="580" w:lineRule="exact"/>
        <w:ind w:firstLine="560" w:firstLineChars="200"/>
        <w:jc w:val="left"/>
        <w:rPr>
          <w:rFonts w:ascii="仿宋_GB2312" w:eastAsia="仿宋_GB2312"/>
          <w:color w:val="auto"/>
          <w:sz w:val="28"/>
          <w:szCs w:val="28"/>
        </w:rPr>
      </w:pPr>
      <w:r>
        <w:rPr>
          <w:rFonts w:hint="eastAsia" w:ascii="仿宋_GB2312" w:eastAsia="仿宋_GB2312"/>
          <w:color w:val="auto"/>
          <w:sz w:val="28"/>
          <w:szCs w:val="28"/>
        </w:rPr>
        <w:t>（一）政府性基金预算财政拨款支出决算总体情况</w:t>
      </w:r>
    </w:p>
    <w:p>
      <w:pPr>
        <w:tabs>
          <w:tab w:val="center" w:pos="6979"/>
        </w:tabs>
        <w:spacing w:line="580" w:lineRule="exact"/>
        <w:ind w:firstLine="560" w:firstLineChars="200"/>
        <w:rPr>
          <w:rFonts w:ascii="仿宋_GB2312" w:eastAsia="仿宋_GB2312"/>
          <w:color w:val="auto"/>
          <w:sz w:val="28"/>
          <w:szCs w:val="28"/>
        </w:rPr>
      </w:pPr>
      <w:r>
        <w:rPr>
          <w:rFonts w:hint="eastAsia" w:ascii="仿宋_GB2312" w:eastAsia="仿宋_GB2312"/>
          <w:color w:val="auto"/>
          <w:sz w:val="28"/>
          <w:szCs w:val="28"/>
        </w:rPr>
        <w:t>2025年度政府性基金预算财政拨款支出</w:t>
      </w:r>
      <w:r>
        <w:rPr>
          <w:rFonts w:hint="eastAsia" w:ascii="仿宋_GB2312" w:eastAsia="仿宋_GB2312"/>
          <w:color w:val="auto"/>
          <w:sz w:val="28"/>
          <w:szCs w:val="28"/>
          <w:lang w:val="en-US" w:eastAsia="zh-CN"/>
        </w:rPr>
        <w:t>25,160,226.05</w:t>
      </w:r>
      <w:r>
        <w:rPr>
          <w:rFonts w:hint="eastAsia" w:ascii="仿宋_GB2312" w:eastAsia="仿宋_GB2312"/>
          <w:color w:val="auto"/>
          <w:sz w:val="28"/>
          <w:szCs w:val="28"/>
        </w:rPr>
        <w:t>元，主要用于以下方面（按大类）：城乡社区支出</w:t>
      </w:r>
      <w:r>
        <w:rPr>
          <w:rFonts w:hint="eastAsia" w:ascii="仿宋_GB2312" w:eastAsia="仿宋_GB2312"/>
          <w:color w:val="auto"/>
          <w:sz w:val="28"/>
          <w:szCs w:val="28"/>
          <w:lang w:val="en-US" w:eastAsia="zh-CN"/>
        </w:rPr>
        <w:t>25,160,226.05</w:t>
      </w:r>
      <w:r>
        <w:rPr>
          <w:rFonts w:hint="eastAsia" w:ascii="仿宋_GB2312" w:eastAsia="仿宋_GB2312"/>
          <w:color w:val="auto"/>
          <w:sz w:val="28"/>
          <w:szCs w:val="28"/>
        </w:rPr>
        <w:t>元，占本年财政拨款支出</w:t>
      </w:r>
      <w:r>
        <w:rPr>
          <w:rFonts w:hint="eastAsia" w:ascii="仿宋_GB2312" w:eastAsia="仿宋_GB2312"/>
          <w:color w:val="auto"/>
          <w:sz w:val="28"/>
          <w:szCs w:val="28"/>
          <w:lang w:val="en-US" w:eastAsia="zh-CN"/>
        </w:rPr>
        <w:t>100.00</w:t>
      </w:r>
      <w:r>
        <w:rPr>
          <w:rFonts w:hint="eastAsia" w:ascii="仿宋_GB2312" w:eastAsia="仿宋_GB2312"/>
          <w:color w:val="auto"/>
          <w:sz w:val="28"/>
          <w:szCs w:val="28"/>
        </w:rPr>
        <w:t>%。</w:t>
      </w:r>
    </w:p>
    <w:p>
      <w:pPr>
        <w:autoSpaceDE w:val="0"/>
        <w:autoSpaceDN w:val="0"/>
        <w:adjustRightInd w:val="0"/>
        <w:spacing w:line="580" w:lineRule="exact"/>
        <w:ind w:firstLine="560" w:firstLineChars="200"/>
        <w:jc w:val="left"/>
        <w:rPr>
          <w:rFonts w:ascii="仿宋_GB2312" w:eastAsia="仿宋_GB2312"/>
          <w:color w:val="auto"/>
          <w:sz w:val="28"/>
          <w:szCs w:val="28"/>
        </w:rPr>
      </w:pPr>
      <w:r>
        <w:rPr>
          <w:rFonts w:hint="eastAsia" w:ascii="仿宋_GB2312" w:eastAsia="仿宋_GB2312"/>
          <w:color w:val="auto"/>
          <w:sz w:val="28"/>
          <w:szCs w:val="28"/>
        </w:rPr>
        <w:t>（二）政府性基金预算财政拨款支出决算具体情况</w:t>
      </w:r>
    </w:p>
    <w:p>
      <w:pPr>
        <w:autoSpaceDE w:val="0"/>
        <w:autoSpaceDN w:val="0"/>
        <w:adjustRightInd w:val="0"/>
        <w:spacing w:line="580" w:lineRule="exact"/>
        <w:ind w:firstLine="700" w:firstLineChars="250"/>
        <w:jc w:val="left"/>
        <w:rPr>
          <w:rFonts w:ascii="仿宋_GB2312" w:eastAsia="仿宋_GB2312"/>
          <w:color w:val="auto"/>
          <w:sz w:val="28"/>
          <w:szCs w:val="28"/>
        </w:rPr>
      </w:pPr>
      <w:r>
        <w:rPr>
          <w:rFonts w:hint="eastAsia" w:ascii="仿宋_GB2312" w:eastAsia="仿宋_GB2312"/>
          <w:color w:val="auto"/>
          <w:sz w:val="28"/>
          <w:szCs w:val="28"/>
        </w:rPr>
        <w:t>1、“城乡社区支出”（类）2025年度年初预算</w:t>
      </w:r>
      <w:r>
        <w:rPr>
          <w:rFonts w:hint="eastAsia" w:ascii="仿宋_GB2312" w:eastAsia="仿宋_GB2312"/>
          <w:color w:val="auto"/>
          <w:sz w:val="28"/>
          <w:szCs w:val="28"/>
          <w:lang w:val="en-US" w:eastAsia="zh-CN"/>
        </w:rPr>
        <w:t>0.00</w:t>
      </w:r>
      <w:r>
        <w:rPr>
          <w:rFonts w:hint="eastAsia" w:ascii="仿宋_GB2312" w:eastAsia="仿宋_GB2312"/>
          <w:color w:val="auto"/>
          <w:sz w:val="28"/>
          <w:szCs w:val="28"/>
        </w:rPr>
        <w:t>元，2025年度决算</w:t>
      </w:r>
      <w:r>
        <w:rPr>
          <w:rFonts w:hint="eastAsia" w:ascii="仿宋_GB2312" w:eastAsia="仿宋_GB2312"/>
          <w:color w:val="auto"/>
          <w:sz w:val="28"/>
          <w:szCs w:val="28"/>
          <w:lang w:val="en-US" w:eastAsia="zh-CN"/>
        </w:rPr>
        <w:t>25,160,226.05</w:t>
      </w:r>
      <w:r>
        <w:rPr>
          <w:rFonts w:hint="eastAsia" w:ascii="仿宋_GB2312" w:eastAsia="仿宋_GB2312"/>
          <w:color w:val="auto"/>
          <w:sz w:val="28"/>
          <w:szCs w:val="28"/>
        </w:rPr>
        <w:t>元。其中：</w:t>
      </w:r>
    </w:p>
    <w:p>
      <w:pPr>
        <w:spacing w:line="580" w:lineRule="exact"/>
        <w:ind w:firstLine="560" w:firstLineChars="200"/>
        <w:rPr>
          <w:rFonts w:ascii="仿宋_GB2312" w:eastAsia="仿宋_GB2312"/>
          <w:color w:val="auto"/>
          <w:sz w:val="28"/>
          <w:szCs w:val="28"/>
        </w:rPr>
      </w:pPr>
      <w:r>
        <w:rPr>
          <w:rFonts w:hint="eastAsia" w:ascii="仿宋_GB2312" w:eastAsia="仿宋_GB2312"/>
          <w:color w:val="auto"/>
          <w:sz w:val="28"/>
          <w:szCs w:val="28"/>
        </w:rPr>
        <w:t>“国有土地使用权出让收入安排的支出”（款）2025年度年初预算</w:t>
      </w:r>
      <w:r>
        <w:rPr>
          <w:rFonts w:hint="eastAsia" w:ascii="仿宋_GB2312" w:eastAsia="仿宋_GB2312"/>
          <w:color w:val="auto"/>
          <w:sz w:val="28"/>
          <w:szCs w:val="28"/>
          <w:lang w:val="en-US" w:eastAsia="zh-CN"/>
        </w:rPr>
        <w:t>0.00</w:t>
      </w:r>
      <w:r>
        <w:rPr>
          <w:rFonts w:hint="eastAsia" w:ascii="仿宋_GB2312" w:eastAsia="仿宋_GB2312"/>
          <w:color w:val="auto"/>
          <w:sz w:val="28"/>
          <w:szCs w:val="28"/>
        </w:rPr>
        <w:t>元，2025年度决算</w:t>
      </w:r>
      <w:r>
        <w:rPr>
          <w:rFonts w:hint="eastAsia" w:ascii="仿宋_GB2312" w:eastAsia="仿宋_GB2312"/>
          <w:color w:val="auto"/>
          <w:sz w:val="28"/>
          <w:szCs w:val="28"/>
          <w:lang w:val="en-US" w:eastAsia="zh-CN"/>
        </w:rPr>
        <w:t>14,274,123.16</w:t>
      </w:r>
      <w:r>
        <w:rPr>
          <w:rFonts w:hint="eastAsia" w:ascii="仿宋_GB2312" w:eastAsia="仿宋_GB2312"/>
          <w:color w:val="auto"/>
          <w:sz w:val="28"/>
          <w:szCs w:val="28"/>
        </w:rPr>
        <w:t>元。主要原因：</w:t>
      </w:r>
      <w:r>
        <w:rPr>
          <w:rFonts w:hint="eastAsia" w:ascii="仿宋_GB2312" w:eastAsia="仿宋_GB2312"/>
          <w:color w:val="auto"/>
          <w:sz w:val="28"/>
          <w:szCs w:val="28"/>
          <w:lang w:eastAsia="zh-CN"/>
        </w:rPr>
        <w:t>项目调整</w:t>
      </w:r>
      <w:r>
        <w:rPr>
          <w:rFonts w:hint="eastAsia" w:ascii="仿宋_GB2312" w:eastAsia="仿宋_GB2312"/>
          <w:color w:val="auto"/>
          <w:sz w:val="28"/>
          <w:szCs w:val="28"/>
        </w:rPr>
        <w:t>。</w:t>
      </w:r>
    </w:p>
    <w:p>
      <w:pPr>
        <w:spacing w:line="580" w:lineRule="exact"/>
        <w:ind w:firstLine="560" w:firstLineChars="200"/>
        <w:rPr>
          <w:rFonts w:ascii="仿宋_GB2312" w:eastAsia="仿宋_GB2312"/>
          <w:color w:val="auto"/>
          <w:sz w:val="28"/>
          <w:szCs w:val="28"/>
        </w:rPr>
      </w:pPr>
      <w:r>
        <w:rPr>
          <w:rFonts w:hint="eastAsia" w:ascii="仿宋_GB2312" w:eastAsia="仿宋_GB2312"/>
          <w:color w:val="auto"/>
          <w:sz w:val="28"/>
          <w:szCs w:val="28"/>
        </w:rPr>
        <w:t>“城市基础设施配套费安排的支出”（款）2025年度年初预算</w:t>
      </w:r>
      <w:r>
        <w:rPr>
          <w:rFonts w:hint="eastAsia" w:ascii="仿宋_GB2312" w:eastAsia="仿宋_GB2312"/>
          <w:color w:val="auto"/>
          <w:sz w:val="28"/>
          <w:szCs w:val="28"/>
          <w:lang w:val="en-US" w:eastAsia="zh-CN"/>
        </w:rPr>
        <w:t>0.00</w:t>
      </w:r>
      <w:r>
        <w:rPr>
          <w:rFonts w:hint="eastAsia" w:ascii="仿宋_GB2312" w:eastAsia="仿宋_GB2312"/>
          <w:color w:val="auto"/>
          <w:sz w:val="28"/>
          <w:szCs w:val="28"/>
        </w:rPr>
        <w:t>万元，2025年度决算</w:t>
      </w:r>
      <w:r>
        <w:rPr>
          <w:rFonts w:hint="eastAsia" w:ascii="仿宋_GB2312" w:eastAsia="仿宋_GB2312"/>
          <w:color w:val="auto"/>
          <w:sz w:val="28"/>
          <w:szCs w:val="28"/>
          <w:lang w:val="en-US" w:eastAsia="zh-CN"/>
        </w:rPr>
        <w:t>10,886,102.89</w:t>
      </w:r>
      <w:r>
        <w:rPr>
          <w:rFonts w:hint="eastAsia" w:ascii="仿宋_GB2312" w:eastAsia="仿宋_GB2312"/>
          <w:color w:val="auto"/>
          <w:sz w:val="28"/>
          <w:szCs w:val="28"/>
        </w:rPr>
        <w:t>元。主要原因：</w:t>
      </w:r>
      <w:r>
        <w:rPr>
          <w:rFonts w:hint="eastAsia" w:ascii="仿宋_GB2312" w:eastAsia="仿宋_GB2312"/>
          <w:color w:val="auto"/>
          <w:sz w:val="28"/>
          <w:szCs w:val="28"/>
          <w:lang w:eastAsia="zh-CN"/>
        </w:rPr>
        <w:t>项目增加</w:t>
      </w:r>
      <w:r>
        <w:rPr>
          <w:rFonts w:hint="eastAsia" w:ascii="仿宋_GB2312" w:eastAsia="仿宋_GB2312"/>
          <w:color w:val="auto"/>
          <w:sz w:val="28"/>
          <w:szCs w:val="28"/>
        </w:rPr>
        <w:t>。</w:t>
      </w:r>
    </w:p>
    <w:p>
      <w:pPr>
        <w:spacing w:line="580" w:lineRule="exact"/>
        <w:ind w:firstLine="560" w:firstLineChars="200"/>
        <w:rPr>
          <w:rFonts w:ascii="黑体" w:eastAsia="黑体"/>
          <w:b/>
          <w:color w:val="auto"/>
          <w:sz w:val="28"/>
          <w:szCs w:val="28"/>
        </w:rPr>
      </w:pPr>
      <w:r>
        <w:rPr>
          <w:rFonts w:hint="eastAsia" w:ascii="黑体" w:eastAsia="黑体"/>
          <w:b/>
          <w:color w:val="auto"/>
          <w:sz w:val="28"/>
          <w:szCs w:val="28"/>
        </w:rPr>
        <w:t>六、国有资本经营预算财</w:t>
      </w:r>
      <w:r>
        <w:rPr>
          <w:rFonts w:ascii="黑体" w:eastAsia="黑体"/>
          <w:b/>
          <w:color w:val="auto"/>
          <w:sz w:val="28"/>
          <w:szCs w:val="28"/>
        </w:rPr>
        <w:t>政拨款</w:t>
      </w:r>
      <w:r>
        <w:rPr>
          <w:rFonts w:hint="eastAsia" w:ascii="黑体" w:eastAsia="黑体"/>
          <w:b/>
          <w:color w:val="auto"/>
          <w:sz w:val="28"/>
          <w:szCs w:val="28"/>
        </w:rPr>
        <w:t>收支情况</w:t>
      </w:r>
    </w:p>
    <w:p>
      <w:pPr>
        <w:ind w:firstLine="537" w:firstLineChars="192"/>
        <w:rPr>
          <w:rFonts w:ascii="仿宋_GB2312" w:eastAsia="仿宋_GB2312"/>
          <w:color w:val="auto"/>
          <w:sz w:val="28"/>
          <w:szCs w:val="28"/>
        </w:rPr>
      </w:pPr>
      <w:r>
        <w:rPr>
          <w:rFonts w:hint="eastAsia" w:ascii="仿宋_GB2312" w:eastAsia="仿宋_GB2312"/>
          <w:color w:val="auto"/>
          <w:sz w:val="28"/>
          <w:szCs w:val="28"/>
        </w:rPr>
        <w:t>2025年度国有资本经营预算财政</w:t>
      </w:r>
      <w:r>
        <w:rPr>
          <w:rFonts w:ascii="仿宋_GB2312" w:eastAsia="仿宋_GB2312"/>
          <w:color w:val="auto"/>
          <w:sz w:val="28"/>
          <w:szCs w:val="28"/>
        </w:rPr>
        <w:t>拨款</w:t>
      </w:r>
      <w:r>
        <w:rPr>
          <w:rFonts w:hint="eastAsia" w:ascii="仿宋_GB2312" w:eastAsia="仿宋_GB2312"/>
          <w:color w:val="auto"/>
          <w:sz w:val="28"/>
          <w:szCs w:val="28"/>
        </w:rPr>
        <w:t>收入总</w:t>
      </w:r>
      <w:r>
        <w:rPr>
          <w:rFonts w:ascii="仿宋_GB2312" w:eastAsia="仿宋_GB2312"/>
          <w:color w:val="auto"/>
          <w:sz w:val="28"/>
          <w:szCs w:val="28"/>
        </w:rPr>
        <w:t>计0</w:t>
      </w:r>
      <w:r>
        <w:rPr>
          <w:rFonts w:hint="eastAsia" w:ascii="仿宋_GB2312" w:eastAsia="仿宋_GB2312"/>
          <w:color w:val="auto"/>
          <w:sz w:val="28"/>
          <w:szCs w:val="28"/>
        </w:rPr>
        <w:t>元，国有资本经营预算财政</w:t>
      </w:r>
      <w:r>
        <w:rPr>
          <w:rFonts w:ascii="仿宋_GB2312" w:eastAsia="仿宋_GB2312"/>
          <w:color w:val="auto"/>
          <w:sz w:val="28"/>
          <w:szCs w:val="28"/>
        </w:rPr>
        <w:t>拨款</w:t>
      </w:r>
      <w:r>
        <w:rPr>
          <w:rFonts w:hint="eastAsia" w:ascii="仿宋_GB2312" w:eastAsia="仿宋_GB2312"/>
          <w:color w:val="auto"/>
          <w:sz w:val="28"/>
          <w:szCs w:val="28"/>
        </w:rPr>
        <w:t>支出总</w:t>
      </w:r>
      <w:r>
        <w:rPr>
          <w:rFonts w:ascii="仿宋_GB2312" w:eastAsia="仿宋_GB2312"/>
          <w:color w:val="auto"/>
          <w:sz w:val="28"/>
          <w:szCs w:val="28"/>
        </w:rPr>
        <w:t>计0</w:t>
      </w:r>
      <w:r>
        <w:rPr>
          <w:rFonts w:hint="eastAsia" w:ascii="仿宋_GB2312" w:eastAsia="仿宋_GB2312"/>
          <w:color w:val="auto"/>
          <w:sz w:val="28"/>
          <w:szCs w:val="28"/>
        </w:rPr>
        <w:t>元。</w:t>
      </w:r>
    </w:p>
    <w:p>
      <w:pPr>
        <w:spacing w:line="580" w:lineRule="exact"/>
        <w:ind w:firstLine="548" w:firstLineChars="196"/>
        <w:rPr>
          <w:rFonts w:ascii="黑体" w:eastAsia="黑体"/>
          <w:color w:val="auto"/>
          <w:sz w:val="28"/>
          <w:szCs w:val="28"/>
        </w:rPr>
      </w:pPr>
      <w:r>
        <w:rPr>
          <w:rFonts w:hint="eastAsia" w:ascii="黑体" w:eastAsia="黑体"/>
          <w:b/>
          <w:color w:val="auto"/>
          <w:sz w:val="28"/>
          <w:szCs w:val="28"/>
        </w:rPr>
        <w:t>七、财政拨款基本支出决算情况说明</w:t>
      </w:r>
    </w:p>
    <w:p>
      <w:pPr>
        <w:tabs>
          <w:tab w:val="center" w:pos="6979"/>
        </w:tabs>
        <w:spacing w:line="580" w:lineRule="exact"/>
        <w:ind w:firstLine="548" w:firstLineChars="196"/>
        <w:rPr>
          <w:rFonts w:ascii="黑体" w:eastAsia="黑体"/>
          <w:b/>
          <w:color w:val="auto"/>
          <w:sz w:val="28"/>
          <w:szCs w:val="28"/>
        </w:rPr>
      </w:pPr>
      <w:r>
        <w:rPr>
          <w:rFonts w:hint="eastAsia" w:ascii="仿宋_GB2312" w:eastAsia="仿宋_GB2312"/>
          <w:color w:val="auto"/>
          <w:sz w:val="28"/>
          <w:szCs w:val="28"/>
        </w:rPr>
        <w:t>2025年度使用一般公共预算财政拨款安排基本支出19</w:t>
      </w:r>
      <w:r>
        <w:rPr>
          <w:rFonts w:hint="eastAsia" w:ascii="仿宋_GB2312" w:eastAsia="仿宋_GB2312"/>
          <w:color w:val="auto"/>
          <w:sz w:val="28"/>
          <w:szCs w:val="28"/>
          <w:lang w:val="en-US" w:eastAsia="zh-CN"/>
        </w:rPr>
        <w:t>,</w:t>
      </w:r>
      <w:r>
        <w:rPr>
          <w:rFonts w:hint="eastAsia" w:ascii="仿宋_GB2312" w:eastAsia="仿宋_GB2312"/>
          <w:color w:val="auto"/>
          <w:sz w:val="28"/>
          <w:szCs w:val="28"/>
        </w:rPr>
        <w:t>072</w:t>
      </w:r>
      <w:r>
        <w:rPr>
          <w:rFonts w:hint="eastAsia" w:ascii="仿宋_GB2312" w:eastAsia="仿宋_GB2312"/>
          <w:color w:val="auto"/>
          <w:sz w:val="28"/>
          <w:szCs w:val="28"/>
          <w:lang w:val="en-US" w:eastAsia="zh-CN"/>
        </w:rPr>
        <w:t>,</w:t>
      </w:r>
      <w:r>
        <w:rPr>
          <w:rFonts w:hint="eastAsia" w:ascii="仿宋_GB2312" w:eastAsia="仿宋_GB2312"/>
          <w:color w:val="auto"/>
          <w:sz w:val="28"/>
          <w:szCs w:val="28"/>
        </w:rPr>
        <w:t>457.3</w:t>
      </w:r>
      <w:r>
        <w:rPr>
          <w:rFonts w:hint="eastAsia" w:ascii="仿宋_GB2312" w:eastAsia="仿宋_GB2312"/>
          <w:color w:val="auto"/>
          <w:sz w:val="28"/>
          <w:szCs w:val="28"/>
          <w:lang w:val="en-US" w:eastAsia="zh-CN"/>
        </w:rPr>
        <w:t>0</w:t>
      </w:r>
      <w:r>
        <w:rPr>
          <w:rFonts w:hint="eastAsia" w:ascii="仿宋_GB2312" w:eastAsia="仿宋_GB2312"/>
          <w:color w:val="auto"/>
          <w:sz w:val="28"/>
          <w:szCs w:val="28"/>
        </w:rPr>
        <w:t>元，使用政府性基金财政拨款安排基本支出</w:t>
      </w:r>
      <w:r>
        <w:rPr>
          <w:rFonts w:ascii="仿宋_GB2312" w:eastAsia="仿宋_GB2312"/>
          <w:color w:val="auto"/>
          <w:sz w:val="28"/>
          <w:szCs w:val="28"/>
        </w:rPr>
        <w:t>0</w:t>
      </w:r>
      <w:r>
        <w:rPr>
          <w:rFonts w:hint="eastAsia" w:ascii="仿宋_GB2312" w:eastAsia="仿宋_GB2312"/>
          <w:color w:val="auto"/>
          <w:sz w:val="28"/>
          <w:szCs w:val="28"/>
        </w:rPr>
        <w:t>元，（1）工资福利支出包括基本工资</w:t>
      </w:r>
      <w:r>
        <w:rPr>
          <w:rFonts w:ascii="仿宋_GB2312" w:eastAsia="仿宋_GB2312"/>
          <w:color w:val="auto"/>
          <w:sz w:val="28"/>
          <w:szCs w:val="28"/>
        </w:rPr>
        <w:t>、津贴补贴、奖金、伙食补助费、绩效工资、</w:t>
      </w:r>
      <w:r>
        <w:rPr>
          <w:rFonts w:hint="eastAsia" w:ascii="仿宋_GB2312" w:eastAsia="仿宋_GB2312"/>
          <w:color w:val="auto"/>
          <w:sz w:val="28"/>
          <w:szCs w:val="28"/>
        </w:rPr>
        <w:t>其他</w:t>
      </w:r>
      <w:r>
        <w:rPr>
          <w:rFonts w:ascii="仿宋_GB2312" w:eastAsia="仿宋_GB2312"/>
          <w:color w:val="auto"/>
          <w:sz w:val="28"/>
          <w:szCs w:val="28"/>
        </w:rPr>
        <w:t>社会保障缴费、其他工资福利</w:t>
      </w:r>
      <w:r>
        <w:rPr>
          <w:rFonts w:hint="eastAsia" w:ascii="仿宋_GB2312" w:eastAsia="仿宋_GB2312"/>
          <w:color w:val="auto"/>
          <w:sz w:val="28"/>
          <w:szCs w:val="28"/>
        </w:rPr>
        <w:t>等</w:t>
      </w:r>
      <w:r>
        <w:rPr>
          <w:rFonts w:ascii="仿宋_GB2312" w:eastAsia="仿宋_GB2312"/>
          <w:color w:val="auto"/>
          <w:sz w:val="28"/>
          <w:szCs w:val="28"/>
        </w:rPr>
        <w:t>支出</w:t>
      </w:r>
      <w:r>
        <w:rPr>
          <w:rFonts w:hint="eastAsia" w:ascii="仿宋_GB2312" w:eastAsia="仿宋_GB2312"/>
          <w:color w:val="auto"/>
          <w:sz w:val="28"/>
          <w:szCs w:val="28"/>
        </w:rPr>
        <w:t>；（2）商品和服务支出包括</w:t>
      </w:r>
      <w:r>
        <w:rPr>
          <w:rFonts w:ascii="仿宋_GB2312" w:eastAsia="仿宋_GB2312"/>
          <w:color w:val="auto"/>
          <w:sz w:val="28"/>
          <w:szCs w:val="28"/>
        </w:rPr>
        <w:t>办公费、印刷费、手续费、水费、电费、邮电费、取暖费、物业管理费、差旅费、因公出国（境）费、维修（护）费、租赁费、会议费、培训费、公务接待费、专用材料费、劳务费、委托业务费、工会经费、福利费、公务用车运行维护费、其他交通费</w:t>
      </w:r>
      <w:r>
        <w:rPr>
          <w:rFonts w:hint="eastAsia" w:ascii="仿宋_GB2312" w:eastAsia="仿宋_GB2312"/>
          <w:color w:val="auto"/>
          <w:sz w:val="28"/>
          <w:szCs w:val="28"/>
        </w:rPr>
        <w:t>用</w:t>
      </w:r>
      <w:r>
        <w:rPr>
          <w:rFonts w:ascii="仿宋_GB2312" w:eastAsia="仿宋_GB2312"/>
          <w:color w:val="auto"/>
          <w:sz w:val="28"/>
          <w:szCs w:val="28"/>
        </w:rPr>
        <w:t>、其他商品和服务</w:t>
      </w:r>
      <w:r>
        <w:rPr>
          <w:rFonts w:hint="eastAsia" w:ascii="仿宋_GB2312" w:eastAsia="仿宋_GB2312"/>
          <w:color w:val="auto"/>
          <w:sz w:val="28"/>
          <w:szCs w:val="28"/>
        </w:rPr>
        <w:t>等</w:t>
      </w:r>
      <w:r>
        <w:rPr>
          <w:rFonts w:ascii="仿宋_GB2312" w:eastAsia="仿宋_GB2312"/>
          <w:color w:val="auto"/>
          <w:sz w:val="28"/>
          <w:szCs w:val="28"/>
        </w:rPr>
        <w:t>支出</w:t>
      </w:r>
      <w:r>
        <w:rPr>
          <w:rFonts w:hint="eastAsia" w:ascii="仿宋_GB2312" w:eastAsia="仿宋_GB2312"/>
          <w:color w:val="auto"/>
          <w:sz w:val="28"/>
          <w:szCs w:val="28"/>
        </w:rPr>
        <w:t>；（3）对个人和家庭补助支出包括</w:t>
      </w:r>
      <w:r>
        <w:rPr>
          <w:rFonts w:ascii="仿宋_GB2312" w:eastAsia="仿宋_GB2312"/>
          <w:color w:val="auto"/>
          <w:sz w:val="28"/>
          <w:szCs w:val="28"/>
        </w:rPr>
        <w:t>离休费、退休费、抚恤金、生活补助、</w:t>
      </w:r>
      <w:r>
        <w:rPr>
          <w:rFonts w:hint="eastAsia" w:ascii="仿宋_GB2312" w:eastAsia="仿宋_GB2312"/>
          <w:color w:val="auto"/>
          <w:sz w:val="28"/>
          <w:szCs w:val="28"/>
        </w:rPr>
        <w:t>救济费</w:t>
      </w:r>
      <w:r>
        <w:rPr>
          <w:rFonts w:ascii="仿宋_GB2312" w:eastAsia="仿宋_GB2312"/>
          <w:color w:val="auto"/>
          <w:sz w:val="28"/>
          <w:szCs w:val="28"/>
        </w:rPr>
        <w:t>、医疗费</w:t>
      </w:r>
      <w:r>
        <w:rPr>
          <w:rFonts w:hint="eastAsia" w:ascii="仿宋_GB2312" w:eastAsia="仿宋_GB2312"/>
          <w:color w:val="auto"/>
          <w:sz w:val="28"/>
          <w:szCs w:val="28"/>
        </w:rPr>
        <w:t>补助</w:t>
      </w:r>
      <w:r>
        <w:rPr>
          <w:rFonts w:ascii="仿宋_GB2312" w:eastAsia="仿宋_GB2312"/>
          <w:color w:val="auto"/>
          <w:sz w:val="28"/>
          <w:szCs w:val="28"/>
        </w:rPr>
        <w:t>、助学金、奖励金</w:t>
      </w:r>
      <w:r>
        <w:rPr>
          <w:rFonts w:hint="eastAsia" w:ascii="仿宋_GB2312" w:eastAsia="仿宋_GB2312"/>
          <w:color w:val="auto"/>
          <w:sz w:val="28"/>
          <w:szCs w:val="28"/>
        </w:rPr>
        <w:t>、</w:t>
      </w:r>
      <w:r>
        <w:rPr>
          <w:rFonts w:ascii="仿宋_GB2312" w:eastAsia="仿宋_GB2312"/>
          <w:color w:val="auto"/>
          <w:sz w:val="28"/>
          <w:szCs w:val="28"/>
        </w:rPr>
        <w:t>其他对个人和家庭的补助</w:t>
      </w:r>
      <w:r>
        <w:rPr>
          <w:rFonts w:hint="eastAsia" w:ascii="仿宋_GB2312" w:eastAsia="仿宋_GB2312"/>
          <w:color w:val="auto"/>
          <w:sz w:val="28"/>
          <w:szCs w:val="28"/>
        </w:rPr>
        <w:t>等</w:t>
      </w:r>
      <w:r>
        <w:rPr>
          <w:rFonts w:ascii="仿宋_GB2312" w:eastAsia="仿宋_GB2312"/>
          <w:color w:val="auto"/>
          <w:sz w:val="28"/>
          <w:szCs w:val="28"/>
        </w:rPr>
        <w:t>支出</w:t>
      </w:r>
      <w:r>
        <w:rPr>
          <w:rFonts w:hint="eastAsia" w:ascii="仿宋_GB2312" w:eastAsia="仿宋_GB2312"/>
          <w:color w:val="auto"/>
          <w:sz w:val="28"/>
          <w:szCs w:val="28"/>
        </w:rPr>
        <w:t>。（4）其他资本性支出包括</w:t>
      </w:r>
      <w:r>
        <w:rPr>
          <w:rFonts w:ascii="仿宋_GB2312" w:eastAsia="仿宋_GB2312"/>
          <w:color w:val="auto"/>
          <w:sz w:val="28"/>
          <w:szCs w:val="28"/>
        </w:rPr>
        <w:t>办公设备购置、专用设备购置</w:t>
      </w:r>
      <w:r>
        <w:rPr>
          <w:rFonts w:hint="eastAsia" w:ascii="仿宋_GB2312" w:eastAsia="仿宋_GB2312"/>
          <w:color w:val="auto"/>
          <w:sz w:val="28"/>
          <w:szCs w:val="28"/>
        </w:rPr>
        <w:t>等</w:t>
      </w:r>
      <w:r>
        <w:rPr>
          <w:rFonts w:ascii="仿宋_GB2312" w:eastAsia="仿宋_GB2312"/>
          <w:color w:val="auto"/>
          <w:sz w:val="28"/>
          <w:szCs w:val="28"/>
        </w:rPr>
        <w:t>。</w:t>
      </w:r>
    </w:p>
    <w:p>
      <w:pPr>
        <w:autoSpaceDE w:val="0"/>
        <w:autoSpaceDN w:val="0"/>
        <w:adjustRightInd w:val="0"/>
        <w:spacing w:line="580" w:lineRule="exact"/>
        <w:rPr>
          <w:rFonts w:ascii="宋体" w:hAnsi="宋体"/>
          <w:b/>
          <w:color w:val="auto"/>
          <w:spacing w:val="40"/>
          <w:sz w:val="32"/>
          <w:szCs w:val="32"/>
        </w:rPr>
      </w:pPr>
      <w:r>
        <w:rPr>
          <w:rFonts w:ascii="仿宋_GB2312" w:eastAsia="仿宋_GB2312"/>
          <w:b/>
          <w:color w:val="auto"/>
          <w:sz w:val="32"/>
          <w:szCs w:val="32"/>
        </w:rPr>
        <w:tab/>
      </w:r>
    </w:p>
    <w:p>
      <w:pPr>
        <w:tabs>
          <w:tab w:val="center" w:pos="6979"/>
        </w:tabs>
        <w:jc w:val="center"/>
        <w:rPr>
          <w:rFonts w:ascii="宋体" w:hAnsi="宋体" w:cs="宋体"/>
          <w:b/>
          <w:color w:val="auto"/>
          <w:spacing w:val="40"/>
          <w:kern w:val="0"/>
          <w:sz w:val="32"/>
          <w:szCs w:val="32"/>
        </w:rPr>
      </w:pPr>
      <w:r>
        <w:rPr>
          <w:rFonts w:hint="eastAsia" w:ascii="宋体" w:hAnsi="宋体" w:cs="宋体"/>
          <w:b/>
          <w:bCs/>
          <w:color w:val="auto"/>
          <w:spacing w:val="40"/>
          <w:kern w:val="0"/>
          <w:sz w:val="32"/>
          <w:szCs w:val="32"/>
        </w:rPr>
        <w:t>第三部分</w:t>
      </w:r>
      <w:r>
        <w:rPr>
          <w:rFonts w:hint="eastAsia" w:ascii="宋体" w:hAnsi="宋体"/>
          <w:b/>
          <w:color w:val="auto"/>
          <w:spacing w:val="40"/>
          <w:sz w:val="32"/>
          <w:szCs w:val="32"/>
        </w:rPr>
        <w:t>2025年度</w:t>
      </w:r>
      <w:r>
        <w:rPr>
          <w:rFonts w:hint="eastAsia" w:ascii="宋体" w:hAnsi="宋体" w:cs="宋体"/>
          <w:b/>
          <w:color w:val="auto"/>
          <w:spacing w:val="40"/>
          <w:kern w:val="0"/>
          <w:sz w:val="32"/>
          <w:szCs w:val="32"/>
        </w:rPr>
        <w:t>其他重要事项的情况说明</w:t>
      </w:r>
    </w:p>
    <w:p>
      <w:pPr>
        <w:spacing w:line="560" w:lineRule="exact"/>
        <w:ind w:firstLine="560" w:firstLineChars="200"/>
        <w:rPr>
          <w:rFonts w:ascii="黑体" w:eastAsia="黑体"/>
          <w:color w:val="auto"/>
          <w:sz w:val="28"/>
          <w:szCs w:val="28"/>
        </w:rPr>
      </w:pPr>
      <w:r>
        <w:rPr>
          <w:rFonts w:hint="eastAsia" w:ascii="黑体" w:eastAsia="黑体"/>
          <w:color w:val="auto"/>
          <w:sz w:val="28"/>
          <w:szCs w:val="28"/>
        </w:rPr>
        <w:t>一、“三公”经费财政拨款决算情况</w:t>
      </w:r>
    </w:p>
    <w:p>
      <w:pPr>
        <w:spacing w:line="560" w:lineRule="exact"/>
        <w:ind w:firstLine="600"/>
        <w:rPr>
          <w:rFonts w:ascii="仿宋_GB2312" w:eastAsia="仿宋_GB2312"/>
          <w:color w:val="auto"/>
          <w:sz w:val="28"/>
          <w:szCs w:val="28"/>
        </w:rPr>
      </w:pPr>
      <w:r>
        <w:rPr>
          <w:rFonts w:hint="eastAsia" w:ascii="仿宋_GB2312" w:eastAsia="仿宋_GB2312"/>
          <w:color w:val="auto"/>
          <w:sz w:val="28"/>
          <w:szCs w:val="28"/>
        </w:rPr>
        <w:t>2025年度“三公”经费财政拨款决算数61,034.80元，比2025年度“三公”经费财政拨款年初预算78,390.00元减少</w:t>
      </w:r>
      <w:r>
        <w:rPr>
          <w:rFonts w:hint="eastAsia" w:ascii="仿宋_GB2312" w:eastAsia="仿宋_GB2312"/>
          <w:color w:val="auto"/>
          <w:sz w:val="28"/>
          <w:szCs w:val="28"/>
          <w:lang w:val="en-US" w:eastAsia="zh-CN"/>
        </w:rPr>
        <w:t>17,355.20</w:t>
      </w:r>
      <w:r>
        <w:rPr>
          <w:rFonts w:hint="eastAsia" w:ascii="仿宋_GB2312" w:eastAsia="仿宋_GB2312"/>
          <w:color w:val="auto"/>
          <w:sz w:val="28"/>
          <w:szCs w:val="28"/>
        </w:rPr>
        <w:t>元。其中：</w:t>
      </w:r>
    </w:p>
    <w:p>
      <w:pPr>
        <w:spacing w:line="560" w:lineRule="exact"/>
        <w:ind w:firstLine="600"/>
        <w:rPr>
          <w:rFonts w:ascii="仿宋_GB2312" w:eastAsia="仿宋_GB2312"/>
          <w:color w:val="auto"/>
          <w:sz w:val="28"/>
          <w:szCs w:val="28"/>
        </w:rPr>
      </w:pPr>
      <w:r>
        <w:rPr>
          <w:rFonts w:hint="eastAsia" w:ascii="仿宋_GB2312" w:eastAsia="仿宋_GB2312"/>
          <w:color w:val="auto"/>
          <w:sz w:val="28"/>
          <w:szCs w:val="28"/>
        </w:rPr>
        <w:t>1.因公出国（境）费用。2025年度决算数</w:t>
      </w:r>
      <w:r>
        <w:rPr>
          <w:rFonts w:hint="eastAsia" w:ascii="仿宋_GB2312" w:eastAsia="仿宋_GB2312"/>
          <w:color w:val="auto"/>
          <w:sz w:val="28"/>
          <w:szCs w:val="28"/>
          <w:lang w:val="en-US" w:eastAsia="zh-CN"/>
        </w:rPr>
        <w:t>0.00</w:t>
      </w:r>
      <w:r>
        <w:rPr>
          <w:rFonts w:hint="eastAsia" w:ascii="仿宋_GB2312" w:eastAsia="仿宋_GB2312"/>
          <w:color w:val="auto"/>
          <w:sz w:val="28"/>
          <w:szCs w:val="28"/>
        </w:rPr>
        <w:t>元，比2025年度年初预算数</w:t>
      </w:r>
      <w:r>
        <w:rPr>
          <w:rFonts w:ascii="仿宋_GB2312" w:eastAsia="仿宋_GB2312"/>
          <w:color w:val="auto"/>
          <w:sz w:val="28"/>
          <w:szCs w:val="28"/>
        </w:rPr>
        <w:t>0</w:t>
      </w:r>
      <w:r>
        <w:rPr>
          <w:rFonts w:hint="eastAsia" w:ascii="仿宋_GB2312" w:eastAsia="仿宋_GB2312"/>
          <w:color w:val="auto"/>
          <w:sz w:val="28"/>
          <w:szCs w:val="28"/>
        </w:rPr>
        <w:t>元增加（减少）</w:t>
      </w:r>
      <w:r>
        <w:rPr>
          <w:rFonts w:hint="eastAsia" w:ascii="仿宋_GB2312" w:eastAsia="仿宋_GB2312"/>
          <w:color w:val="auto"/>
          <w:sz w:val="28"/>
          <w:szCs w:val="28"/>
          <w:lang w:val="en-US" w:eastAsia="zh-CN"/>
        </w:rPr>
        <w:t>0.00</w:t>
      </w:r>
      <w:r>
        <w:rPr>
          <w:rFonts w:hint="eastAsia" w:ascii="仿宋_GB2312" w:eastAsia="仿宋_GB2312"/>
          <w:color w:val="auto"/>
          <w:sz w:val="28"/>
          <w:szCs w:val="28"/>
        </w:rPr>
        <w:t>元。主要原因：</w:t>
      </w:r>
      <w:r>
        <w:rPr>
          <w:rFonts w:hint="eastAsia" w:ascii="仿宋_GB2312" w:eastAsia="仿宋_GB2312"/>
          <w:color w:val="auto"/>
          <w:sz w:val="28"/>
          <w:szCs w:val="28"/>
          <w:lang w:eastAsia="zh-CN"/>
        </w:rPr>
        <w:t>无</w:t>
      </w:r>
      <w:r>
        <w:rPr>
          <w:rFonts w:hint="eastAsia" w:ascii="仿宋_GB2312" w:eastAsia="仿宋_GB2312"/>
          <w:color w:val="auto"/>
          <w:sz w:val="28"/>
          <w:szCs w:val="28"/>
        </w:rPr>
        <w:t>；2025年度组织因公出国（境）团组</w:t>
      </w:r>
      <w:r>
        <w:rPr>
          <w:rFonts w:hint="eastAsia" w:ascii="仿宋_GB2312" w:eastAsia="仿宋_GB2312"/>
          <w:color w:val="auto"/>
          <w:sz w:val="28"/>
          <w:szCs w:val="28"/>
          <w:lang w:val="en-US" w:eastAsia="zh-CN"/>
        </w:rPr>
        <w:t>0</w:t>
      </w:r>
      <w:r>
        <w:rPr>
          <w:rFonts w:hint="eastAsia" w:ascii="仿宋_GB2312" w:eastAsia="仿宋_GB2312"/>
          <w:color w:val="auto"/>
          <w:sz w:val="28"/>
          <w:szCs w:val="28"/>
        </w:rPr>
        <w:t>个、</w:t>
      </w:r>
      <w:r>
        <w:rPr>
          <w:rFonts w:hint="eastAsia" w:ascii="仿宋_GB2312" w:eastAsia="仿宋_GB2312"/>
          <w:color w:val="auto"/>
          <w:sz w:val="28"/>
          <w:szCs w:val="28"/>
          <w:lang w:val="en-US" w:eastAsia="zh-CN"/>
        </w:rPr>
        <w:t>0</w:t>
      </w:r>
      <w:r>
        <w:rPr>
          <w:rFonts w:hint="eastAsia" w:ascii="仿宋_GB2312" w:eastAsia="仿宋_GB2312"/>
          <w:color w:val="auto"/>
          <w:sz w:val="28"/>
          <w:szCs w:val="28"/>
        </w:rPr>
        <w:t>人次。</w:t>
      </w:r>
    </w:p>
    <w:p>
      <w:pPr>
        <w:spacing w:line="560" w:lineRule="exact"/>
        <w:ind w:firstLine="600"/>
        <w:rPr>
          <w:rFonts w:ascii="仿宋_GB2312" w:eastAsia="仿宋_GB2312"/>
          <w:color w:val="auto"/>
          <w:sz w:val="28"/>
          <w:szCs w:val="28"/>
        </w:rPr>
      </w:pPr>
      <w:r>
        <w:rPr>
          <w:rFonts w:hint="eastAsia" w:ascii="仿宋_GB2312" w:eastAsia="仿宋_GB2312"/>
          <w:color w:val="auto"/>
          <w:sz w:val="28"/>
          <w:szCs w:val="28"/>
        </w:rPr>
        <w:t>2.公务接待费。2025年度决算数</w:t>
      </w:r>
      <w:r>
        <w:rPr>
          <w:rFonts w:ascii="仿宋_GB2312" w:eastAsia="仿宋_GB2312"/>
          <w:color w:val="auto"/>
          <w:sz w:val="28"/>
          <w:szCs w:val="28"/>
        </w:rPr>
        <w:t>0</w:t>
      </w:r>
      <w:r>
        <w:rPr>
          <w:rFonts w:hint="eastAsia" w:ascii="仿宋_GB2312" w:eastAsia="仿宋_GB2312"/>
          <w:color w:val="auto"/>
          <w:sz w:val="28"/>
          <w:szCs w:val="28"/>
          <w:lang w:val="en-US" w:eastAsia="zh-CN"/>
        </w:rPr>
        <w:t>.00</w:t>
      </w:r>
      <w:r>
        <w:rPr>
          <w:rFonts w:hint="eastAsia" w:ascii="仿宋_GB2312" w:eastAsia="仿宋_GB2312"/>
          <w:color w:val="auto"/>
          <w:sz w:val="28"/>
          <w:szCs w:val="28"/>
        </w:rPr>
        <w:t>元，比2025年度年初预算数6,390.00元减少6,390.00元。主要原因：</w:t>
      </w:r>
      <w:r>
        <w:rPr>
          <w:rFonts w:hint="eastAsia" w:ascii="仿宋_GB2312" w:eastAsia="仿宋_GB2312"/>
          <w:color w:val="auto"/>
          <w:sz w:val="28"/>
          <w:szCs w:val="28"/>
          <w:lang w:eastAsia="zh-CN"/>
        </w:rPr>
        <w:t>未发生</w:t>
      </w:r>
      <w:r>
        <w:rPr>
          <w:rFonts w:hint="eastAsia" w:ascii="仿宋_GB2312" w:eastAsia="仿宋_GB2312"/>
          <w:color w:val="auto"/>
          <w:sz w:val="28"/>
          <w:szCs w:val="28"/>
        </w:rPr>
        <w:t>。公务接待0批次，公务接待0人次。</w:t>
      </w:r>
    </w:p>
    <w:p>
      <w:pPr>
        <w:spacing w:line="560" w:lineRule="exact"/>
        <w:ind w:firstLine="560" w:firstLineChars="200"/>
        <w:rPr>
          <w:rFonts w:ascii="仿宋_GB2312" w:eastAsia="仿宋_GB2312"/>
          <w:color w:val="auto"/>
          <w:sz w:val="28"/>
          <w:szCs w:val="28"/>
        </w:rPr>
      </w:pPr>
      <w:r>
        <w:rPr>
          <w:rFonts w:hint="eastAsia" w:ascii="仿宋_GB2312" w:eastAsia="仿宋_GB2312"/>
          <w:color w:val="auto"/>
          <w:sz w:val="28"/>
          <w:szCs w:val="28"/>
        </w:rPr>
        <w:t>3.公务用车购置及运行维护费。2025年度决算数61,034.80元，比2025年度年初预算数72,000.00减少</w:t>
      </w:r>
      <w:r>
        <w:rPr>
          <w:rFonts w:hint="eastAsia" w:ascii="仿宋_GB2312" w:eastAsia="仿宋_GB2312"/>
          <w:color w:val="auto"/>
          <w:sz w:val="28"/>
          <w:szCs w:val="28"/>
          <w:lang w:val="en-US" w:eastAsia="zh-CN"/>
        </w:rPr>
        <w:t>10965.20</w:t>
      </w:r>
      <w:r>
        <w:rPr>
          <w:rFonts w:hint="eastAsia" w:ascii="仿宋_GB2312" w:eastAsia="仿宋_GB2312"/>
          <w:color w:val="auto"/>
          <w:sz w:val="28"/>
          <w:szCs w:val="28"/>
        </w:rPr>
        <w:t>元。其中，公务用车购置费2025年度决算数0元，主要原因：</w:t>
      </w:r>
      <w:r>
        <w:rPr>
          <w:rFonts w:hint="eastAsia" w:ascii="仿宋_GB2312" w:eastAsia="仿宋_GB2312"/>
          <w:color w:val="auto"/>
          <w:sz w:val="28"/>
          <w:szCs w:val="28"/>
          <w:lang w:eastAsia="zh-CN"/>
        </w:rPr>
        <w:t>无</w:t>
      </w:r>
      <w:r>
        <w:rPr>
          <w:rFonts w:hint="eastAsia" w:ascii="仿宋_GB2312" w:eastAsia="仿宋_GB2312"/>
          <w:color w:val="auto"/>
          <w:sz w:val="28"/>
          <w:szCs w:val="28"/>
        </w:rPr>
        <w:t>，2025年度购置（更新）0辆。公务用车运行维护费2025年度决算数61,034.80元，主要原因：</w:t>
      </w:r>
      <w:r>
        <w:rPr>
          <w:rFonts w:hint="eastAsia" w:ascii="仿宋_GB2312" w:eastAsia="仿宋_GB2312"/>
          <w:color w:val="auto"/>
          <w:sz w:val="28"/>
          <w:szCs w:val="28"/>
          <w:lang w:eastAsia="zh-CN"/>
        </w:rPr>
        <w:t>维修及保险费支出</w:t>
      </w:r>
      <w:r>
        <w:rPr>
          <w:rFonts w:hint="eastAsia" w:ascii="仿宋_GB2312" w:eastAsia="仿宋_GB2312"/>
          <w:color w:val="auto"/>
          <w:sz w:val="28"/>
          <w:szCs w:val="28"/>
        </w:rPr>
        <w:t>。2025年度公务用车保有量</w:t>
      </w:r>
      <w:r>
        <w:rPr>
          <w:rFonts w:hint="eastAsia" w:ascii="仿宋_GB2312" w:eastAsia="仿宋_GB2312"/>
          <w:color w:val="auto"/>
          <w:sz w:val="28"/>
          <w:szCs w:val="28"/>
          <w:lang w:val="en-US" w:eastAsia="zh-CN"/>
        </w:rPr>
        <w:t>4</w:t>
      </w:r>
      <w:r>
        <w:rPr>
          <w:rFonts w:hint="eastAsia" w:ascii="仿宋_GB2312" w:eastAsia="仿宋_GB2312"/>
          <w:color w:val="auto"/>
          <w:sz w:val="28"/>
          <w:szCs w:val="28"/>
        </w:rPr>
        <w:t>辆。</w:t>
      </w:r>
    </w:p>
    <w:p>
      <w:pPr>
        <w:tabs>
          <w:tab w:val="center" w:pos="6979"/>
        </w:tabs>
        <w:ind w:firstLine="554" w:firstLineChars="198"/>
        <w:rPr>
          <w:rFonts w:ascii="黑体" w:eastAsia="黑体"/>
          <w:color w:val="auto"/>
          <w:sz w:val="28"/>
          <w:szCs w:val="28"/>
        </w:rPr>
      </w:pPr>
      <w:r>
        <w:rPr>
          <w:rFonts w:hint="eastAsia" w:ascii="黑体" w:eastAsia="黑体"/>
          <w:color w:val="auto"/>
          <w:sz w:val="28"/>
          <w:szCs w:val="28"/>
        </w:rPr>
        <w:t>二、机关运行经费支出情况</w:t>
      </w:r>
    </w:p>
    <w:p>
      <w:pPr>
        <w:ind w:firstLine="537" w:firstLineChars="192"/>
        <w:rPr>
          <w:rFonts w:ascii="仿宋_GB2312" w:eastAsia="仿宋_GB2312"/>
          <w:color w:val="auto"/>
          <w:sz w:val="28"/>
          <w:szCs w:val="28"/>
        </w:rPr>
      </w:pPr>
      <w:r>
        <w:rPr>
          <w:rFonts w:hint="eastAsia" w:ascii="仿宋_GB2312" w:eastAsia="仿宋_GB2312"/>
          <w:color w:val="auto"/>
          <w:sz w:val="28"/>
          <w:szCs w:val="28"/>
        </w:rPr>
        <w:t>本部门2025年无机关运行经费</w:t>
      </w:r>
    </w:p>
    <w:p>
      <w:pPr>
        <w:ind w:left="540"/>
        <w:rPr>
          <w:rFonts w:ascii="黑体" w:eastAsia="黑体"/>
          <w:color w:val="auto"/>
          <w:sz w:val="28"/>
          <w:szCs w:val="28"/>
        </w:rPr>
      </w:pPr>
      <w:r>
        <w:rPr>
          <w:rFonts w:hint="eastAsia" w:ascii="黑体" w:eastAsia="黑体"/>
          <w:color w:val="auto"/>
          <w:sz w:val="28"/>
          <w:szCs w:val="28"/>
        </w:rPr>
        <w:t>三、政府采购支出情况</w:t>
      </w:r>
    </w:p>
    <w:p>
      <w:pPr>
        <w:ind w:firstLine="537" w:firstLineChars="192"/>
        <w:rPr>
          <w:rFonts w:ascii="仿宋_GB2312" w:eastAsia="仿宋_GB2312"/>
          <w:color w:val="auto"/>
          <w:sz w:val="28"/>
          <w:szCs w:val="28"/>
        </w:rPr>
      </w:pPr>
      <w:r>
        <w:rPr>
          <w:rFonts w:hint="eastAsia" w:ascii="仿宋_GB2312" w:eastAsia="仿宋_GB2312"/>
          <w:color w:val="auto"/>
          <w:sz w:val="28"/>
          <w:szCs w:val="28"/>
        </w:rPr>
        <w:t>2025年度政府采购支出总额28,071,054.79元，其中：政府采购货物支出4,639,000.00元，政府采购工程支出17,644,287.38元，政府采购服务支出5,787,767.41元。授予中小企业合同金额25,988,309.27元，占政府采购支出总额的9</w:t>
      </w:r>
      <w:r>
        <w:rPr>
          <w:rFonts w:hint="eastAsia" w:ascii="仿宋_GB2312" w:eastAsia="仿宋_GB2312"/>
          <w:color w:val="auto"/>
          <w:sz w:val="28"/>
          <w:szCs w:val="28"/>
          <w:lang w:val="en-US" w:eastAsia="zh-CN"/>
        </w:rPr>
        <w:t>2.58</w:t>
      </w:r>
      <w:r>
        <w:rPr>
          <w:rFonts w:hint="eastAsia" w:ascii="仿宋_GB2312" w:eastAsia="仿宋_GB2312"/>
          <w:color w:val="auto"/>
          <w:sz w:val="28"/>
          <w:szCs w:val="28"/>
        </w:rPr>
        <w:t>%，其中：授予小微企业合同金额11,876,501.92元，占政府采购支出总额的</w:t>
      </w:r>
      <w:r>
        <w:rPr>
          <w:rFonts w:hint="eastAsia" w:ascii="仿宋_GB2312" w:eastAsia="仿宋_GB2312"/>
          <w:color w:val="auto"/>
          <w:sz w:val="28"/>
          <w:szCs w:val="28"/>
          <w:lang w:val="en-US" w:eastAsia="zh-CN"/>
        </w:rPr>
        <w:t>42.31</w:t>
      </w:r>
      <w:r>
        <w:rPr>
          <w:rFonts w:hint="eastAsia" w:ascii="仿宋_GB2312" w:eastAsia="仿宋_GB2312"/>
          <w:color w:val="auto"/>
          <w:sz w:val="28"/>
          <w:szCs w:val="28"/>
        </w:rPr>
        <w:t>%。</w:t>
      </w:r>
    </w:p>
    <w:p>
      <w:pPr>
        <w:ind w:firstLine="560" w:firstLineChars="200"/>
        <w:rPr>
          <w:rFonts w:ascii="黑体" w:eastAsia="黑体"/>
          <w:color w:val="auto"/>
          <w:sz w:val="28"/>
          <w:szCs w:val="28"/>
          <w:highlight w:val="yellow"/>
        </w:rPr>
      </w:pPr>
      <w:r>
        <w:rPr>
          <w:rFonts w:hint="eastAsia" w:ascii="黑体" w:eastAsia="黑体"/>
          <w:color w:val="auto"/>
          <w:sz w:val="28"/>
          <w:szCs w:val="28"/>
        </w:rPr>
        <w:t>四、国有资产占用情况</w:t>
      </w:r>
    </w:p>
    <w:p>
      <w:pPr>
        <w:ind w:firstLine="560" w:firstLineChars="200"/>
        <w:rPr>
          <w:rFonts w:ascii="仿宋_GB2312" w:eastAsia="仿宋_GB2312"/>
          <w:color w:val="auto"/>
          <w:sz w:val="32"/>
          <w:szCs w:val="32"/>
        </w:rPr>
      </w:pPr>
      <w:r>
        <w:rPr>
          <w:rFonts w:hint="eastAsia" w:ascii="仿宋_GB2312" w:eastAsia="仿宋_GB2312"/>
          <w:color w:val="auto"/>
          <w:sz w:val="28"/>
          <w:szCs w:val="28"/>
        </w:rPr>
        <w:t>截至12月31日，北京市门头沟区</w:t>
      </w:r>
      <w:r>
        <w:rPr>
          <w:rFonts w:hint="eastAsia" w:ascii="仿宋_GB2312" w:eastAsia="仿宋_GB2312"/>
          <w:color w:val="auto"/>
          <w:sz w:val="28"/>
          <w:szCs w:val="28"/>
          <w:lang w:eastAsia="zh-CN"/>
        </w:rPr>
        <w:t>市政市容服务中心</w:t>
      </w:r>
      <w:r>
        <w:rPr>
          <w:rFonts w:hint="eastAsia" w:ascii="仿宋_GB2312" w:eastAsia="仿宋_GB2312"/>
          <w:color w:val="auto"/>
          <w:sz w:val="28"/>
          <w:szCs w:val="28"/>
        </w:rPr>
        <w:t>共有车辆</w:t>
      </w:r>
      <w:r>
        <w:rPr>
          <w:rFonts w:hint="eastAsia" w:ascii="仿宋_GB2312" w:eastAsia="仿宋_GB2312"/>
          <w:color w:val="auto"/>
          <w:sz w:val="28"/>
          <w:szCs w:val="28"/>
          <w:lang w:val="en-US" w:eastAsia="zh-CN"/>
        </w:rPr>
        <w:t>4</w:t>
      </w:r>
      <w:r>
        <w:rPr>
          <w:rFonts w:hint="eastAsia" w:ascii="仿宋_GB2312" w:eastAsia="仿宋_GB2312"/>
          <w:color w:val="auto"/>
          <w:sz w:val="28"/>
          <w:szCs w:val="28"/>
        </w:rPr>
        <w:t>台；单位价值100元（含）以上的设备</w:t>
      </w:r>
      <w:r>
        <w:rPr>
          <w:rFonts w:hint="eastAsia" w:ascii="仿宋_GB2312" w:eastAsia="仿宋_GB2312"/>
          <w:color w:val="auto"/>
          <w:sz w:val="28"/>
          <w:szCs w:val="28"/>
          <w:lang w:val="en-US" w:eastAsia="zh-CN"/>
        </w:rPr>
        <w:t>0</w:t>
      </w:r>
      <w:r>
        <w:rPr>
          <w:rFonts w:hint="eastAsia" w:ascii="仿宋_GB2312" w:eastAsia="仿宋_GB2312"/>
          <w:color w:val="auto"/>
          <w:sz w:val="28"/>
          <w:szCs w:val="28"/>
        </w:rPr>
        <w:t>台（套）。</w:t>
      </w:r>
    </w:p>
    <w:p>
      <w:pPr>
        <w:ind w:firstLine="560" w:firstLineChars="200"/>
        <w:jc w:val="left"/>
        <w:rPr>
          <w:rFonts w:ascii="仿宋_GB2312" w:eastAsia="仿宋_GB2312"/>
          <w:color w:val="auto"/>
          <w:sz w:val="32"/>
          <w:szCs w:val="32"/>
        </w:rPr>
      </w:pPr>
      <w:r>
        <w:rPr>
          <w:rFonts w:hint="eastAsia" w:ascii="黑体" w:eastAsia="黑体"/>
          <w:color w:val="auto"/>
          <w:sz w:val="28"/>
          <w:szCs w:val="28"/>
        </w:rPr>
        <w:t>五、</w:t>
      </w:r>
      <w:r>
        <w:rPr>
          <w:rFonts w:ascii="黑体" w:eastAsia="黑体"/>
          <w:color w:val="auto"/>
          <w:sz w:val="28"/>
          <w:szCs w:val="28"/>
        </w:rPr>
        <w:t>专业名词解释</w:t>
      </w:r>
    </w:p>
    <w:p>
      <w:pPr>
        <w:ind w:firstLine="560" w:firstLineChars="200"/>
        <w:rPr>
          <w:rFonts w:ascii="仿宋_GB2312" w:eastAsia="仿宋_GB2312"/>
          <w:color w:val="auto"/>
          <w:sz w:val="28"/>
          <w:szCs w:val="28"/>
        </w:rPr>
      </w:pPr>
      <w:r>
        <w:rPr>
          <w:rFonts w:hint="eastAsia" w:ascii="仿宋_GB2312" w:eastAsia="仿宋_GB2312"/>
          <w:color w:val="auto"/>
          <w:sz w:val="28"/>
          <w:szCs w:val="28"/>
        </w:rPr>
        <w:t>1.基本支出：指为保障机构正常运转、完成日常工作任务而发生的人员支出和公用支出。</w:t>
      </w:r>
    </w:p>
    <w:p>
      <w:pPr>
        <w:ind w:firstLine="560" w:firstLineChars="200"/>
        <w:rPr>
          <w:rFonts w:ascii="仿宋_GB2312" w:eastAsia="仿宋_GB2312"/>
          <w:color w:val="auto"/>
          <w:sz w:val="28"/>
          <w:szCs w:val="28"/>
        </w:rPr>
      </w:pPr>
      <w:r>
        <w:rPr>
          <w:rFonts w:hint="eastAsia" w:ascii="仿宋_GB2312" w:eastAsia="仿宋_GB2312"/>
          <w:color w:val="auto"/>
          <w:sz w:val="28"/>
          <w:szCs w:val="28"/>
        </w:rPr>
        <w:t>2.项目支出：指在基本支出之外为完成特定行政任务或事业发展目标所发生的支出。</w:t>
      </w:r>
    </w:p>
    <w:p>
      <w:pPr>
        <w:ind w:firstLine="560" w:firstLineChars="200"/>
        <w:rPr>
          <w:rFonts w:ascii="仿宋_GB2312" w:eastAsia="仿宋_GB2312"/>
          <w:color w:val="auto"/>
          <w:sz w:val="28"/>
          <w:szCs w:val="28"/>
        </w:rPr>
      </w:pPr>
      <w:r>
        <w:rPr>
          <w:rFonts w:hint="eastAsia" w:ascii="仿宋_GB2312" w:eastAsia="仿宋_GB2312"/>
          <w:color w:val="auto"/>
          <w:sz w:val="28"/>
          <w:szCs w:val="28"/>
        </w:rPr>
        <w:t>3.“三公”经费：是指单位通过财政拨款资金安排的因公出国（境）费、公务用车购置及运行费和公务接待费。</w:t>
      </w:r>
    </w:p>
    <w:p>
      <w:pPr>
        <w:ind w:firstLine="560" w:firstLineChars="200"/>
        <w:rPr>
          <w:color w:val="auto"/>
        </w:rPr>
      </w:pPr>
      <w:r>
        <w:rPr>
          <w:rFonts w:hint="eastAsia" w:ascii="仿宋_GB2312" w:eastAsia="仿宋_GB2312"/>
          <w:color w:val="auto"/>
          <w:sz w:val="28"/>
          <w:szCs w:val="28"/>
        </w:rPr>
        <w:t>4.机关运行经费：反映为保障行政单位（包括参照公务员法管理的事业单位）运行用于购买货物和服务的各项资金，包括办公费、会议费、培训费、委托业务费、公务接待费、公务用车运行维护费、维修（护）费及其他费用。</w:t>
      </w:r>
    </w:p>
    <w:p>
      <w:pPr>
        <w:ind w:firstLine="560" w:firstLineChars="200"/>
        <w:rPr>
          <w:rFonts w:ascii="仿宋_GB2312" w:eastAsia="仿宋_GB2312"/>
          <w:color w:val="auto"/>
          <w:sz w:val="28"/>
          <w:szCs w:val="28"/>
        </w:rPr>
      </w:pPr>
      <w:r>
        <w:rPr>
          <w:rFonts w:hint="eastAsia" w:ascii="仿宋_GB2312" w:eastAsia="仿宋_GB2312"/>
          <w:color w:val="auto"/>
          <w:sz w:val="28"/>
          <w:szCs w:val="28"/>
        </w:rPr>
        <w:t>5.政府采购：指各级国家机关、事业单位和团体组织，使用财政性资金采购依法制定的集中目录以内的或者采购限额标准以上的货物、工程和服务的行为，是规范财政支出管理和强化预算约束的有效措施。</w:t>
      </w:r>
    </w:p>
    <w:p>
      <w:pPr>
        <w:ind w:firstLine="420" w:firstLineChars="150"/>
        <w:rPr>
          <w:rFonts w:ascii="仿宋_GB2312" w:eastAsia="仿宋_GB2312"/>
          <w:color w:val="auto"/>
          <w:sz w:val="28"/>
          <w:szCs w:val="28"/>
        </w:rPr>
      </w:pPr>
      <w:r>
        <w:rPr>
          <w:rFonts w:hint="eastAsia" w:ascii="仿宋_GB2312" w:eastAsia="仿宋_GB2312"/>
          <w:color w:val="auto"/>
          <w:sz w:val="28"/>
          <w:szCs w:val="28"/>
        </w:rPr>
        <w:t>6.</w:t>
      </w:r>
      <w:r>
        <w:rPr>
          <w:rFonts w:ascii="仿宋_GB2312" w:eastAsia="仿宋_GB2312"/>
          <w:color w:val="auto"/>
          <w:sz w:val="28"/>
          <w:szCs w:val="28"/>
        </w:rPr>
        <w:t>政府购买服务：</w:t>
      </w:r>
      <w:r>
        <w:rPr>
          <w:rFonts w:hint="eastAsia" w:ascii="仿宋_GB2312" w:eastAsia="仿宋_GB2312"/>
          <w:color w:val="auto"/>
          <w:sz w:val="28"/>
          <w:szCs w:val="28"/>
        </w:rPr>
        <w:t>是指各级国家机关将属于自身职责范围且适合通过市场化方式提供的服务事项，按照政府采购方式和程序，交由符合条件的服务供应商承担，并根据服务数量和质量等因素向其支付费用的行为。</w:t>
      </w:r>
    </w:p>
    <w:p>
      <w:pPr>
        <w:ind w:firstLine="560" w:firstLineChars="200"/>
        <w:rPr>
          <w:rFonts w:ascii="仿宋_GB2312" w:eastAsia="仿宋_GB2312"/>
          <w:bCs/>
          <w:sz w:val="28"/>
          <w:szCs w:val="28"/>
        </w:rPr>
      </w:pPr>
    </w:p>
    <w:p>
      <w:pPr>
        <w:ind w:firstLine="420" w:firstLineChars="150"/>
        <w:rPr>
          <w:rFonts w:ascii="仿宋_GB2312" w:eastAsia="仿宋_GB2312"/>
          <w:sz w:val="28"/>
          <w:szCs w:val="28"/>
        </w:rPr>
      </w:pPr>
    </w:p>
    <w:p>
      <w:pPr>
        <w:spacing w:line="580" w:lineRule="exact"/>
        <w:rPr>
          <w:rFonts w:hint="eastAsia" w:ascii="仿宋_GB2312" w:eastAsia="仿宋_GB2312"/>
          <w:sz w:val="32"/>
          <w:szCs w:val="32"/>
        </w:rPr>
      </w:pPr>
    </w:p>
    <w:sectPr>
      <w:footerReference r:id="rId4" w:type="default"/>
      <w:footerReference r:id="rId5" w:type="even"/>
      <w:pgSz w:w="16838" w:h="11906" w:orient="landscape"/>
      <w:pgMar w:top="1134" w:right="1134" w:bottom="1134" w:left="1134" w:header="851" w:footer="992" w:gutter="0"/>
      <w:cols w:space="720"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Cambria">
    <w:panose1 w:val="02040503050406030204"/>
    <w:charset w:val="00"/>
    <w:family w:val="roman"/>
    <w:pitch w:val="default"/>
    <w:sig w:usb0="E00002FF" w:usb1="400004FF" w:usb2="00000000" w:usb3="00000000" w:csb0="2000019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Tahoma">
    <w:panose1 w:val="020B0604030504040204"/>
    <w:charset w:val="00"/>
    <w:family w:val="swiss"/>
    <w:pitch w:val="default"/>
    <w:sig w:usb0="E1002EFF" w:usb1="C000605B" w:usb2="00000029" w:usb3="00000000" w:csb0="200101FF" w:csb1="20280000"/>
  </w:font>
  <w:font w:name="华文中宋">
    <w:altName w:val="宋体"/>
    <w:panose1 w:val="02010600040101010101"/>
    <w:charset w:val="86"/>
    <w:family w:val="auto"/>
    <w:pitch w:val="default"/>
    <w:sig w:usb0="00000000" w:usb1="00000000" w:usb2="00000000" w:usb3="00000000" w:csb0="0004009F" w:csb1="DFD70000"/>
  </w:font>
  <w:font w:name="楷体_GB2312">
    <w:altName w:val="楷体"/>
    <w:panose1 w:val="02010609030101010101"/>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仿宋_GB2312">
    <w:altName w:val="仿宋"/>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framePr w:wrap="around" w:vAnchor="text" w:hAnchor="margin" w:xAlign="center" w:y="1"/>
      <w:rPr>
        <w:rStyle w:val="13"/>
      </w:rPr>
    </w:pPr>
    <w:r>
      <w:fldChar w:fldCharType="begin"/>
    </w:r>
    <w:r>
      <w:rPr>
        <w:rStyle w:val="13"/>
      </w:rPr>
      <w:instrText xml:space="preserve">PAGE  </w:instrText>
    </w:r>
    <w:r>
      <w:fldChar w:fldCharType="separate"/>
    </w:r>
    <w:r>
      <w:rPr>
        <w:rStyle w:val="13"/>
      </w:rPr>
      <w:t>3</w:t>
    </w:r>
    <w:r>
      <w:fldChar w:fldCharType="end"/>
    </w:r>
  </w:p>
  <w:p>
    <w:pPr>
      <w:pStyle w:val="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framePr w:wrap="around" w:vAnchor="text" w:hAnchor="margin" w:xAlign="center" w:y="1"/>
      <w:rPr>
        <w:rStyle w:val="13"/>
      </w:rPr>
    </w:pPr>
    <w:r>
      <w:fldChar w:fldCharType="begin"/>
    </w:r>
    <w:r>
      <w:rPr>
        <w:rStyle w:val="13"/>
      </w:rPr>
      <w:instrText xml:space="preserve">PAGE  </w:instrText>
    </w:r>
    <w:r>
      <w:fldChar w:fldCharType="separate"/>
    </w:r>
    <w:r>
      <w:rPr>
        <w:rStyle w:val="13"/>
      </w:rPr>
      <w:t>16</w:t>
    </w:r>
    <w:r>
      <w:fldChar w:fldCharType="end"/>
    </w:r>
  </w:p>
  <w:p>
    <w:pPr>
      <w:pStyle w:val="7"/>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framePr w:wrap="around" w:vAnchor="text" w:hAnchor="margin" w:xAlign="center" w:y="1"/>
      <w:rPr>
        <w:rStyle w:val="13"/>
      </w:rPr>
    </w:pPr>
    <w:r>
      <w:fldChar w:fldCharType="begin"/>
    </w:r>
    <w:r>
      <w:rPr>
        <w:rStyle w:val="13"/>
      </w:rPr>
      <w:instrText xml:space="preserve">PAGE  </w:instrText>
    </w:r>
    <w:r>
      <w:fldChar w:fldCharType="separate"/>
    </w:r>
    <w:r>
      <w:rPr>
        <w:rStyle w:val="13"/>
      </w:rPr>
      <w:t>15</w:t>
    </w:r>
    <w:r>
      <w:fldChar w:fldCharType="end"/>
    </w:r>
  </w:p>
  <w:p>
    <w:pPr>
      <w:pStyle w:val="7"/>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WZmNWE4NzRhMTczNjJlZDE5ZTE5YTczN2QxMzcyMjAifQ=="/>
  </w:docVars>
  <w:rsids>
    <w:rsidRoot w:val="00100246"/>
    <w:rsid w:val="00003B03"/>
    <w:rsid w:val="000040E6"/>
    <w:rsid w:val="00011D72"/>
    <w:rsid w:val="0002352D"/>
    <w:rsid w:val="00027CD5"/>
    <w:rsid w:val="00031B8E"/>
    <w:rsid w:val="00033EC1"/>
    <w:rsid w:val="00034224"/>
    <w:rsid w:val="00040275"/>
    <w:rsid w:val="0004719C"/>
    <w:rsid w:val="00047F6E"/>
    <w:rsid w:val="00051B00"/>
    <w:rsid w:val="000601B1"/>
    <w:rsid w:val="00063034"/>
    <w:rsid w:val="00066E19"/>
    <w:rsid w:val="0006752F"/>
    <w:rsid w:val="00071797"/>
    <w:rsid w:val="00071860"/>
    <w:rsid w:val="0007258E"/>
    <w:rsid w:val="00077A9E"/>
    <w:rsid w:val="00077F4A"/>
    <w:rsid w:val="00077FE5"/>
    <w:rsid w:val="00080447"/>
    <w:rsid w:val="00085663"/>
    <w:rsid w:val="00095948"/>
    <w:rsid w:val="00095C26"/>
    <w:rsid w:val="00096504"/>
    <w:rsid w:val="00096B86"/>
    <w:rsid w:val="000A1770"/>
    <w:rsid w:val="000A283C"/>
    <w:rsid w:val="000B15B7"/>
    <w:rsid w:val="000B70F1"/>
    <w:rsid w:val="000C4611"/>
    <w:rsid w:val="000D1B61"/>
    <w:rsid w:val="000D6854"/>
    <w:rsid w:val="000E0B26"/>
    <w:rsid w:val="000E3291"/>
    <w:rsid w:val="000F08FE"/>
    <w:rsid w:val="000F208B"/>
    <w:rsid w:val="000F2A48"/>
    <w:rsid w:val="000F49BE"/>
    <w:rsid w:val="00100246"/>
    <w:rsid w:val="0010682D"/>
    <w:rsid w:val="001073C6"/>
    <w:rsid w:val="00107DB5"/>
    <w:rsid w:val="00113613"/>
    <w:rsid w:val="0011483D"/>
    <w:rsid w:val="00115724"/>
    <w:rsid w:val="00130995"/>
    <w:rsid w:val="00131FF9"/>
    <w:rsid w:val="00132320"/>
    <w:rsid w:val="00135B6A"/>
    <w:rsid w:val="001369A7"/>
    <w:rsid w:val="001428C5"/>
    <w:rsid w:val="001503D8"/>
    <w:rsid w:val="00157540"/>
    <w:rsid w:val="0017111F"/>
    <w:rsid w:val="00173CF6"/>
    <w:rsid w:val="00180DAD"/>
    <w:rsid w:val="0018370E"/>
    <w:rsid w:val="001852E1"/>
    <w:rsid w:val="00191568"/>
    <w:rsid w:val="001A4277"/>
    <w:rsid w:val="001A7D2E"/>
    <w:rsid w:val="001B1DF9"/>
    <w:rsid w:val="001B1E93"/>
    <w:rsid w:val="001B375E"/>
    <w:rsid w:val="001B4A46"/>
    <w:rsid w:val="001B5E87"/>
    <w:rsid w:val="001B5E91"/>
    <w:rsid w:val="001B69BF"/>
    <w:rsid w:val="001B7988"/>
    <w:rsid w:val="001D78D9"/>
    <w:rsid w:val="001E0556"/>
    <w:rsid w:val="001E2355"/>
    <w:rsid w:val="001E2379"/>
    <w:rsid w:val="001E29A9"/>
    <w:rsid w:val="001F5857"/>
    <w:rsid w:val="00206EC3"/>
    <w:rsid w:val="0021047C"/>
    <w:rsid w:val="00211E4E"/>
    <w:rsid w:val="00213D1C"/>
    <w:rsid w:val="00214C3A"/>
    <w:rsid w:val="00217517"/>
    <w:rsid w:val="00222628"/>
    <w:rsid w:val="002253CB"/>
    <w:rsid w:val="002267A6"/>
    <w:rsid w:val="002326DE"/>
    <w:rsid w:val="00234314"/>
    <w:rsid w:val="00241724"/>
    <w:rsid w:val="0024390C"/>
    <w:rsid w:val="002441F4"/>
    <w:rsid w:val="00244204"/>
    <w:rsid w:val="002448A4"/>
    <w:rsid w:val="00245A0A"/>
    <w:rsid w:val="00246C42"/>
    <w:rsid w:val="002515CC"/>
    <w:rsid w:val="00253EC4"/>
    <w:rsid w:val="00254515"/>
    <w:rsid w:val="0026479D"/>
    <w:rsid w:val="002673C4"/>
    <w:rsid w:val="0027112B"/>
    <w:rsid w:val="00271C3F"/>
    <w:rsid w:val="00272460"/>
    <w:rsid w:val="00273070"/>
    <w:rsid w:val="0027394A"/>
    <w:rsid w:val="00274D50"/>
    <w:rsid w:val="002760D5"/>
    <w:rsid w:val="00276289"/>
    <w:rsid w:val="0028081D"/>
    <w:rsid w:val="0028458C"/>
    <w:rsid w:val="002911BD"/>
    <w:rsid w:val="00291C98"/>
    <w:rsid w:val="00294DE9"/>
    <w:rsid w:val="002A1488"/>
    <w:rsid w:val="002A4C2B"/>
    <w:rsid w:val="002B19D0"/>
    <w:rsid w:val="002B3682"/>
    <w:rsid w:val="002B5464"/>
    <w:rsid w:val="002C0443"/>
    <w:rsid w:val="002C12FB"/>
    <w:rsid w:val="002C24BC"/>
    <w:rsid w:val="002D03C6"/>
    <w:rsid w:val="002D0FDF"/>
    <w:rsid w:val="002D3955"/>
    <w:rsid w:val="002D68A9"/>
    <w:rsid w:val="002E06AE"/>
    <w:rsid w:val="002E4B75"/>
    <w:rsid w:val="002E68DD"/>
    <w:rsid w:val="002F17C2"/>
    <w:rsid w:val="002F32EE"/>
    <w:rsid w:val="002F4054"/>
    <w:rsid w:val="002F5574"/>
    <w:rsid w:val="00301D20"/>
    <w:rsid w:val="00302B19"/>
    <w:rsid w:val="00303428"/>
    <w:rsid w:val="003053C4"/>
    <w:rsid w:val="003058A3"/>
    <w:rsid w:val="00307204"/>
    <w:rsid w:val="00307DA5"/>
    <w:rsid w:val="0031169D"/>
    <w:rsid w:val="0031170D"/>
    <w:rsid w:val="00313E14"/>
    <w:rsid w:val="003167DD"/>
    <w:rsid w:val="00320C8B"/>
    <w:rsid w:val="00321BD8"/>
    <w:rsid w:val="00325687"/>
    <w:rsid w:val="00332C14"/>
    <w:rsid w:val="00335079"/>
    <w:rsid w:val="003352CE"/>
    <w:rsid w:val="00341D8E"/>
    <w:rsid w:val="003502B9"/>
    <w:rsid w:val="00351B8F"/>
    <w:rsid w:val="00353226"/>
    <w:rsid w:val="00353717"/>
    <w:rsid w:val="00354630"/>
    <w:rsid w:val="00365A24"/>
    <w:rsid w:val="003712DB"/>
    <w:rsid w:val="00373DDC"/>
    <w:rsid w:val="00382A86"/>
    <w:rsid w:val="00383BCC"/>
    <w:rsid w:val="00385243"/>
    <w:rsid w:val="003925D4"/>
    <w:rsid w:val="0039318C"/>
    <w:rsid w:val="00393366"/>
    <w:rsid w:val="003937DC"/>
    <w:rsid w:val="00393D75"/>
    <w:rsid w:val="003A2F2D"/>
    <w:rsid w:val="003A43AC"/>
    <w:rsid w:val="003A4EB6"/>
    <w:rsid w:val="003A7AE9"/>
    <w:rsid w:val="003A7BC5"/>
    <w:rsid w:val="003A7FF5"/>
    <w:rsid w:val="003B0352"/>
    <w:rsid w:val="003B4437"/>
    <w:rsid w:val="003B48C4"/>
    <w:rsid w:val="003B5E20"/>
    <w:rsid w:val="003B6DAD"/>
    <w:rsid w:val="003B735F"/>
    <w:rsid w:val="003C030C"/>
    <w:rsid w:val="003C55FC"/>
    <w:rsid w:val="003D0EC3"/>
    <w:rsid w:val="003D7274"/>
    <w:rsid w:val="003E4D82"/>
    <w:rsid w:val="003E5BC1"/>
    <w:rsid w:val="003F0D1B"/>
    <w:rsid w:val="003F1DD6"/>
    <w:rsid w:val="00401087"/>
    <w:rsid w:val="00402E26"/>
    <w:rsid w:val="00405701"/>
    <w:rsid w:val="004110BC"/>
    <w:rsid w:val="0041271F"/>
    <w:rsid w:val="0041688E"/>
    <w:rsid w:val="004170EF"/>
    <w:rsid w:val="0042093C"/>
    <w:rsid w:val="004233DD"/>
    <w:rsid w:val="00424405"/>
    <w:rsid w:val="00425B25"/>
    <w:rsid w:val="00425D24"/>
    <w:rsid w:val="00426A4D"/>
    <w:rsid w:val="00427687"/>
    <w:rsid w:val="00433231"/>
    <w:rsid w:val="004334CA"/>
    <w:rsid w:val="0043506A"/>
    <w:rsid w:val="00435830"/>
    <w:rsid w:val="0043619C"/>
    <w:rsid w:val="0044475D"/>
    <w:rsid w:val="00444D1E"/>
    <w:rsid w:val="0044571A"/>
    <w:rsid w:val="0044705D"/>
    <w:rsid w:val="0045090E"/>
    <w:rsid w:val="00453E36"/>
    <w:rsid w:val="00457286"/>
    <w:rsid w:val="00461FA5"/>
    <w:rsid w:val="00463566"/>
    <w:rsid w:val="00464182"/>
    <w:rsid w:val="00471C52"/>
    <w:rsid w:val="0047460C"/>
    <w:rsid w:val="00474FF2"/>
    <w:rsid w:val="00480098"/>
    <w:rsid w:val="00484A93"/>
    <w:rsid w:val="00485E12"/>
    <w:rsid w:val="004865DA"/>
    <w:rsid w:val="0048779C"/>
    <w:rsid w:val="00487AB7"/>
    <w:rsid w:val="00487ED0"/>
    <w:rsid w:val="00491D09"/>
    <w:rsid w:val="0049682C"/>
    <w:rsid w:val="004A168E"/>
    <w:rsid w:val="004A4EC7"/>
    <w:rsid w:val="004B0003"/>
    <w:rsid w:val="004C020A"/>
    <w:rsid w:val="004C03A3"/>
    <w:rsid w:val="004C44B8"/>
    <w:rsid w:val="004C7629"/>
    <w:rsid w:val="004D0D5D"/>
    <w:rsid w:val="004E27DD"/>
    <w:rsid w:val="004E3350"/>
    <w:rsid w:val="004E5292"/>
    <w:rsid w:val="004F2C5B"/>
    <w:rsid w:val="004F641B"/>
    <w:rsid w:val="004F71F3"/>
    <w:rsid w:val="005052FA"/>
    <w:rsid w:val="005069E1"/>
    <w:rsid w:val="00507E59"/>
    <w:rsid w:val="005122B5"/>
    <w:rsid w:val="0052381C"/>
    <w:rsid w:val="005346B3"/>
    <w:rsid w:val="0054051C"/>
    <w:rsid w:val="00546A84"/>
    <w:rsid w:val="00547BE2"/>
    <w:rsid w:val="0055353D"/>
    <w:rsid w:val="0056187C"/>
    <w:rsid w:val="00576B03"/>
    <w:rsid w:val="00581E1A"/>
    <w:rsid w:val="00591655"/>
    <w:rsid w:val="00591BEC"/>
    <w:rsid w:val="005940EA"/>
    <w:rsid w:val="00594448"/>
    <w:rsid w:val="005A1D6F"/>
    <w:rsid w:val="005A4D82"/>
    <w:rsid w:val="005A52A6"/>
    <w:rsid w:val="005B0DEC"/>
    <w:rsid w:val="005B368E"/>
    <w:rsid w:val="005B6E69"/>
    <w:rsid w:val="005C0015"/>
    <w:rsid w:val="005C1E82"/>
    <w:rsid w:val="005C2BCE"/>
    <w:rsid w:val="005C2CA5"/>
    <w:rsid w:val="005C7062"/>
    <w:rsid w:val="005C7788"/>
    <w:rsid w:val="005D10B9"/>
    <w:rsid w:val="005D18DA"/>
    <w:rsid w:val="005E00DC"/>
    <w:rsid w:val="005E3BBC"/>
    <w:rsid w:val="005E3EC6"/>
    <w:rsid w:val="005E4E07"/>
    <w:rsid w:val="005E4E46"/>
    <w:rsid w:val="005E5275"/>
    <w:rsid w:val="005E7DC8"/>
    <w:rsid w:val="005E7EC9"/>
    <w:rsid w:val="005F7087"/>
    <w:rsid w:val="00611BE4"/>
    <w:rsid w:val="0061219B"/>
    <w:rsid w:val="00621419"/>
    <w:rsid w:val="00626446"/>
    <w:rsid w:val="00626BE8"/>
    <w:rsid w:val="00631827"/>
    <w:rsid w:val="00632804"/>
    <w:rsid w:val="006376DA"/>
    <w:rsid w:val="006459DA"/>
    <w:rsid w:val="006502E8"/>
    <w:rsid w:val="00654A2B"/>
    <w:rsid w:val="0065675C"/>
    <w:rsid w:val="0065793F"/>
    <w:rsid w:val="0066263B"/>
    <w:rsid w:val="0066713A"/>
    <w:rsid w:val="0067195C"/>
    <w:rsid w:val="006724F7"/>
    <w:rsid w:val="0067511A"/>
    <w:rsid w:val="0067539B"/>
    <w:rsid w:val="00675543"/>
    <w:rsid w:val="00677396"/>
    <w:rsid w:val="00677AD9"/>
    <w:rsid w:val="00681970"/>
    <w:rsid w:val="00690641"/>
    <w:rsid w:val="00690D88"/>
    <w:rsid w:val="00691844"/>
    <w:rsid w:val="00693DDF"/>
    <w:rsid w:val="00696F9E"/>
    <w:rsid w:val="006A374A"/>
    <w:rsid w:val="006A505E"/>
    <w:rsid w:val="006A513E"/>
    <w:rsid w:val="006A5265"/>
    <w:rsid w:val="006B0CB9"/>
    <w:rsid w:val="006B2609"/>
    <w:rsid w:val="006B2750"/>
    <w:rsid w:val="006B3678"/>
    <w:rsid w:val="006B7390"/>
    <w:rsid w:val="006C0084"/>
    <w:rsid w:val="006C107D"/>
    <w:rsid w:val="006C3600"/>
    <w:rsid w:val="006C4534"/>
    <w:rsid w:val="006C5205"/>
    <w:rsid w:val="006C75F6"/>
    <w:rsid w:val="006D3F53"/>
    <w:rsid w:val="006D60AF"/>
    <w:rsid w:val="006E4722"/>
    <w:rsid w:val="00701651"/>
    <w:rsid w:val="007049BF"/>
    <w:rsid w:val="00704E79"/>
    <w:rsid w:val="00707A26"/>
    <w:rsid w:val="0071120F"/>
    <w:rsid w:val="00716380"/>
    <w:rsid w:val="00722165"/>
    <w:rsid w:val="00724B1C"/>
    <w:rsid w:val="007428F0"/>
    <w:rsid w:val="007512EF"/>
    <w:rsid w:val="007551AC"/>
    <w:rsid w:val="0076101C"/>
    <w:rsid w:val="00763D87"/>
    <w:rsid w:val="007670B2"/>
    <w:rsid w:val="00771795"/>
    <w:rsid w:val="00774925"/>
    <w:rsid w:val="0079279F"/>
    <w:rsid w:val="00793E69"/>
    <w:rsid w:val="007A063C"/>
    <w:rsid w:val="007A16B0"/>
    <w:rsid w:val="007A19EA"/>
    <w:rsid w:val="007A6092"/>
    <w:rsid w:val="007A60B7"/>
    <w:rsid w:val="007A64A6"/>
    <w:rsid w:val="007A6EE1"/>
    <w:rsid w:val="007A7C89"/>
    <w:rsid w:val="007B1487"/>
    <w:rsid w:val="007B2A43"/>
    <w:rsid w:val="007B326F"/>
    <w:rsid w:val="007B6A58"/>
    <w:rsid w:val="007B6C06"/>
    <w:rsid w:val="007B7B78"/>
    <w:rsid w:val="007C32B1"/>
    <w:rsid w:val="007C7A22"/>
    <w:rsid w:val="007C7C62"/>
    <w:rsid w:val="007D1076"/>
    <w:rsid w:val="007D12B7"/>
    <w:rsid w:val="007D2A49"/>
    <w:rsid w:val="007D5E38"/>
    <w:rsid w:val="007D7AC4"/>
    <w:rsid w:val="007E0340"/>
    <w:rsid w:val="007E1D4A"/>
    <w:rsid w:val="007E53C0"/>
    <w:rsid w:val="007E7703"/>
    <w:rsid w:val="007F4558"/>
    <w:rsid w:val="007F64DF"/>
    <w:rsid w:val="008050EF"/>
    <w:rsid w:val="0080652C"/>
    <w:rsid w:val="0080715F"/>
    <w:rsid w:val="008113D6"/>
    <w:rsid w:val="00812BA7"/>
    <w:rsid w:val="00813A87"/>
    <w:rsid w:val="00813F63"/>
    <w:rsid w:val="00815926"/>
    <w:rsid w:val="00815F57"/>
    <w:rsid w:val="0081760B"/>
    <w:rsid w:val="008218AC"/>
    <w:rsid w:val="00825359"/>
    <w:rsid w:val="00825E13"/>
    <w:rsid w:val="00826F07"/>
    <w:rsid w:val="008337CB"/>
    <w:rsid w:val="00834A3C"/>
    <w:rsid w:val="008360A0"/>
    <w:rsid w:val="00837658"/>
    <w:rsid w:val="00837CD4"/>
    <w:rsid w:val="00837F78"/>
    <w:rsid w:val="008400EE"/>
    <w:rsid w:val="00840791"/>
    <w:rsid w:val="00845576"/>
    <w:rsid w:val="00850708"/>
    <w:rsid w:val="00851024"/>
    <w:rsid w:val="008526D7"/>
    <w:rsid w:val="0086238C"/>
    <w:rsid w:val="008655DC"/>
    <w:rsid w:val="0086732D"/>
    <w:rsid w:val="00870183"/>
    <w:rsid w:val="00875726"/>
    <w:rsid w:val="00877F10"/>
    <w:rsid w:val="0088225D"/>
    <w:rsid w:val="00882F8D"/>
    <w:rsid w:val="00884FB0"/>
    <w:rsid w:val="008853A5"/>
    <w:rsid w:val="008944DA"/>
    <w:rsid w:val="00894D78"/>
    <w:rsid w:val="008A6A18"/>
    <w:rsid w:val="008B033F"/>
    <w:rsid w:val="008B4003"/>
    <w:rsid w:val="008B7443"/>
    <w:rsid w:val="008C179E"/>
    <w:rsid w:val="008C2379"/>
    <w:rsid w:val="008C4FF7"/>
    <w:rsid w:val="008C5C4C"/>
    <w:rsid w:val="008C7056"/>
    <w:rsid w:val="008C706D"/>
    <w:rsid w:val="008D3145"/>
    <w:rsid w:val="008E1A54"/>
    <w:rsid w:val="008E1F95"/>
    <w:rsid w:val="008E36B6"/>
    <w:rsid w:val="008E4267"/>
    <w:rsid w:val="008E4847"/>
    <w:rsid w:val="008E5FF1"/>
    <w:rsid w:val="008E63D2"/>
    <w:rsid w:val="008E6E14"/>
    <w:rsid w:val="008F1528"/>
    <w:rsid w:val="008F1AE5"/>
    <w:rsid w:val="008F55D9"/>
    <w:rsid w:val="009057DE"/>
    <w:rsid w:val="00905F97"/>
    <w:rsid w:val="00906FA3"/>
    <w:rsid w:val="0091239D"/>
    <w:rsid w:val="00912825"/>
    <w:rsid w:val="009129B8"/>
    <w:rsid w:val="00912B99"/>
    <w:rsid w:val="00912C78"/>
    <w:rsid w:val="00927892"/>
    <w:rsid w:val="009319B9"/>
    <w:rsid w:val="009351E9"/>
    <w:rsid w:val="00937862"/>
    <w:rsid w:val="00942279"/>
    <w:rsid w:val="009524EB"/>
    <w:rsid w:val="00962013"/>
    <w:rsid w:val="00963942"/>
    <w:rsid w:val="0096716C"/>
    <w:rsid w:val="009672B2"/>
    <w:rsid w:val="00971C66"/>
    <w:rsid w:val="00972363"/>
    <w:rsid w:val="0098419C"/>
    <w:rsid w:val="009843EF"/>
    <w:rsid w:val="009867F2"/>
    <w:rsid w:val="00991347"/>
    <w:rsid w:val="00996018"/>
    <w:rsid w:val="0099738E"/>
    <w:rsid w:val="009A493E"/>
    <w:rsid w:val="009A531F"/>
    <w:rsid w:val="009A6931"/>
    <w:rsid w:val="009B1F9A"/>
    <w:rsid w:val="009B1FA9"/>
    <w:rsid w:val="009B349F"/>
    <w:rsid w:val="009B4293"/>
    <w:rsid w:val="009B6715"/>
    <w:rsid w:val="009C7B74"/>
    <w:rsid w:val="009D0BE2"/>
    <w:rsid w:val="009D114E"/>
    <w:rsid w:val="009D210F"/>
    <w:rsid w:val="009D309C"/>
    <w:rsid w:val="009D37B1"/>
    <w:rsid w:val="009D4717"/>
    <w:rsid w:val="009D694D"/>
    <w:rsid w:val="009E264E"/>
    <w:rsid w:val="009F0C98"/>
    <w:rsid w:val="009F0F81"/>
    <w:rsid w:val="009F2543"/>
    <w:rsid w:val="009F256D"/>
    <w:rsid w:val="009F341E"/>
    <w:rsid w:val="009F57CE"/>
    <w:rsid w:val="00A117CA"/>
    <w:rsid w:val="00A12225"/>
    <w:rsid w:val="00A14C18"/>
    <w:rsid w:val="00A25898"/>
    <w:rsid w:val="00A3071D"/>
    <w:rsid w:val="00A3182E"/>
    <w:rsid w:val="00A31A89"/>
    <w:rsid w:val="00A32F06"/>
    <w:rsid w:val="00A34934"/>
    <w:rsid w:val="00A34EFE"/>
    <w:rsid w:val="00A36546"/>
    <w:rsid w:val="00A4069C"/>
    <w:rsid w:val="00A413B5"/>
    <w:rsid w:val="00A429CB"/>
    <w:rsid w:val="00A44E87"/>
    <w:rsid w:val="00A5063C"/>
    <w:rsid w:val="00A52749"/>
    <w:rsid w:val="00A5422E"/>
    <w:rsid w:val="00A56EC1"/>
    <w:rsid w:val="00A6350C"/>
    <w:rsid w:val="00A6370B"/>
    <w:rsid w:val="00A63A73"/>
    <w:rsid w:val="00A6655C"/>
    <w:rsid w:val="00A66CBB"/>
    <w:rsid w:val="00A6704E"/>
    <w:rsid w:val="00A67EA4"/>
    <w:rsid w:val="00A773FF"/>
    <w:rsid w:val="00A83AA1"/>
    <w:rsid w:val="00A906F4"/>
    <w:rsid w:val="00A9343A"/>
    <w:rsid w:val="00A9706C"/>
    <w:rsid w:val="00A97B34"/>
    <w:rsid w:val="00AA1B5C"/>
    <w:rsid w:val="00AA7A27"/>
    <w:rsid w:val="00AB3FB0"/>
    <w:rsid w:val="00AB465D"/>
    <w:rsid w:val="00AB713D"/>
    <w:rsid w:val="00AC114C"/>
    <w:rsid w:val="00AC1478"/>
    <w:rsid w:val="00AC6C2D"/>
    <w:rsid w:val="00AC6E17"/>
    <w:rsid w:val="00AD2FF3"/>
    <w:rsid w:val="00AD7764"/>
    <w:rsid w:val="00AD7FE2"/>
    <w:rsid w:val="00AE1284"/>
    <w:rsid w:val="00AE1B18"/>
    <w:rsid w:val="00AE7339"/>
    <w:rsid w:val="00AF1B0B"/>
    <w:rsid w:val="00AF242C"/>
    <w:rsid w:val="00AF3CC4"/>
    <w:rsid w:val="00B05903"/>
    <w:rsid w:val="00B12C7A"/>
    <w:rsid w:val="00B12E10"/>
    <w:rsid w:val="00B22BC3"/>
    <w:rsid w:val="00B25865"/>
    <w:rsid w:val="00B272B6"/>
    <w:rsid w:val="00B2771B"/>
    <w:rsid w:val="00B336E9"/>
    <w:rsid w:val="00B33AE5"/>
    <w:rsid w:val="00B35BE5"/>
    <w:rsid w:val="00B46965"/>
    <w:rsid w:val="00B54ED0"/>
    <w:rsid w:val="00B55D47"/>
    <w:rsid w:val="00B6204E"/>
    <w:rsid w:val="00B649EC"/>
    <w:rsid w:val="00B728DD"/>
    <w:rsid w:val="00B72D43"/>
    <w:rsid w:val="00B74121"/>
    <w:rsid w:val="00B80ABA"/>
    <w:rsid w:val="00B859FF"/>
    <w:rsid w:val="00B85C1B"/>
    <w:rsid w:val="00B85FF0"/>
    <w:rsid w:val="00B86150"/>
    <w:rsid w:val="00B878F9"/>
    <w:rsid w:val="00B9044A"/>
    <w:rsid w:val="00B960F3"/>
    <w:rsid w:val="00B96A31"/>
    <w:rsid w:val="00BA05E6"/>
    <w:rsid w:val="00BA51B0"/>
    <w:rsid w:val="00BA6319"/>
    <w:rsid w:val="00BC03B0"/>
    <w:rsid w:val="00BC06A3"/>
    <w:rsid w:val="00BC0CEA"/>
    <w:rsid w:val="00BC2220"/>
    <w:rsid w:val="00BC26B9"/>
    <w:rsid w:val="00BC26FA"/>
    <w:rsid w:val="00BC4E01"/>
    <w:rsid w:val="00BC73F6"/>
    <w:rsid w:val="00BD1177"/>
    <w:rsid w:val="00BD1374"/>
    <w:rsid w:val="00BD3531"/>
    <w:rsid w:val="00BD4E35"/>
    <w:rsid w:val="00BE34CA"/>
    <w:rsid w:val="00BF116A"/>
    <w:rsid w:val="00C0623C"/>
    <w:rsid w:val="00C06A07"/>
    <w:rsid w:val="00C132B6"/>
    <w:rsid w:val="00C21A6C"/>
    <w:rsid w:val="00C24A10"/>
    <w:rsid w:val="00C27003"/>
    <w:rsid w:val="00C27597"/>
    <w:rsid w:val="00C32BD4"/>
    <w:rsid w:val="00C33E48"/>
    <w:rsid w:val="00C3618B"/>
    <w:rsid w:val="00C403FB"/>
    <w:rsid w:val="00C4316E"/>
    <w:rsid w:val="00C441A2"/>
    <w:rsid w:val="00C5076B"/>
    <w:rsid w:val="00C512D4"/>
    <w:rsid w:val="00C51CF4"/>
    <w:rsid w:val="00C531E2"/>
    <w:rsid w:val="00C53204"/>
    <w:rsid w:val="00C57E34"/>
    <w:rsid w:val="00C64659"/>
    <w:rsid w:val="00C662E9"/>
    <w:rsid w:val="00C66C2D"/>
    <w:rsid w:val="00C7190B"/>
    <w:rsid w:val="00C76852"/>
    <w:rsid w:val="00C77210"/>
    <w:rsid w:val="00C777FA"/>
    <w:rsid w:val="00C77989"/>
    <w:rsid w:val="00C811F4"/>
    <w:rsid w:val="00C81E51"/>
    <w:rsid w:val="00C87B73"/>
    <w:rsid w:val="00C92444"/>
    <w:rsid w:val="00C92FBB"/>
    <w:rsid w:val="00C93327"/>
    <w:rsid w:val="00C97B4D"/>
    <w:rsid w:val="00CA5602"/>
    <w:rsid w:val="00CA5CA9"/>
    <w:rsid w:val="00CA78E2"/>
    <w:rsid w:val="00CB1BBE"/>
    <w:rsid w:val="00CB65DB"/>
    <w:rsid w:val="00CB6BD9"/>
    <w:rsid w:val="00CC293A"/>
    <w:rsid w:val="00CE19F6"/>
    <w:rsid w:val="00CE6B76"/>
    <w:rsid w:val="00CF366B"/>
    <w:rsid w:val="00CF5D9D"/>
    <w:rsid w:val="00CF606C"/>
    <w:rsid w:val="00CF7423"/>
    <w:rsid w:val="00D001F5"/>
    <w:rsid w:val="00D03E80"/>
    <w:rsid w:val="00D1505F"/>
    <w:rsid w:val="00D15B9F"/>
    <w:rsid w:val="00D15DD6"/>
    <w:rsid w:val="00D25548"/>
    <w:rsid w:val="00D2601F"/>
    <w:rsid w:val="00D27759"/>
    <w:rsid w:val="00D30028"/>
    <w:rsid w:val="00D325D3"/>
    <w:rsid w:val="00D408D6"/>
    <w:rsid w:val="00D511DD"/>
    <w:rsid w:val="00D55C2A"/>
    <w:rsid w:val="00D571C1"/>
    <w:rsid w:val="00D602F4"/>
    <w:rsid w:val="00D6457E"/>
    <w:rsid w:val="00D742E2"/>
    <w:rsid w:val="00D7580E"/>
    <w:rsid w:val="00D87DAF"/>
    <w:rsid w:val="00D9446D"/>
    <w:rsid w:val="00DA2994"/>
    <w:rsid w:val="00DB08E8"/>
    <w:rsid w:val="00DB0DED"/>
    <w:rsid w:val="00DB3073"/>
    <w:rsid w:val="00DB3BA9"/>
    <w:rsid w:val="00DB50FE"/>
    <w:rsid w:val="00DB5EDA"/>
    <w:rsid w:val="00DC2349"/>
    <w:rsid w:val="00DC3026"/>
    <w:rsid w:val="00DD1EDB"/>
    <w:rsid w:val="00DD57AA"/>
    <w:rsid w:val="00DE1578"/>
    <w:rsid w:val="00DE7F67"/>
    <w:rsid w:val="00DF0529"/>
    <w:rsid w:val="00DF09EF"/>
    <w:rsid w:val="00DF0D0F"/>
    <w:rsid w:val="00DF13D6"/>
    <w:rsid w:val="00DF27D6"/>
    <w:rsid w:val="00DF2BEA"/>
    <w:rsid w:val="00DF4488"/>
    <w:rsid w:val="00DF5B98"/>
    <w:rsid w:val="00DF6FA8"/>
    <w:rsid w:val="00DF701E"/>
    <w:rsid w:val="00DF7BE5"/>
    <w:rsid w:val="00E00D49"/>
    <w:rsid w:val="00E019A8"/>
    <w:rsid w:val="00E03A46"/>
    <w:rsid w:val="00E03C6D"/>
    <w:rsid w:val="00E0476F"/>
    <w:rsid w:val="00E04899"/>
    <w:rsid w:val="00E0796F"/>
    <w:rsid w:val="00E10948"/>
    <w:rsid w:val="00E24371"/>
    <w:rsid w:val="00E243AB"/>
    <w:rsid w:val="00E26641"/>
    <w:rsid w:val="00E2778F"/>
    <w:rsid w:val="00E278B0"/>
    <w:rsid w:val="00E33023"/>
    <w:rsid w:val="00E331F3"/>
    <w:rsid w:val="00E3498D"/>
    <w:rsid w:val="00E42425"/>
    <w:rsid w:val="00E43E55"/>
    <w:rsid w:val="00E4554E"/>
    <w:rsid w:val="00E46D22"/>
    <w:rsid w:val="00E4768F"/>
    <w:rsid w:val="00E53C0E"/>
    <w:rsid w:val="00E54F7E"/>
    <w:rsid w:val="00E560CE"/>
    <w:rsid w:val="00E5674E"/>
    <w:rsid w:val="00E63783"/>
    <w:rsid w:val="00E650E2"/>
    <w:rsid w:val="00E75CAD"/>
    <w:rsid w:val="00E76922"/>
    <w:rsid w:val="00E8595B"/>
    <w:rsid w:val="00E915EC"/>
    <w:rsid w:val="00EA11B1"/>
    <w:rsid w:val="00EA2224"/>
    <w:rsid w:val="00EA7194"/>
    <w:rsid w:val="00EB1329"/>
    <w:rsid w:val="00EB2987"/>
    <w:rsid w:val="00EB2D75"/>
    <w:rsid w:val="00EB34BE"/>
    <w:rsid w:val="00EB571A"/>
    <w:rsid w:val="00EC2804"/>
    <w:rsid w:val="00EC6117"/>
    <w:rsid w:val="00EC6138"/>
    <w:rsid w:val="00ED1DCF"/>
    <w:rsid w:val="00ED43C9"/>
    <w:rsid w:val="00EE2C60"/>
    <w:rsid w:val="00EE2E58"/>
    <w:rsid w:val="00EE487A"/>
    <w:rsid w:val="00EE734C"/>
    <w:rsid w:val="00EF6907"/>
    <w:rsid w:val="00EF6D91"/>
    <w:rsid w:val="00F01F54"/>
    <w:rsid w:val="00F04D4D"/>
    <w:rsid w:val="00F11DD8"/>
    <w:rsid w:val="00F12745"/>
    <w:rsid w:val="00F13766"/>
    <w:rsid w:val="00F20A77"/>
    <w:rsid w:val="00F22C60"/>
    <w:rsid w:val="00F231A4"/>
    <w:rsid w:val="00F23252"/>
    <w:rsid w:val="00F27B2A"/>
    <w:rsid w:val="00F31762"/>
    <w:rsid w:val="00F345D3"/>
    <w:rsid w:val="00F356ED"/>
    <w:rsid w:val="00F359B5"/>
    <w:rsid w:val="00F4144F"/>
    <w:rsid w:val="00F433F3"/>
    <w:rsid w:val="00F47F64"/>
    <w:rsid w:val="00F522D9"/>
    <w:rsid w:val="00F52F54"/>
    <w:rsid w:val="00F53584"/>
    <w:rsid w:val="00F61B24"/>
    <w:rsid w:val="00F62DE5"/>
    <w:rsid w:val="00F63F8A"/>
    <w:rsid w:val="00F6514E"/>
    <w:rsid w:val="00F703DC"/>
    <w:rsid w:val="00F71D06"/>
    <w:rsid w:val="00F73B46"/>
    <w:rsid w:val="00F73D01"/>
    <w:rsid w:val="00F7642B"/>
    <w:rsid w:val="00F76A43"/>
    <w:rsid w:val="00F80334"/>
    <w:rsid w:val="00F8139D"/>
    <w:rsid w:val="00F83DF9"/>
    <w:rsid w:val="00F85DA0"/>
    <w:rsid w:val="00F930AF"/>
    <w:rsid w:val="00F9352C"/>
    <w:rsid w:val="00F975B0"/>
    <w:rsid w:val="00FA15F1"/>
    <w:rsid w:val="00FA19F5"/>
    <w:rsid w:val="00FA4A69"/>
    <w:rsid w:val="00FA649A"/>
    <w:rsid w:val="00FB1248"/>
    <w:rsid w:val="00FB208D"/>
    <w:rsid w:val="00FB3CF4"/>
    <w:rsid w:val="00FB4A27"/>
    <w:rsid w:val="00FB4A49"/>
    <w:rsid w:val="00FB69B3"/>
    <w:rsid w:val="00FC6FBE"/>
    <w:rsid w:val="00FD1162"/>
    <w:rsid w:val="00FD2232"/>
    <w:rsid w:val="00FD4AE7"/>
    <w:rsid w:val="00FD65A9"/>
    <w:rsid w:val="00FD7508"/>
    <w:rsid w:val="00FE1E51"/>
    <w:rsid w:val="00FE2496"/>
    <w:rsid w:val="00FE6A2B"/>
    <w:rsid w:val="00FF0275"/>
    <w:rsid w:val="00FF07B3"/>
    <w:rsid w:val="00FF1E37"/>
    <w:rsid w:val="02F120AB"/>
    <w:rsid w:val="032B5196"/>
    <w:rsid w:val="04C3537C"/>
    <w:rsid w:val="079004AC"/>
    <w:rsid w:val="0BA148CA"/>
    <w:rsid w:val="0C1165C4"/>
    <w:rsid w:val="0D6D544B"/>
    <w:rsid w:val="0DD136FE"/>
    <w:rsid w:val="0F8E2C57"/>
    <w:rsid w:val="1059665E"/>
    <w:rsid w:val="10AC13BA"/>
    <w:rsid w:val="11980797"/>
    <w:rsid w:val="145A6C1B"/>
    <w:rsid w:val="14B73493"/>
    <w:rsid w:val="167A2FF9"/>
    <w:rsid w:val="17E05399"/>
    <w:rsid w:val="18581C69"/>
    <w:rsid w:val="186D28E5"/>
    <w:rsid w:val="1AEC0734"/>
    <w:rsid w:val="1C203C3A"/>
    <w:rsid w:val="1DEF20B0"/>
    <w:rsid w:val="214243FA"/>
    <w:rsid w:val="21AD613C"/>
    <w:rsid w:val="22467189"/>
    <w:rsid w:val="24BA7991"/>
    <w:rsid w:val="257A14F5"/>
    <w:rsid w:val="27196C26"/>
    <w:rsid w:val="29EF086F"/>
    <w:rsid w:val="2A014A0F"/>
    <w:rsid w:val="2EFFE297"/>
    <w:rsid w:val="301437CA"/>
    <w:rsid w:val="32791381"/>
    <w:rsid w:val="349D1F0A"/>
    <w:rsid w:val="34DD0473"/>
    <w:rsid w:val="3C181CA7"/>
    <w:rsid w:val="3C684897"/>
    <w:rsid w:val="41C6204F"/>
    <w:rsid w:val="433E495C"/>
    <w:rsid w:val="489F2FD7"/>
    <w:rsid w:val="4AC27CB3"/>
    <w:rsid w:val="4BF72BEF"/>
    <w:rsid w:val="4FA90297"/>
    <w:rsid w:val="4FC41A43"/>
    <w:rsid w:val="51DB3C59"/>
    <w:rsid w:val="550C0952"/>
    <w:rsid w:val="55762E42"/>
    <w:rsid w:val="57A7B272"/>
    <w:rsid w:val="58470068"/>
    <w:rsid w:val="58747CAC"/>
    <w:rsid w:val="5A1720F9"/>
    <w:rsid w:val="5B9C37C2"/>
    <w:rsid w:val="5BA7C654"/>
    <w:rsid w:val="60A54109"/>
    <w:rsid w:val="61D01CDF"/>
    <w:rsid w:val="64C0607C"/>
    <w:rsid w:val="65756C86"/>
    <w:rsid w:val="674D385B"/>
    <w:rsid w:val="676F09E1"/>
    <w:rsid w:val="6CEF737F"/>
    <w:rsid w:val="71793A80"/>
    <w:rsid w:val="71FE3F1B"/>
    <w:rsid w:val="7357290B"/>
    <w:rsid w:val="798524E4"/>
    <w:rsid w:val="7A7F1C49"/>
    <w:rsid w:val="7B5B7AE6"/>
    <w:rsid w:val="7B7B6628"/>
    <w:rsid w:val="7BA7071E"/>
    <w:rsid w:val="7BDF6DA8"/>
    <w:rsid w:val="7BDF7589"/>
    <w:rsid w:val="7C7EDC1A"/>
    <w:rsid w:val="7CCED98D"/>
    <w:rsid w:val="7D08410F"/>
    <w:rsid w:val="7D2759BE"/>
    <w:rsid w:val="7DB96DED"/>
    <w:rsid w:val="7DD3AD81"/>
    <w:rsid w:val="7F7FE70F"/>
    <w:rsid w:val="7FFF772F"/>
    <w:rsid w:val="95F35EF6"/>
    <w:rsid w:val="9BFFD860"/>
    <w:rsid w:val="AC5F73DE"/>
    <w:rsid w:val="B5DDD2C8"/>
    <w:rsid w:val="B9DFABD9"/>
    <w:rsid w:val="BC0D83FC"/>
    <w:rsid w:val="BF3BDEFB"/>
    <w:rsid w:val="C75F6086"/>
    <w:rsid w:val="C7F7ED2D"/>
    <w:rsid w:val="CFAF854E"/>
    <w:rsid w:val="D8D7928E"/>
    <w:rsid w:val="D8FE3136"/>
    <w:rsid w:val="DDDE60B7"/>
    <w:rsid w:val="DE9F6A22"/>
    <w:rsid w:val="DF4FCE6A"/>
    <w:rsid w:val="E4FED278"/>
    <w:rsid w:val="EDAA365C"/>
    <w:rsid w:val="EDADFC12"/>
    <w:rsid w:val="F2FD229B"/>
    <w:rsid w:val="F7F709E9"/>
    <w:rsid w:val="F7FF3690"/>
    <w:rsid w:val="F9BD3900"/>
    <w:rsid w:val="FC8B9876"/>
    <w:rsid w:val="FEDFF218"/>
    <w:rsid w:val="FEDFFFF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uiPriority="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2"/>
    <w:basedOn w:val="1"/>
    <w:next w:val="1"/>
    <w:qFormat/>
    <w:uiPriority w:val="0"/>
    <w:pPr>
      <w:keepNext/>
      <w:keepLines/>
      <w:spacing w:before="100" w:beforeAutospacing="1" w:after="100" w:afterAutospacing="1"/>
      <w:outlineLvl w:val="1"/>
    </w:pPr>
    <w:rPr>
      <w:rFonts w:ascii="Cambria" w:hAnsi="Cambria" w:eastAsia="黑体"/>
      <w:b/>
      <w:bCs/>
      <w:kern w:val="0"/>
      <w:sz w:val="36"/>
      <w:szCs w:val="32"/>
    </w:rPr>
  </w:style>
  <w:style w:type="character" w:default="1" w:styleId="11">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3">
    <w:name w:val="Normal Indent"/>
    <w:basedOn w:val="1"/>
    <w:qFormat/>
    <w:uiPriority w:val="0"/>
    <w:pPr>
      <w:ind w:firstLine="200" w:firstLineChars="200"/>
    </w:pPr>
  </w:style>
  <w:style w:type="paragraph" w:styleId="4">
    <w:name w:val="Body Text Indent"/>
    <w:basedOn w:val="1"/>
    <w:qFormat/>
    <w:uiPriority w:val="0"/>
    <w:pPr>
      <w:ind w:firstLine="645"/>
    </w:pPr>
    <w:rPr>
      <w:rFonts w:ascii="仿宋_GB2312" w:hAnsi="Calibri" w:eastAsia="仿宋_GB2312"/>
      <w:sz w:val="32"/>
      <w:szCs w:val="32"/>
    </w:rPr>
  </w:style>
  <w:style w:type="paragraph" w:styleId="5">
    <w:name w:val="Date"/>
    <w:basedOn w:val="1"/>
    <w:next w:val="1"/>
    <w:qFormat/>
    <w:uiPriority w:val="0"/>
    <w:pPr>
      <w:ind w:left="100" w:leftChars="2500"/>
    </w:pPr>
  </w:style>
  <w:style w:type="paragraph" w:styleId="6">
    <w:name w:val="Balloon Text"/>
    <w:basedOn w:val="1"/>
    <w:semiHidden/>
    <w:qFormat/>
    <w:uiPriority w:val="0"/>
    <w:rPr>
      <w:sz w:val="18"/>
      <w:szCs w:val="18"/>
    </w:rPr>
  </w:style>
  <w:style w:type="paragraph" w:styleId="7">
    <w:name w:val="footer"/>
    <w:basedOn w:val="1"/>
    <w:link w:val="14"/>
    <w:qFormat/>
    <w:uiPriority w:val="0"/>
    <w:pPr>
      <w:tabs>
        <w:tab w:val="center" w:pos="4153"/>
        <w:tab w:val="right" w:pos="8306"/>
      </w:tabs>
      <w:snapToGrid w:val="0"/>
      <w:jc w:val="left"/>
    </w:pPr>
    <w:rPr>
      <w:sz w:val="18"/>
      <w:szCs w:val="18"/>
    </w:rPr>
  </w:style>
  <w:style w:type="paragraph" w:styleId="8">
    <w:name w:val="header"/>
    <w:basedOn w:val="1"/>
    <w:link w:val="15"/>
    <w:qFormat/>
    <w:uiPriority w:val="0"/>
    <w:pPr>
      <w:pBdr>
        <w:bottom w:val="single" w:color="auto" w:sz="6" w:space="1"/>
      </w:pBdr>
      <w:tabs>
        <w:tab w:val="center" w:pos="4153"/>
        <w:tab w:val="right" w:pos="8306"/>
      </w:tabs>
      <w:snapToGrid w:val="0"/>
      <w:jc w:val="center"/>
    </w:pPr>
    <w:rPr>
      <w:rFonts w:ascii="Calibri" w:hAnsi="Calibri"/>
      <w:sz w:val="18"/>
      <w:szCs w:val="18"/>
    </w:rPr>
  </w:style>
  <w:style w:type="paragraph" w:styleId="9">
    <w:name w:val="Normal (Web)"/>
    <w:basedOn w:val="1"/>
    <w:unhideWhenUsed/>
    <w:qFormat/>
    <w:uiPriority w:val="0"/>
    <w:pPr>
      <w:spacing w:before="100" w:beforeAutospacing="1" w:after="100" w:afterAutospacing="1"/>
      <w:ind w:right="238"/>
      <w:jc w:val="left"/>
    </w:pPr>
    <w:rPr>
      <w:b/>
      <w:kern w:val="0"/>
      <w:sz w:val="24"/>
      <w:szCs w:val="20"/>
    </w:rPr>
  </w:style>
  <w:style w:type="character" w:styleId="12">
    <w:name w:val="Strong"/>
    <w:qFormat/>
    <w:uiPriority w:val="0"/>
    <w:rPr>
      <w:b/>
    </w:rPr>
  </w:style>
  <w:style w:type="character" w:styleId="13">
    <w:name w:val="page number"/>
    <w:qFormat/>
    <w:uiPriority w:val="0"/>
  </w:style>
  <w:style w:type="character" w:customStyle="1" w:styleId="14">
    <w:name w:val="页脚 Char"/>
    <w:link w:val="7"/>
    <w:qFormat/>
    <w:uiPriority w:val="0"/>
    <w:rPr>
      <w:rFonts w:eastAsia="宋体"/>
      <w:kern w:val="2"/>
      <w:sz w:val="18"/>
      <w:szCs w:val="18"/>
      <w:lang w:val="en-US" w:eastAsia="zh-CN" w:bidi="ar-SA"/>
    </w:rPr>
  </w:style>
  <w:style w:type="character" w:customStyle="1" w:styleId="15">
    <w:name w:val="页眉 Char"/>
    <w:link w:val="8"/>
    <w:qFormat/>
    <w:uiPriority w:val="0"/>
    <w:rPr>
      <w:rFonts w:ascii="Calibri" w:hAnsi="Calibri" w:eastAsia="宋体"/>
      <w:kern w:val="2"/>
      <w:sz w:val="18"/>
      <w:szCs w:val="18"/>
      <w:lang w:val="en-US" w:eastAsia="zh-CN" w:bidi="ar-SA"/>
    </w:rPr>
  </w:style>
  <w:style w:type="paragraph" w:customStyle="1" w:styleId="16">
    <w:name w:val="Char Char Char Char Char Char Char"/>
    <w:basedOn w:val="1"/>
    <w:qFormat/>
    <w:uiPriority w:val="0"/>
    <w:rPr>
      <w:rFonts w:ascii="Tahoma" w:hAnsi="Tahoma"/>
      <w:sz w:val="24"/>
      <w:szCs w:val="20"/>
    </w:rPr>
  </w:style>
  <w:style w:type="paragraph" w:customStyle="1" w:styleId="17">
    <w:name w:val="Char1 Char Char Char"/>
    <w:basedOn w:val="1"/>
    <w:qFormat/>
    <w:uiPriority w:val="0"/>
    <w:pPr>
      <w:widowControl/>
      <w:spacing w:after="160" w:line="240" w:lineRule="exact"/>
      <w:jc w:val="left"/>
    </w:pPr>
    <w:rPr>
      <w:szCs w:val="20"/>
    </w:rPr>
  </w:style>
  <w:style w:type="paragraph" w:customStyle="1" w:styleId="18">
    <w:name w:val="Char"/>
    <w:basedOn w:val="1"/>
    <w:qFormat/>
    <w:uiPriority w:val="0"/>
    <w:rPr>
      <w:rFonts w:ascii="Tahoma" w:hAnsi="Tahoma"/>
      <w:sz w:val="24"/>
      <w:szCs w:val="20"/>
    </w:rPr>
  </w:style>
  <w:style w:type="paragraph" w:customStyle="1" w:styleId="19">
    <w:name w:val="Char Char3 Char Char"/>
    <w:basedOn w:val="1"/>
    <w:qFormat/>
    <w:uiPriority w:val="0"/>
    <w:rPr>
      <w:szCs w:val="21"/>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hart" Target="charts/chart2.xml"/><Relationship Id="rId7" Type="http://schemas.openxmlformats.org/officeDocument/2006/relationships/chart" Target="charts/chart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1" Type="http://schemas.openxmlformats.org/officeDocument/2006/relationships/package" Target="../embeddings/Workbook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Workbook2.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Sheet1!$B$1</c:f>
              <c:strCache>
                <c:ptCount val="1"/>
                <c:pt idx="0">
                  <c:v>收入</c:v>
                </c:pt>
              </c:strCache>
            </c:strRef>
          </c:tx>
          <c:explosion val="0"/>
          <c:dPt>
            <c:idx val="0"/>
            <c:bubble3D val="0"/>
          </c:dPt>
          <c:dPt>
            <c:idx val="1"/>
            <c:bubble3D val="0"/>
          </c:dPt>
          <c:dPt>
            <c:idx val="2"/>
            <c:bubble3D val="0"/>
          </c:dPt>
          <c:dPt>
            <c:idx val="3"/>
            <c:bubble3D val="0"/>
          </c:dPt>
          <c:dPt>
            <c:idx val="4"/>
            <c:bubble3D val="0"/>
          </c:dPt>
          <c:dPt>
            <c:idx val="5"/>
            <c:bubble3D val="0"/>
          </c:dPt>
          <c:dLbls>
            <c:numFmt formatCode="0.00%" sourceLinked="0"/>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bestFit"/>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ext>
            </c:extLst>
          </c:dLbls>
          <c:cat>
            <c:strRef>
              <c:f>Sheet1!$A$2:$A$7</c:f>
              <c:strCache>
                <c:ptCount val="6"/>
                <c:pt idx="0">
                  <c:v>财政拨款收入</c:v>
                </c:pt>
                <c:pt idx="1">
                  <c:v>上级补助收入</c:v>
                </c:pt>
                <c:pt idx="2">
                  <c:v>事业收入</c:v>
                </c:pt>
                <c:pt idx="3">
                  <c:v>经营收入</c:v>
                </c:pt>
                <c:pt idx="4">
                  <c:v>附属单位上缴</c:v>
                </c:pt>
                <c:pt idx="5">
                  <c:v>其他收入</c:v>
                </c:pt>
              </c:strCache>
            </c:strRef>
          </c:cat>
          <c:val>
            <c:numRef>
              <c:f>Sheet1!$B$2:$B$7</c:f>
              <c:numCache>
                <c:formatCode>#,##0.00</c:formatCode>
                <c:ptCount val="6"/>
                <c:pt idx="0">
                  <c:v>209817486.09</c:v>
                </c:pt>
                <c:pt idx="1" c:formatCode="General">
                  <c:v>0</c:v>
                </c:pt>
                <c:pt idx="2" c:formatCode="General">
                  <c:v>0</c:v>
                </c:pt>
                <c:pt idx="3" c:formatCode="General">
                  <c:v>0</c:v>
                </c:pt>
                <c:pt idx="4" c:formatCode="General">
                  <c:v>0</c:v>
                </c:pt>
                <c:pt idx="5" c:formatCode="General">
                  <c:v>0</c:v>
                </c:pt>
              </c:numCache>
            </c:numRef>
          </c:val>
        </c:ser>
        <c:dLbls>
          <c:showLegendKey val="0"/>
          <c:showVal val="1"/>
          <c:showCatName val="0"/>
          <c:showSerName val="0"/>
          <c:showPercent val="0"/>
          <c:showBubbleSize val="0"/>
          <c:showLeaderLines val="1"/>
        </c:dLbls>
        <c:firstSliceAng val="0"/>
      </c:pieChart>
    </c:plotArea>
    <c:legend>
      <c:legendPos val="r"/>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chart>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Sheet0!$B$1</c:f>
              <c:strCache>
                <c:ptCount val="1"/>
                <c:pt idx="0">
                  <c:v>支出</c:v>
                </c:pt>
              </c:strCache>
            </c:strRef>
          </c:tx>
          <c:explosion val="0"/>
          <c:dPt>
            <c:idx val="0"/>
            <c:bubble3D val="0"/>
            <c:spPr>
              <a:solidFill>
                <a:srgbClr val="4F81BD"/>
              </a:solidFill>
              <a:ln w="19050">
                <a:solidFill>
                  <a:srgbClr val="FFFFFF"/>
                </a:solidFill>
              </a:ln>
              <a:effectLst/>
            </c:spPr>
          </c:dPt>
          <c:dPt>
            <c:idx val="1"/>
            <c:bubble3D val="0"/>
            <c:spPr>
              <a:solidFill>
                <a:srgbClr val="C0504D"/>
              </a:solidFill>
              <a:ln w="19050">
                <a:solidFill>
                  <a:srgbClr val="FFFFFF"/>
                </a:solidFill>
              </a:ln>
              <a:effectLst/>
            </c:spPr>
          </c:dPt>
          <c:dLbls>
            <c:numFmt formatCode="0.00%" sourceLinked="0"/>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solidFill>
                    <a:latin typeface="+mn-lt"/>
                    <a:ea typeface="+mn-ea"/>
                    <a:cs typeface="+mn-cs"/>
                  </a:defRPr>
                </a:pPr>
              </a:p>
            </c:txPr>
            <c:dLblPos val="bestFit"/>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rgbClr val="A6A6A6">
                          <a:lumMod val="35000"/>
                          <a:lumOff val="65000"/>
                        </a:srgbClr>
                      </a:solidFill>
                      <a:prstDash val="solid"/>
                      <a:round/>
                    </a:ln>
                    <a:effectLst/>
                  </c:spPr>
                </c15:leaderLines>
              </c:ext>
            </c:extLst>
          </c:dLbls>
          <c:cat>
            <c:strRef>
              <c:f>Sheet0!$A$2:$A$3</c:f>
              <c:strCache>
                <c:ptCount val="2"/>
                <c:pt idx="0">
                  <c:v>基本支出</c:v>
                </c:pt>
                <c:pt idx="1">
                  <c:v>项目支出</c:v>
                </c:pt>
              </c:strCache>
            </c:strRef>
          </c:cat>
          <c:val>
            <c:numRef>
              <c:f>Sheet0!$B$2:$B$3</c:f>
              <c:numCache>
                <c:formatCode>#,##0.00</c:formatCode>
                <c:ptCount val="2"/>
                <c:pt idx="0">
                  <c:v>19072457.3</c:v>
                </c:pt>
                <c:pt idx="1">
                  <c:v>190745028.79</c:v>
                </c:pt>
              </c:numCache>
            </c:numRef>
          </c:val>
        </c:ser>
        <c:dLbls>
          <c:showLegendKey val="0"/>
          <c:showVal val="0"/>
          <c:showCatName val="0"/>
          <c:showSerName val="0"/>
          <c:showPercent val="1"/>
          <c:showBubbleSize val="0"/>
          <c:showLeaderLines val="1"/>
        </c:dLbls>
        <c:firstSliceAng val="0"/>
      </c:pieChart>
      <c:spPr>
        <a:noFill/>
        <a:ln>
          <a:noFill/>
        </a:ln>
        <a:effectLst/>
      </c:spPr>
    </c:plotArea>
    <c:legend>
      <c:legendPos val="b"/>
      <c:legendEntry>
        <c:idx val="0"/>
        <c:txPr>
          <a:bodyPr rot="0" spcFirstLastPara="0" vertOverflow="ellipsis" vert="horz" wrap="square" anchor="ctr" anchorCtr="1"/>
          <a:lstStyle/>
          <a:p>
            <a:pPr>
              <a:defRPr lang="zh-CN" sz="900" b="0" i="0" u="none" strike="noStrike" kern="1200" baseline="0">
                <a:solidFill>
                  <a:schemeClr val="tx1"/>
                </a:solidFill>
                <a:latin typeface="+mn-lt"/>
                <a:ea typeface="+mn-ea"/>
                <a:cs typeface="+mn-cs"/>
              </a:defRPr>
            </a:pPr>
          </a:p>
        </c:txPr>
      </c:legendEntry>
      <c:legendEntry>
        <c:idx val="1"/>
        <c:txPr>
          <a:bodyPr rot="0" spcFirstLastPara="0" vertOverflow="ellipsis" vert="horz" wrap="square" anchor="ctr" anchorCtr="1"/>
          <a:lstStyle/>
          <a:p>
            <a:pPr>
              <a:defRPr lang="zh-CN" sz="900" b="0" i="0" u="none" strike="noStrike" kern="1200" baseline="0">
                <a:solidFill>
                  <a:schemeClr val="tx1"/>
                </a:solidFill>
                <a:latin typeface="+mn-lt"/>
                <a:ea typeface="+mn-ea"/>
                <a:cs typeface="+mn-cs"/>
              </a:defRPr>
            </a:pPr>
          </a:p>
        </c:txPr>
      </c:legendEntry>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solidFill>
              <a:latin typeface="+mn-lt"/>
              <a:ea typeface="+mn-ea"/>
              <a:cs typeface="+mn-cs"/>
            </a:defRPr>
          </a:pPr>
        </a:p>
      </c:txPr>
    </c:legend>
    <c:plotVisOnly val="1"/>
    <c:dispBlanksAs val="gap"/>
    <c:showDLblsOverMax val="0"/>
  </c:chart>
  <c:spPr>
    <a:ln w="9525" cap="flat" cmpd="sng" algn="ctr">
      <a:solidFill>
        <a:srgbClr val="D9D9D9">
          <a:lumMod val="15000"/>
          <a:lumOff val="85000"/>
        </a:srgbClr>
      </a:solidFill>
      <a:prstDash val="solid"/>
      <a:round/>
    </a:ln>
    <a:effectLst/>
  </c:spPr>
  <c:txPr>
    <a:bodyPr/>
    <a:lstStyle/>
    <a:p>
      <a:pPr>
        <a:defRPr lang="zh-CN"/>
      </a:pPr>
    </a:p>
  </c:txPr>
  <c:externalData r:id="rId1">
    <c:autoUpdate val="0"/>
  </c:externalData>
</c:chartSpace>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16</Pages>
  <Words>3958</Words>
  <Characters>6108</Characters>
  <Lines>47</Lines>
  <Paragraphs>13</Paragraphs>
  <TotalTime>31</TotalTime>
  <ScaleCrop>false</ScaleCrop>
  <LinksUpToDate>false</LinksUpToDate>
  <CharactersWithSpaces>6191</CharactersWithSpaces>
  <Application>WPS Office_11.8.2.11019_F1E327BC-269C-435d-A152-05C5408002CA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2017-07-11T15:16:00Z</dcterms:created>
  <dc:creator>常程</dc:creator>
  <cp:lastModifiedBy>Lenovo-u</cp:lastModifiedBy>
  <cp:lastPrinted>2020-08-07T11:39:00Z</cp:lastPrinted>
  <dcterms:modified xsi:type="dcterms:W3CDTF">2026-09-10T08:19:52Z</dcterms:modified>
  <dc:title>北京市财政局关于做好向市人大常委会报送2015年度市级部门决算（草案）</dc:title>
  <cp:revision>24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2052-11.8.2.11019</vt:lpwstr>
  </property>
  <property fmtid="{D5CDD505-2E9C-101B-9397-08002B2CF9AE}" pid="3" name="ICV">
    <vt:lpwstr>02EA9C4B883243418A32099E171EE366</vt:lpwstr>
  </property>
  <property fmtid="{D5CDD505-2E9C-101B-9397-08002B2CF9AE}" pid="4" name="KSOTemplateDocerSaveRecord">
    <vt:lpwstr>eyJoZGlkIjoiYjNlN2I2OGQxOGI1NmIxMWI3ZTg2MzgyOGIwNzE1YjAiLCJ1c2VySWQiOiI2NzgwOTI3MjgifQ==</vt:lpwstr>
  </property>
</Properties>
</file>