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仿宋_GB2312" w:cs="Times New Roman"/>
          <w:b/>
          <w:sz w:val="32"/>
          <w:szCs w:val="32"/>
        </w:rPr>
      </w:pPr>
    </w:p>
    <w:p>
      <w:pPr>
        <w:jc w:val="center"/>
        <w:rPr>
          <w:rFonts w:hint="default" w:ascii="Times New Roman" w:hAnsi="Times New Roman" w:eastAsia="黑体" w:cs="Times New Roman"/>
          <w:sz w:val="72"/>
          <w:szCs w:val="72"/>
        </w:rPr>
      </w:pPr>
    </w:p>
    <w:p>
      <w:pPr>
        <w:jc w:val="center"/>
        <w:rPr>
          <w:rFonts w:hint="default" w:ascii="Times New Roman" w:hAnsi="Times New Roman" w:eastAsia="黑体" w:cs="Times New Roman"/>
          <w:sz w:val="72"/>
          <w:szCs w:val="72"/>
        </w:rPr>
      </w:pPr>
    </w:p>
    <w:p>
      <w:pPr>
        <w:jc w:val="center"/>
        <w:rPr>
          <w:rFonts w:hint="default" w:ascii="Times New Roman" w:hAnsi="Times New Roman" w:eastAsia="黑体" w:cs="Times New Roman"/>
          <w:sz w:val="72"/>
          <w:szCs w:val="72"/>
        </w:rPr>
      </w:pPr>
    </w:p>
    <w:p>
      <w:pPr>
        <w:jc w:val="center"/>
        <w:rPr>
          <w:rFonts w:hint="default" w:ascii="Times New Roman" w:hAnsi="Times New Roman" w:eastAsia="黑体" w:cs="Times New Roman"/>
          <w:sz w:val="72"/>
          <w:szCs w:val="72"/>
        </w:rPr>
      </w:pPr>
    </w:p>
    <w:p>
      <w:pPr>
        <w:jc w:val="center"/>
        <w:rPr>
          <w:rFonts w:hint="default" w:ascii="Times New Roman" w:hAnsi="Times New Roman" w:eastAsia="黑体" w:cs="Times New Roman"/>
          <w:sz w:val="72"/>
          <w:szCs w:val="72"/>
        </w:rPr>
      </w:pPr>
      <w:r>
        <w:rPr>
          <w:rFonts w:hint="default" w:ascii="Times New Roman" w:hAnsi="Times New Roman" w:eastAsia="黑体" w:cs="Times New Roman"/>
          <w:sz w:val="72"/>
          <w:szCs w:val="72"/>
        </w:rPr>
        <w:t>2025年度部门决算（公开）</w:t>
      </w:r>
    </w:p>
    <w:p>
      <w:pPr>
        <w:jc w:val="center"/>
        <w:rPr>
          <w:rFonts w:hint="default" w:ascii="Times New Roman" w:hAnsi="Times New Roman" w:eastAsia="黑体" w:cs="Times New Roman"/>
          <w:sz w:val="52"/>
          <w:szCs w:val="52"/>
        </w:rPr>
      </w:pPr>
    </w:p>
    <w:p>
      <w:pPr>
        <w:jc w:val="center"/>
        <w:rPr>
          <w:rFonts w:hint="default" w:ascii="Times New Roman" w:hAnsi="Times New Roman" w:eastAsia="黑体" w:cs="Times New Roman"/>
          <w:sz w:val="52"/>
          <w:szCs w:val="52"/>
        </w:rPr>
      </w:pPr>
    </w:p>
    <w:p>
      <w:pPr>
        <w:jc w:val="center"/>
        <w:rPr>
          <w:rFonts w:hint="default" w:ascii="Times New Roman" w:hAnsi="Times New Roman" w:eastAsia="黑体" w:cs="Times New Roman"/>
          <w:sz w:val="52"/>
          <w:szCs w:val="52"/>
        </w:rPr>
      </w:pPr>
    </w:p>
    <w:p>
      <w:pPr>
        <w:jc w:val="center"/>
        <w:rPr>
          <w:rFonts w:hint="default" w:ascii="Times New Roman" w:hAnsi="Times New Roman" w:eastAsia="黑体" w:cs="Times New Roman"/>
          <w:sz w:val="52"/>
          <w:szCs w:val="52"/>
        </w:rPr>
      </w:pPr>
    </w:p>
    <w:p>
      <w:pPr>
        <w:jc w:val="center"/>
        <w:rPr>
          <w:rFonts w:hint="default" w:ascii="Times New Roman" w:hAnsi="Times New Roman" w:eastAsia="黑体" w:cs="Times New Roman"/>
          <w:sz w:val="32"/>
          <w:szCs w:val="32"/>
        </w:rPr>
      </w:pPr>
    </w:p>
    <w:p>
      <w:pPr>
        <w:spacing w:line="500" w:lineRule="exact"/>
        <w:ind w:firstLine="645"/>
        <w:jc w:val="center"/>
        <w:rPr>
          <w:rFonts w:hint="default" w:ascii="Times New Roman" w:hAnsi="Times New Roman" w:cs="Times New Roman"/>
          <w:b/>
          <w:bCs/>
          <w:kern w:val="0"/>
          <w:sz w:val="44"/>
          <w:szCs w:val="36"/>
        </w:rPr>
      </w:pPr>
      <w:r>
        <w:rPr>
          <w:rFonts w:hint="default" w:ascii="Times New Roman" w:hAnsi="Times New Roman" w:cs="Times New Roman"/>
          <w:b/>
          <w:bCs/>
          <w:kern w:val="0"/>
          <w:sz w:val="44"/>
          <w:szCs w:val="36"/>
        </w:rPr>
        <w:t>目    录</w:t>
      </w:r>
    </w:p>
    <w:p>
      <w:pPr>
        <w:spacing w:line="500" w:lineRule="exact"/>
        <w:ind w:firstLine="645"/>
        <w:jc w:val="center"/>
        <w:rPr>
          <w:rFonts w:hint="default" w:ascii="Times New Roman" w:hAnsi="Times New Roman" w:cs="Times New Roman"/>
          <w:b/>
          <w:bCs/>
          <w:kern w:val="0"/>
          <w:sz w:val="36"/>
          <w:szCs w:val="36"/>
        </w:rPr>
      </w:pPr>
    </w:p>
    <w:p>
      <w:pPr>
        <w:tabs>
          <w:tab w:val="center" w:pos="6979"/>
        </w:tabs>
        <w:spacing w:line="500" w:lineRule="exact"/>
        <w:ind w:firstLine="1600" w:firstLineChars="400"/>
        <w:jc w:val="left"/>
        <w:rPr>
          <w:rFonts w:hint="default" w:ascii="Times New Roman" w:hAnsi="Times New Roman" w:cs="Times New Roman"/>
          <w:bCs/>
          <w:spacing w:val="40"/>
          <w:kern w:val="0"/>
          <w:sz w:val="32"/>
          <w:szCs w:val="32"/>
        </w:rPr>
      </w:pPr>
      <w:r>
        <w:rPr>
          <w:rFonts w:hint="default" w:ascii="Times New Roman" w:hAnsi="Times New Roman" w:cs="Times New Roman"/>
          <w:bCs/>
          <w:spacing w:val="40"/>
          <w:kern w:val="0"/>
          <w:sz w:val="32"/>
          <w:szCs w:val="32"/>
        </w:rPr>
        <w:t>第一部分 2025年度部门决算报表</w:t>
      </w:r>
    </w:p>
    <w:p>
      <w:pPr>
        <w:tabs>
          <w:tab w:val="center" w:pos="6979"/>
        </w:tabs>
        <w:spacing w:line="500" w:lineRule="exact"/>
        <w:ind w:firstLine="2400" w:firstLineChars="600"/>
        <w:jc w:val="left"/>
        <w:rPr>
          <w:rFonts w:hint="default" w:ascii="Times New Roman" w:hAnsi="Times New Roman" w:eastAsia="仿宋_GB2312" w:cs="Times New Roman"/>
          <w:spacing w:val="40"/>
          <w:sz w:val="32"/>
          <w:szCs w:val="32"/>
        </w:rPr>
      </w:pPr>
      <w:r>
        <w:rPr>
          <w:rFonts w:hint="default" w:ascii="Times New Roman" w:hAnsi="Times New Roman" w:eastAsia="仿宋_GB2312" w:cs="Times New Roman"/>
          <w:bCs/>
          <w:spacing w:val="40"/>
          <w:kern w:val="0"/>
          <w:sz w:val="32"/>
          <w:szCs w:val="32"/>
        </w:rPr>
        <w:t>一、收入支出决算总表</w:t>
      </w:r>
    </w:p>
    <w:p>
      <w:pPr>
        <w:tabs>
          <w:tab w:val="center" w:pos="6979"/>
        </w:tabs>
        <w:spacing w:line="500" w:lineRule="exact"/>
        <w:ind w:firstLine="2400" w:firstLineChars="600"/>
        <w:jc w:val="left"/>
        <w:rPr>
          <w:rFonts w:hint="default" w:ascii="Times New Roman" w:hAnsi="Times New Roman" w:eastAsia="仿宋_GB2312" w:cs="Times New Roman"/>
          <w:bCs/>
          <w:spacing w:val="40"/>
          <w:kern w:val="0"/>
          <w:sz w:val="32"/>
          <w:szCs w:val="32"/>
        </w:rPr>
      </w:pPr>
      <w:r>
        <w:rPr>
          <w:rFonts w:hint="default" w:ascii="Times New Roman" w:hAnsi="Times New Roman" w:eastAsia="仿宋_GB2312" w:cs="Times New Roman"/>
          <w:bCs/>
          <w:spacing w:val="40"/>
          <w:kern w:val="0"/>
          <w:sz w:val="32"/>
          <w:szCs w:val="32"/>
        </w:rPr>
        <w:t>二、收入决算表</w:t>
      </w:r>
    </w:p>
    <w:p>
      <w:pPr>
        <w:tabs>
          <w:tab w:val="center" w:pos="6979"/>
        </w:tabs>
        <w:spacing w:line="500" w:lineRule="exact"/>
        <w:ind w:firstLine="2400" w:firstLineChars="600"/>
        <w:jc w:val="left"/>
        <w:rPr>
          <w:rFonts w:hint="default" w:ascii="Times New Roman" w:hAnsi="Times New Roman" w:eastAsia="仿宋_GB2312" w:cs="Times New Roman"/>
          <w:bCs/>
          <w:spacing w:val="40"/>
          <w:kern w:val="0"/>
          <w:sz w:val="32"/>
          <w:szCs w:val="32"/>
        </w:rPr>
      </w:pPr>
      <w:r>
        <w:rPr>
          <w:rFonts w:hint="default" w:ascii="Times New Roman" w:hAnsi="Times New Roman" w:eastAsia="仿宋_GB2312" w:cs="Times New Roman"/>
          <w:bCs/>
          <w:spacing w:val="40"/>
          <w:kern w:val="0"/>
          <w:sz w:val="32"/>
          <w:szCs w:val="32"/>
        </w:rPr>
        <w:t>三、支出决算表</w:t>
      </w:r>
    </w:p>
    <w:p>
      <w:pPr>
        <w:tabs>
          <w:tab w:val="center" w:pos="6979"/>
        </w:tabs>
        <w:spacing w:line="500" w:lineRule="exact"/>
        <w:ind w:firstLine="2400" w:firstLineChars="600"/>
        <w:jc w:val="left"/>
        <w:rPr>
          <w:rFonts w:hint="default" w:ascii="Times New Roman" w:hAnsi="Times New Roman" w:eastAsia="仿宋_GB2312" w:cs="Times New Roman"/>
          <w:bCs/>
          <w:spacing w:val="40"/>
          <w:kern w:val="0"/>
          <w:sz w:val="32"/>
          <w:szCs w:val="32"/>
        </w:rPr>
      </w:pPr>
      <w:r>
        <w:rPr>
          <w:rFonts w:hint="default" w:ascii="Times New Roman" w:hAnsi="Times New Roman" w:eastAsia="仿宋_GB2312" w:cs="Times New Roman"/>
          <w:bCs/>
          <w:spacing w:val="40"/>
          <w:kern w:val="0"/>
          <w:sz w:val="32"/>
          <w:szCs w:val="32"/>
        </w:rPr>
        <w:t>四、财政拨款收入支出决算总表</w:t>
      </w:r>
    </w:p>
    <w:p>
      <w:pPr>
        <w:tabs>
          <w:tab w:val="center" w:pos="6979"/>
        </w:tabs>
        <w:spacing w:line="500" w:lineRule="exact"/>
        <w:ind w:firstLine="2400" w:firstLineChars="600"/>
        <w:jc w:val="left"/>
        <w:rPr>
          <w:rFonts w:hint="default" w:ascii="Times New Roman" w:hAnsi="Times New Roman" w:eastAsia="仿宋_GB2312" w:cs="Times New Roman"/>
          <w:bCs/>
          <w:spacing w:val="40"/>
          <w:kern w:val="0"/>
          <w:sz w:val="32"/>
          <w:szCs w:val="32"/>
        </w:rPr>
      </w:pPr>
      <w:r>
        <w:rPr>
          <w:rFonts w:hint="default" w:ascii="Times New Roman" w:hAnsi="Times New Roman" w:eastAsia="仿宋_GB2312" w:cs="Times New Roman"/>
          <w:bCs/>
          <w:spacing w:val="40"/>
          <w:kern w:val="0"/>
          <w:sz w:val="32"/>
          <w:szCs w:val="32"/>
        </w:rPr>
        <w:t>五、一般公共预算财政拨款支出决算表</w:t>
      </w:r>
    </w:p>
    <w:p>
      <w:pPr>
        <w:tabs>
          <w:tab w:val="center" w:pos="6979"/>
        </w:tabs>
        <w:spacing w:line="500" w:lineRule="exact"/>
        <w:ind w:firstLine="2400" w:firstLineChars="600"/>
        <w:jc w:val="left"/>
        <w:rPr>
          <w:rFonts w:hint="default" w:ascii="Times New Roman" w:hAnsi="Times New Roman" w:eastAsia="仿宋_GB2312" w:cs="Times New Roman"/>
          <w:bCs/>
          <w:spacing w:val="40"/>
          <w:kern w:val="0"/>
          <w:sz w:val="32"/>
          <w:szCs w:val="32"/>
        </w:rPr>
      </w:pPr>
      <w:r>
        <w:rPr>
          <w:rFonts w:hint="default" w:ascii="Times New Roman" w:hAnsi="Times New Roman" w:eastAsia="仿宋_GB2312" w:cs="Times New Roman"/>
          <w:bCs/>
          <w:spacing w:val="40"/>
          <w:kern w:val="0"/>
          <w:sz w:val="32"/>
          <w:szCs w:val="32"/>
        </w:rPr>
        <w:t>六、一般公共预算财政拨款基本支出决算表</w:t>
      </w:r>
    </w:p>
    <w:p>
      <w:pPr>
        <w:tabs>
          <w:tab w:val="center" w:pos="6979"/>
        </w:tabs>
        <w:spacing w:line="500" w:lineRule="exact"/>
        <w:ind w:firstLine="2400" w:firstLineChars="600"/>
        <w:jc w:val="left"/>
        <w:rPr>
          <w:rFonts w:hint="default" w:ascii="Times New Roman" w:hAnsi="Times New Roman" w:eastAsia="仿宋_GB2312" w:cs="Times New Roman"/>
          <w:bCs/>
          <w:spacing w:val="40"/>
          <w:kern w:val="0"/>
          <w:sz w:val="32"/>
          <w:szCs w:val="32"/>
        </w:rPr>
      </w:pPr>
      <w:r>
        <w:rPr>
          <w:rFonts w:hint="default" w:ascii="Times New Roman" w:hAnsi="Times New Roman" w:eastAsia="仿宋_GB2312" w:cs="Times New Roman"/>
          <w:bCs/>
          <w:spacing w:val="40"/>
          <w:kern w:val="0"/>
          <w:sz w:val="32"/>
          <w:szCs w:val="32"/>
        </w:rPr>
        <w:t>七、政府性基金预算财政拨款收入支出决算表</w:t>
      </w:r>
    </w:p>
    <w:p>
      <w:pPr>
        <w:tabs>
          <w:tab w:val="center" w:pos="6979"/>
        </w:tabs>
        <w:spacing w:line="500" w:lineRule="exact"/>
        <w:ind w:firstLine="2400" w:firstLineChars="600"/>
        <w:jc w:val="left"/>
        <w:rPr>
          <w:rFonts w:hint="default" w:ascii="Times New Roman" w:hAnsi="Times New Roman" w:eastAsia="仿宋_GB2312" w:cs="Times New Roman"/>
          <w:bCs/>
          <w:spacing w:val="40"/>
          <w:kern w:val="0"/>
          <w:sz w:val="32"/>
          <w:szCs w:val="32"/>
        </w:rPr>
      </w:pPr>
      <w:r>
        <w:rPr>
          <w:rFonts w:hint="default" w:ascii="Times New Roman" w:hAnsi="Times New Roman" w:eastAsia="仿宋_GB2312" w:cs="Times New Roman"/>
          <w:bCs/>
          <w:spacing w:val="40"/>
          <w:kern w:val="0"/>
          <w:sz w:val="32"/>
          <w:szCs w:val="32"/>
        </w:rPr>
        <w:t>八、政府性基金预算财政拨款基本支出决算表</w:t>
      </w:r>
    </w:p>
    <w:p>
      <w:pPr>
        <w:tabs>
          <w:tab w:val="center" w:pos="6979"/>
        </w:tabs>
        <w:spacing w:line="500" w:lineRule="exact"/>
        <w:ind w:firstLine="2400" w:firstLineChars="600"/>
        <w:jc w:val="left"/>
        <w:rPr>
          <w:rFonts w:hint="default" w:ascii="Times New Roman" w:hAnsi="Times New Roman" w:eastAsia="仿宋_GB2312" w:cs="Times New Roman"/>
          <w:bCs/>
          <w:spacing w:val="40"/>
          <w:kern w:val="0"/>
          <w:sz w:val="32"/>
          <w:szCs w:val="32"/>
        </w:rPr>
      </w:pPr>
      <w:r>
        <w:rPr>
          <w:rFonts w:hint="default" w:ascii="Times New Roman" w:hAnsi="Times New Roman" w:eastAsia="仿宋_GB2312" w:cs="Times New Roman"/>
          <w:bCs/>
          <w:spacing w:val="40"/>
          <w:kern w:val="0"/>
          <w:sz w:val="32"/>
          <w:szCs w:val="32"/>
        </w:rPr>
        <w:t>九、国有资本经营预算财政拨款支出决算表</w:t>
      </w:r>
    </w:p>
    <w:p>
      <w:pPr>
        <w:tabs>
          <w:tab w:val="center" w:pos="6979"/>
        </w:tabs>
        <w:spacing w:line="500" w:lineRule="exact"/>
        <w:ind w:firstLine="2400" w:firstLineChars="600"/>
        <w:jc w:val="left"/>
        <w:rPr>
          <w:rFonts w:hint="default" w:ascii="Times New Roman" w:hAnsi="Times New Roman" w:eastAsia="仿宋_GB2312" w:cs="Times New Roman"/>
          <w:bCs/>
          <w:spacing w:val="40"/>
          <w:kern w:val="0"/>
          <w:sz w:val="32"/>
          <w:szCs w:val="32"/>
        </w:rPr>
      </w:pPr>
      <w:r>
        <w:rPr>
          <w:rFonts w:hint="default" w:ascii="Times New Roman" w:hAnsi="Times New Roman" w:eastAsia="仿宋_GB2312" w:cs="Times New Roman"/>
          <w:bCs/>
          <w:spacing w:val="40"/>
          <w:kern w:val="0"/>
          <w:sz w:val="32"/>
          <w:szCs w:val="32"/>
        </w:rPr>
        <w:t>十、财政拨款“三公”经费支出决算表</w:t>
      </w:r>
    </w:p>
    <w:p>
      <w:pPr>
        <w:tabs>
          <w:tab w:val="center" w:pos="6979"/>
        </w:tabs>
        <w:spacing w:line="500" w:lineRule="exact"/>
        <w:ind w:firstLine="2400" w:firstLineChars="600"/>
        <w:jc w:val="left"/>
        <w:rPr>
          <w:rFonts w:hint="default" w:ascii="Times New Roman" w:hAnsi="Times New Roman" w:eastAsia="仿宋_GB2312" w:cs="Times New Roman"/>
          <w:bCs/>
          <w:spacing w:val="40"/>
          <w:kern w:val="0"/>
          <w:sz w:val="32"/>
          <w:szCs w:val="32"/>
        </w:rPr>
      </w:pPr>
      <w:r>
        <w:rPr>
          <w:rFonts w:hint="default" w:ascii="Times New Roman" w:hAnsi="Times New Roman" w:eastAsia="仿宋_GB2312" w:cs="Times New Roman"/>
          <w:bCs/>
          <w:spacing w:val="40"/>
          <w:kern w:val="0"/>
          <w:sz w:val="32"/>
          <w:szCs w:val="32"/>
        </w:rPr>
        <w:t>十一、政府采购情况表</w:t>
      </w:r>
    </w:p>
    <w:p>
      <w:pPr>
        <w:tabs>
          <w:tab w:val="center" w:pos="6979"/>
        </w:tabs>
        <w:spacing w:line="500" w:lineRule="exact"/>
        <w:ind w:firstLine="1600" w:firstLineChars="400"/>
        <w:jc w:val="left"/>
        <w:rPr>
          <w:rFonts w:hint="default" w:ascii="Times New Roman" w:hAnsi="Times New Roman" w:cs="Times New Roman"/>
          <w:bCs/>
          <w:spacing w:val="40"/>
          <w:kern w:val="0"/>
          <w:sz w:val="32"/>
          <w:szCs w:val="32"/>
        </w:rPr>
      </w:pPr>
      <w:r>
        <w:rPr>
          <w:rFonts w:hint="default" w:ascii="Times New Roman" w:hAnsi="Times New Roman" w:cs="Times New Roman"/>
          <w:bCs/>
          <w:spacing w:val="40"/>
          <w:kern w:val="0"/>
          <w:sz w:val="32"/>
          <w:szCs w:val="32"/>
        </w:rPr>
        <w:t xml:space="preserve">第二部分 </w:t>
      </w:r>
      <w:r>
        <w:rPr>
          <w:rFonts w:hint="default" w:ascii="Times New Roman" w:hAnsi="Times New Roman" w:cs="Times New Roman"/>
          <w:spacing w:val="40"/>
          <w:sz w:val="32"/>
          <w:szCs w:val="32"/>
        </w:rPr>
        <w:t>2025年度部门决算说明</w:t>
      </w:r>
    </w:p>
    <w:p>
      <w:pPr>
        <w:tabs>
          <w:tab w:val="center" w:pos="6979"/>
        </w:tabs>
        <w:spacing w:line="500" w:lineRule="exact"/>
        <w:ind w:firstLine="1600" w:firstLineChars="400"/>
        <w:jc w:val="left"/>
        <w:rPr>
          <w:rFonts w:hint="default" w:ascii="Times New Roman" w:hAnsi="Times New Roman" w:cs="Times New Roman"/>
          <w:spacing w:val="40"/>
          <w:kern w:val="0"/>
          <w:sz w:val="32"/>
          <w:szCs w:val="32"/>
        </w:rPr>
      </w:pPr>
      <w:r>
        <w:rPr>
          <w:rFonts w:hint="default" w:ascii="Times New Roman" w:hAnsi="Times New Roman" w:cs="Times New Roman"/>
          <w:bCs/>
          <w:spacing w:val="40"/>
          <w:kern w:val="0"/>
          <w:sz w:val="32"/>
          <w:szCs w:val="32"/>
        </w:rPr>
        <w:t xml:space="preserve">第三部分 </w:t>
      </w:r>
      <w:r>
        <w:rPr>
          <w:rFonts w:hint="default" w:ascii="Times New Roman" w:hAnsi="Times New Roman" w:cs="Times New Roman"/>
          <w:spacing w:val="40"/>
          <w:sz w:val="32"/>
          <w:szCs w:val="32"/>
        </w:rPr>
        <w:t>2025年度</w:t>
      </w:r>
      <w:r>
        <w:rPr>
          <w:rFonts w:hint="default" w:ascii="Times New Roman" w:hAnsi="Times New Roman" w:cs="Times New Roman"/>
          <w:spacing w:val="40"/>
          <w:kern w:val="0"/>
          <w:sz w:val="32"/>
          <w:szCs w:val="32"/>
        </w:rPr>
        <w:t>其他重要事项的情况说明</w:t>
      </w:r>
    </w:p>
    <w:p>
      <w:pPr>
        <w:tabs>
          <w:tab w:val="center" w:pos="6979"/>
        </w:tabs>
        <w:spacing w:line="500" w:lineRule="exact"/>
        <w:ind w:firstLine="1600" w:firstLineChars="400"/>
        <w:jc w:val="left"/>
        <w:rPr>
          <w:rFonts w:hint="default" w:ascii="Times New Roman" w:hAnsi="Times New Roman" w:cs="Times New Roman"/>
          <w:spacing w:val="40"/>
          <w:kern w:val="0"/>
          <w:sz w:val="36"/>
          <w:szCs w:val="32"/>
        </w:rPr>
      </w:pPr>
      <w:r>
        <w:rPr>
          <w:rFonts w:hint="default" w:ascii="Times New Roman" w:hAnsi="Times New Roman" w:cs="Times New Roman"/>
          <w:spacing w:val="40"/>
          <w:kern w:val="0"/>
          <w:sz w:val="32"/>
          <w:szCs w:val="32"/>
        </w:rPr>
        <w:t>第四部分 2025年度部门绩效评价情况</w:t>
      </w:r>
    </w:p>
    <w:p>
      <w:pPr>
        <w:tabs>
          <w:tab w:val="center" w:pos="6979"/>
        </w:tabs>
        <w:spacing w:before="156" w:beforeLines="50" w:after="156" w:afterLines="50"/>
        <w:jc w:val="center"/>
        <w:rPr>
          <w:rFonts w:hint="default" w:ascii="Times New Roman" w:hAnsi="Times New Roman" w:cs="Times New Roman"/>
          <w:b/>
          <w:bCs/>
          <w:spacing w:val="40"/>
          <w:kern w:val="0"/>
          <w:sz w:val="32"/>
          <w:szCs w:val="32"/>
        </w:rPr>
      </w:pPr>
    </w:p>
    <w:p>
      <w:pPr>
        <w:tabs>
          <w:tab w:val="center" w:pos="6979"/>
        </w:tabs>
        <w:spacing w:before="156" w:beforeLines="50" w:after="156" w:afterLines="50"/>
        <w:jc w:val="center"/>
        <w:rPr>
          <w:rFonts w:hint="default" w:ascii="Times New Roman" w:hAnsi="Times New Roman" w:cs="Times New Roman"/>
          <w:b/>
          <w:bCs/>
          <w:spacing w:val="40"/>
          <w:kern w:val="0"/>
          <w:sz w:val="32"/>
          <w:szCs w:val="32"/>
        </w:rPr>
      </w:pPr>
    </w:p>
    <w:p>
      <w:pPr>
        <w:tabs>
          <w:tab w:val="center" w:pos="6979"/>
        </w:tabs>
        <w:spacing w:before="156" w:beforeLines="50" w:after="156" w:afterLines="50"/>
        <w:jc w:val="center"/>
        <w:rPr>
          <w:rFonts w:hint="default" w:ascii="Times New Roman" w:hAnsi="Times New Roman" w:cs="Times New Roman"/>
          <w:b/>
          <w:bCs/>
          <w:spacing w:val="40"/>
          <w:kern w:val="0"/>
          <w:sz w:val="32"/>
          <w:szCs w:val="32"/>
        </w:rPr>
      </w:pPr>
    </w:p>
    <w:p>
      <w:pPr>
        <w:tabs>
          <w:tab w:val="center" w:pos="6979"/>
        </w:tabs>
        <w:spacing w:before="156" w:beforeLines="50" w:after="156" w:afterLines="50"/>
        <w:jc w:val="center"/>
        <w:rPr>
          <w:rFonts w:hint="default" w:ascii="Times New Roman" w:hAnsi="Times New Roman" w:cs="Times New Roman"/>
          <w:b/>
          <w:bCs/>
          <w:spacing w:val="40"/>
          <w:kern w:val="0"/>
          <w:sz w:val="32"/>
          <w:szCs w:val="32"/>
        </w:rPr>
      </w:pPr>
    </w:p>
    <w:p>
      <w:pPr>
        <w:tabs>
          <w:tab w:val="center" w:pos="6979"/>
        </w:tabs>
        <w:spacing w:before="156" w:beforeLines="50" w:after="156" w:afterLines="50"/>
        <w:jc w:val="center"/>
        <w:rPr>
          <w:rFonts w:hint="default" w:ascii="Times New Roman" w:hAnsi="Times New Roman" w:cs="Times New Roman"/>
          <w:b/>
          <w:bCs/>
          <w:spacing w:val="40"/>
          <w:kern w:val="0"/>
          <w:sz w:val="32"/>
          <w:szCs w:val="32"/>
        </w:rPr>
      </w:pPr>
    </w:p>
    <w:p>
      <w:pPr>
        <w:tabs>
          <w:tab w:val="center" w:pos="6979"/>
        </w:tabs>
        <w:spacing w:before="156" w:beforeLines="50" w:after="156" w:afterLines="50"/>
        <w:jc w:val="center"/>
        <w:rPr>
          <w:rFonts w:hint="default" w:ascii="Times New Roman" w:hAnsi="Times New Roman" w:cs="Times New Roman"/>
          <w:b/>
          <w:bCs/>
          <w:spacing w:val="40"/>
          <w:kern w:val="0"/>
          <w:sz w:val="32"/>
          <w:szCs w:val="32"/>
        </w:rPr>
      </w:pPr>
      <w:r>
        <w:rPr>
          <w:rFonts w:hint="default" w:ascii="Times New Roman" w:hAnsi="Times New Roman" w:cs="Times New Roman"/>
          <w:b/>
          <w:bCs/>
          <w:spacing w:val="40"/>
          <w:kern w:val="0"/>
          <w:sz w:val="44"/>
          <w:szCs w:val="44"/>
        </w:rPr>
        <w:t>第一部分 2025年度部门决算报表</w:t>
      </w:r>
    </w:p>
    <w:p>
      <w:pPr>
        <w:pStyle w:val="2"/>
        <w:rPr>
          <w:rFonts w:hint="default" w:ascii="Times New Roman" w:hAnsi="Times New Roman" w:cs="Times New Roman"/>
          <w:b w:val="0"/>
          <w:bCs w:val="0"/>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default" w:ascii="Times New Roman" w:hAnsi="Times New Roman" w:eastAsia="仿宋_GB2312" w:cs="Times New Roman"/>
          <w:sz w:val="28"/>
          <w:szCs w:val="28"/>
        </w:rPr>
        <w:t xml:space="preserve">   </w:t>
      </w:r>
      <w:r>
        <w:rPr>
          <w:rFonts w:hint="default" w:ascii="Times New Roman" w:hAnsi="Times New Roman" w:eastAsia="仿宋_GB2312" w:cs="Times New Roman"/>
          <w:b w:val="0"/>
          <w:bCs w:val="0"/>
          <w:sz w:val="28"/>
          <w:szCs w:val="28"/>
        </w:rPr>
        <w:t>报表详见附件。</w:t>
      </w:r>
    </w:p>
    <w:p>
      <w:pPr>
        <w:tabs>
          <w:tab w:val="center" w:pos="6979"/>
        </w:tabs>
        <w:spacing w:before="156" w:beforeLines="50" w:after="156" w:afterLines="50"/>
        <w:jc w:val="center"/>
        <w:rPr>
          <w:rFonts w:hint="default" w:ascii="Times New Roman" w:hAnsi="Times New Roman" w:cs="Times New Roman"/>
          <w:b/>
          <w:sz w:val="32"/>
          <w:szCs w:val="32"/>
        </w:rPr>
      </w:pPr>
      <w:r>
        <w:rPr>
          <w:rFonts w:hint="default" w:ascii="Times New Roman" w:hAnsi="Times New Roman" w:cs="Times New Roman"/>
          <w:b/>
          <w:bCs/>
          <w:spacing w:val="40"/>
          <w:kern w:val="0"/>
          <w:sz w:val="32"/>
          <w:szCs w:val="32"/>
        </w:rPr>
        <w:t xml:space="preserve">第二部分 </w:t>
      </w:r>
      <w:r>
        <w:rPr>
          <w:rFonts w:hint="default" w:ascii="Times New Roman" w:hAnsi="Times New Roman" w:cs="Times New Roman"/>
          <w:b/>
          <w:spacing w:val="40"/>
          <w:sz w:val="32"/>
          <w:szCs w:val="32"/>
        </w:rPr>
        <w:t>2025年度部门决算说明</w:t>
      </w:r>
    </w:p>
    <w:p>
      <w:pPr>
        <w:tabs>
          <w:tab w:val="center" w:pos="6979"/>
        </w:tabs>
        <w:spacing w:line="580" w:lineRule="exact"/>
        <w:ind w:firstLine="560" w:firstLineChars="200"/>
        <w:rPr>
          <w:rFonts w:hint="default" w:ascii="Times New Roman" w:hAnsi="Times New Roman" w:eastAsia="黑体" w:cs="Times New Roman"/>
          <w:b/>
          <w:sz w:val="28"/>
          <w:szCs w:val="28"/>
        </w:rPr>
      </w:pPr>
      <w:r>
        <w:rPr>
          <w:rFonts w:hint="default" w:ascii="Times New Roman" w:hAnsi="Times New Roman" w:eastAsia="黑体" w:cs="Times New Roman"/>
          <w:b/>
          <w:sz w:val="28"/>
          <w:szCs w:val="28"/>
        </w:rPr>
        <w:t>一、单位基本情况</w:t>
      </w:r>
    </w:p>
    <w:p>
      <w:pPr>
        <w:tabs>
          <w:tab w:val="center" w:pos="6979"/>
        </w:tabs>
        <w:spacing w:line="580" w:lineRule="exact"/>
        <w:ind w:firstLine="700" w:firstLineChars="25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（一）本部门职责情况</w:t>
      </w:r>
    </w:p>
    <w:p>
      <w:pPr>
        <w:tabs>
          <w:tab w:val="center" w:pos="6979"/>
        </w:tabs>
        <w:spacing w:line="580" w:lineRule="exact"/>
        <w:ind w:firstLine="57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1）贯彻落实国家及北京市关于城市管理方面的法律、法规、规章及政策，依法开展城市环境综合治理和维护城市管理秩序相关工作。研究提出完善本区城市管理综合行政执法体制的意见和建议。负责制定本区城市管理综合行政执法工作计划、专项治理方案并组织实施。</w:t>
      </w:r>
    </w:p>
    <w:p>
      <w:pPr>
        <w:tabs>
          <w:tab w:val="center" w:pos="6979"/>
        </w:tabs>
        <w:spacing w:line="580" w:lineRule="exact"/>
        <w:ind w:firstLine="57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（2）负责集中行使法律、法规、规章规定的应由本区区级城管执法行使的城市管理领域行政执法职责。负责本区相关领域重大疑难案件和跨区域案件的查处工作。</w:t>
      </w:r>
    </w:p>
    <w:p>
      <w:pPr>
        <w:tabs>
          <w:tab w:val="center" w:pos="6979"/>
        </w:tabs>
        <w:spacing w:line="580" w:lineRule="exact"/>
        <w:ind w:firstLine="57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（3）健全完善城市管理领域综合行政执法与专业执法协调配合机制，推进综合执法平台建设和执法信息共享等工作。</w:t>
      </w:r>
    </w:p>
    <w:p>
      <w:pPr>
        <w:tabs>
          <w:tab w:val="center" w:pos="6979"/>
        </w:tabs>
        <w:spacing w:line="580" w:lineRule="exact"/>
        <w:ind w:firstLine="57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（4）负责统筹指导和综合协调基层综合行政执法工作。</w:t>
      </w:r>
    </w:p>
    <w:p>
      <w:pPr>
        <w:tabs>
          <w:tab w:val="center" w:pos="6979"/>
        </w:tabs>
        <w:spacing w:line="580" w:lineRule="exact"/>
        <w:ind w:firstLine="57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（5）完成区委、区政府和区城市管理委交办的其他事项。</w:t>
      </w:r>
    </w:p>
    <w:p>
      <w:pPr>
        <w:tabs>
          <w:tab w:val="center" w:pos="6979"/>
        </w:tabs>
        <w:spacing w:line="580" w:lineRule="exact"/>
        <w:ind w:firstLine="700" w:firstLineChars="25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（二）机构设置情况</w:t>
      </w:r>
    </w:p>
    <w:p>
      <w:pPr>
        <w:tabs>
          <w:tab w:val="center" w:pos="6979"/>
        </w:tabs>
        <w:spacing w:line="580" w:lineRule="exact"/>
        <w:ind w:firstLine="560" w:firstLineChars="20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 本单位共设7个内设机构（综合科、执法监督科、执法一分队、执法二分队、执法三分队、执法四分队和水务综合执法队），其中水务综合执法队为参照公务员管理的事业单位。</w:t>
      </w:r>
    </w:p>
    <w:p>
      <w:pPr>
        <w:tabs>
          <w:tab w:val="center" w:pos="6979"/>
        </w:tabs>
        <w:spacing w:line="580" w:lineRule="exact"/>
        <w:rPr>
          <w:rFonts w:hint="default" w:ascii="Times New Roman" w:hAnsi="Times New Roman" w:eastAsia="黑体" w:cs="Times New Roman"/>
          <w:b/>
          <w:sz w:val="28"/>
          <w:szCs w:val="28"/>
        </w:rPr>
      </w:pPr>
      <w:r>
        <w:rPr>
          <w:rFonts w:hint="default" w:ascii="Times New Roman" w:hAnsi="Times New Roman" w:eastAsia="仿宋_GB2312" w:cs="Times New Roman"/>
          <w:b/>
          <w:sz w:val="32"/>
          <w:szCs w:val="32"/>
        </w:rPr>
        <w:t xml:space="preserve">   </w:t>
      </w:r>
      <w:r>
        <w:rPr>
          <w:rFonts w:hint="default" w:ascii="Times New Roman" w:hAnsi="Times New Roman" w:eastAsia="黑体" w:cs="Times New Roman"/>
          <w:b/>
          <w:sz w:val="28"/>
          <w:szCs w:val="28"/>
        </w:rPr>
        <w:t>二、收入支出决算总体情况说明</w:t>
      </w:r>
    </w:p>
    <w:p>
      <w:pPr>
        <w:tabs>
          <w:tab w:val="center" w:pos="6979"/>
        </w:tabs>
        <w:spacing w:line="580" w:lineRule="exact"/>
        <w:ind w:firstLine="57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2025年度收、支总计31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724</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891.08元，比上年增加</w:t>
      </w:r>
      <w:r>
        <w:rPr>
          <w:rFonts w:hint="default" w:ascii="Times New Roman" w:hAnsi="Times New Roman" w:eastAsia="仿宋_GB2312" w:cs="Times New Roman"/>
          <w:sz w:val="28"/>
          <w:szCs w:val="28"/>
          <w:lang w:val="en-US" w:eastAsia="zh-CN"/>
        </w:rPr>
        <w:t>8,049,527.63</w:t>
      </w:r>
      <w:r>
        <w:rPr>
          <w:rFonts w:hint="default" w:ascii="Times New Roman" w:hAnsi="Times New Roman" w:eastAsia="仿宋_GB2312" w:cs="Times New Roman"/>
          <w:sz w:val="28"/>
          <w:szCs w:val="28"/>
        </w:rPr>
        <w:t>元，增长</w:t>
      </w:r>
      <w:r>
        <w:rPr>
          <w:rFonts w:hint="default" w:ascii="Times New Roman" w:hAnsi="Times New Roman" w:eastAsia="仿宋_GB2312" w:cs="Times New Roman"/>
          <w:sz w:val="28"/>
          <w:szCs w:val="28"/>
          <w:lang w:val="en-US" w:eastAsia="zh-CN"/>
        </w:rPr>
        <w:t>34.0</w:t>
      </w:r>
      <w:r>
        <w:rPr>
          <w:rFonts w:hint="default" w:ascii="Times New Roman" w:hAnsi="Times New Roman" w:eastAsia="仿宋_GB2312" w:cs="Times New Roman"/>
          <w:sz w:val="28"/>
          <w:szCs w:val="28"/>
        </w:rPr>
        <w:t>%。</w:t>
      </w:r>
    </w:p>
    <w:p>
      <w:pPr>
        <w:tabs>
          <w:tab w:val="center" w:pos="6979"/>
        </w:tabs>
        <w:spacing w:line="580" w:lineRule="exact"/>
        <w:ind w:firstLine="57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（一）收入决算说明</w:t>
      </w:r>
    </w:p>
    <w:p>
      <w:pPr>
        <w:tabs>
          <w:tab w:val="center" w:pos="6979"/>
        </w:tabs>
        <w:spacing w:line="580" w:lineRule="exact"/>
        <w:ind w:firstLine="57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2025年度本年收入合计31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664</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700.73元，比上年增加</w:t>
      </w:r>
      <w:r>
        <w:rPr>
          <w:rFonts w:hint="default" w:ascii="Times New Roman" w:hAnsi="Times New Roman" w:eastAsia="仿宋_GB2312" w:cs="Times New Roman"/>
          <w:sz w:val="28"/>
          <w:szCs w:val="28"/>
          <w:lang w:val="en-US" w:eastAsia="zh-CN"/>
        </w:rPr>
        <w:t>9,396,915.65</w:t>
      </w:r>
      <w:r>
        <w:rPr>
          <w:rFonts w:hint="default" w:ascii="Times New Roman" w:hAnsi="Times New Roman" w:eastAsia="仿宋_GB2312" w:cs="Times New Roman"/>
          <w:sz w:val="28"/>
          <w:szCs w:val="28"/>
        </w:rPr>
        <w:t>元，增长</w:t>
      </w:r>
      <w:r>
        <w:rPr>
          <w:rFonts w:hint="default" w:ascii="Times New Roman" w:hAnsi="Times New Roman" w:eastAsia="仿宋_GB2312" w:cs="Times New Roman"/>
          <w:sz w:val="28"/>
          <w:szCs w:val="28"/>
          <w:lang w:val="en-US" w:eastAsia="zh-CN"/>
        </w:rPr>
        <w:t>42.2</w:t>
      </w:r>
      <w:r>
        <w:rPr>
          <w:rFonts w:hint="default" w:ascii="Times New Roman" w:hAnsi="Times New Roman" w:eastAsia="仿宋_GB2312" w:cs="Times New Roman"/>
          <w:sz w:val="28"/>
          <w:szCs w:val="28"/>
        </w:rPr>
        <w:t>%。</w:t>
      </w:r>
    </w:p>
    <w:p>
      <w:pPr>
        <w:tabs>
          <w:tab w:val="center" w:pos="6979"/>
        </w:tabs>
        <w:spacing w:line="58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1.财政拨款收入31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564</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700.73元，占收入合计的99.</w:t>
      </w:r>
      <w:r>
        <w:rPr>
          <w:rFonts w:hint="eastAsia" w:eastAsia="仿宋_GB2312" w:cs="Times New Roman"/>
          <w:sz w:val="28"/>
          <w:szCs w:val="28"/>
          <w:lang w:val="en-US" w:eastAsia="zh-CN"/>
        </w:rPr>
        <w:t>7</w:t>
      </w:r>
      <w:r>
        <w:rPr>
          <w:rFonts w:hint="default" w:ascii="Times New Roman" w:hAnsi="Times New Roman" w:eastAsia="仿宋_GB2312" w:cs="Times New Roman"/>
          <w:sz w:val="28"/>
          <w:szCs w:val="28"/>
        </w:rPr>
        <w:t>%。其中：一般公共预算财政拨款收入31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564</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700.73元，占收入合计的99.</w:t>
      </w:r>
      <w:r>
        <w:rPr>
          <w:rFonts w:hint="eastAsia" w:eastAsia="仿宋_GB2312" w:cs="Times New Roman"/>
          <w:sz w:val="28"/>
          <w:szCs w:val="28"/>
          <w:lang w:val="en-US" w:eastAsia="zh-CN"/>
        </w:rPr>
        <w:t>7</w:t>
      </w:r>
      <w:r>
        <w:rPr>
          <w:rFonts w:hint="default" w:ascii="Times New Roman" w:hAnsi="Times New Roman" w:eastAsia="仿宋_GB2312" w:cs="Times New Roman"/>
          <w:sz w:val="28"/>
          <w:szCs w:val="28"/>
        </w:rPr>
        <w:t>%；政府性基金预算财政拨款收入0元，占收入合计的0%；国有资本经营预算财政拨款收入0元，占收入合计的0%；</w:t>
      </w:r>
    </w:p>
    <w:p>
      <w:pPr>
        <w:tabs>
          <w:tab w:val="center" w:pos="6979"/>
        </w:tabs>
        <w:spacing w:line="58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2.上级补助收入0元，占收入合计的0%；</w:t>
      </w:r>
    </w:p>
    <w:p>
      <w:pPr>
        <w:tabs>
          <w:tab w:val="center" w:pos="6979"/>
        </w:tabs>
        <w:spacing w:line="58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3.事业收入0元，占收入合计的0%；</w:t>
      </w:r>
    </w:p>
    <w:p>
      <w:pPr>
        <w:tabs>
          <w:tab w:val="center" w:pos="6979"/>
        </w:tabs>
        <w:spacing w:line="58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4.经营收入0元，占收入合计的0%；</w:t>
      </w:r>
    </w:p>
    <w:p>
      <w:pPr>
        <w:tabs>
          <w:tab w:val="center" w:pos="6979"/>
        </w:tabs>
        <w:spacing w:line="58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5.附属单位上缴收入0元，占收入合计的0%；</w:t>
      </w:r>
    </w:p>
    <w:p>
      <w:pPr>
        <w:tabs>
          <w:tab w:val="center" w:pos="6979"/>
        </w:tabs>
        <w:spacing w:line="58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6.其他收入100</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000元，占收入合计的0.3%。</w:t>
      </w:r>
    </w:p>
    <w:p>
      <w:pPr>
        <w:pStyle w:val="2"/>
        <w:jc w:val="center"/>
        <w:rPr>
          <w:rFonts w:hint="default" w:ascii="Times New Roman" w:hAnsi="Times New Roman" w:cs="Times New Roman"/>
        </w:rPr>
      </w:pPr>
      <w:r>
        <w:rPr>
          <w:rFonts w:hint="default" w:ascii="Times New Roman" w:hAnsi="Times New Roman" w:eastAsia="仿宋_GB2312" w:cs="Times New Roman"/>
          <w:color w:val="000000"/>
          <w:sz w:val="32"/>
        </w:rPr>
        <w:t>图1：收入决算</w:t>
      </w:r>
    </w:p>
    <w:p>
      <w:pPr>
        <w:pStyle w:val="3"/>
        <w:ind w:firstLine="420"/>
        <w:jc w:val="center"/>
        <w:rPr>
          <w:rFonts w:hint="default" w:ascii="Times New Roman" w:hAnsi="Times New Roman" w:cs="Times New Roman"/>
        </w:rPr>
      </w:pPr>
      <w:r>
        <w:rPr>
          <w:rFonts w:hint="default" w:ascii="Times New Roman" w:hAnsi="Times New Roman" w:cs="Times New Roman"/>
        </w:rP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tabs>
          <w:tab w:val="center" w:pos="6979"/>
        </w:tabs>
        <w:spacing w:line="580" w:lineRule="exact"/>
        <w:ind w:firstLine="57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（二）支出决算说明</w:t>
      </w:r>
      <w:bookmarkStart w:id="0" w:name="_GoBack"/>
      <w:bookmarkEnd w:id="0"/>
    </w:p>
    <w:p>
      <w:pPr>
        <w:tabs>
          <w:tab w:val="center" w:pos="6979"/>
        </w:tabs>
        <w:spacing w:line="580" w:lineRule="exact"/>
        <w:ind w:firstLine="57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28"/>
          <w:szCs w:val="28"/>
        </w:rPr>
        <w:t>2025年度本年支出合计31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612</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966.78元，比上年增加</w:t>
      </w:r>
      <w:r>
        <w:rPr>
          <w:rFonts w:hint="default" w:ascii="Times New Roman" w:hAnsi="Times New Roman" w:eastAsia="仿宋_GB2312" w:cs="Times New Roman"/>
          <w:sz w:val="28"/>
          <w:szCs w:val="28"/>
          <w:lang w:val="en-US" w:eastAsia="zh-CN"/>
        </w:rPr>
        <w:t>7,997,793.68</w:t>
      </w:r>
      <w:r>
        <w:rPr>
          <w:rFonts w:hint="default" w:ascii="Times New Roman" w:hAnsi="Times New Roman" w:eastAsia="仿宋_GB2312" w:cs="Times New Roman"/>
          <w:sz w:val="28"/>
          <w:szCs w:val="28"/>
        </w:rPr>
        <w:t>元，增长</w:t>
      </w:r>
      <w:r>
        <w:rPr>
          <w:rFonts w:hint="default" w:ascii="Times New Roman" w:hAnsi="Times New Roman" w:eastAsia="仿宋_GB2312" w:cs="Times New Roman"/>
          <w:sz w:val="28"/>
          <w:szCs w:val="28"/>
          <w:lang w:val="en-US" w:eastAsia="zh-CN"/>
        </w:rPr>
        <w:t>33.</w:t>
      </w:r>
      <w:r>
        <w:rPr>
          <w:rFonts w:hint="eastAsia" w:eastAsia="仿宋_GB2312" w:cs="Times New Roman"/>
          <w:sz w:val="28"/>
          <w:szCs w:val="28"/>
          <w:lang w:val="en-US" w:eastAsia="zh-CN"/>
        </w:rPr>
        <w:t>9</w:t>
      </w:r>
      <w:r>
        <w:rPr>
          <w:rFonts w:hint="default" w:ascii="Times New Roman" w:hAnsi="Times New Roman" w:eastAsia="仿宋_GB2312" w:cs="Times New Roman"/>
          <w:sz w:val="28"/>
          <w:szCs w:val="28"/>
        </w:rPr>
        <w:t>%，其中：基本支出21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378</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913.19元，占支出合计的67.6%</w:t>
      </w:r>
      <w:r>
        <w:rPr>
          <w:rFonts w:hint="eastAsia" w:eastAsia="仿宋_GB2312" w:cs="Times New Roman"/>
          <w:sz w:val="28"/>
          <w:szCs w:val="28"/>
          <w:lang w:eastAsia="zh-CN"/>
        </w:rPr>
        <w:t>；</w:t>
      </w:r>
      <w:r>
        <w:rPr>
          <w:rFonts w:hint="default" w:ascii="Times New Roman" w:hAnsi="Times New Roman" w:eastAsia="仿宋_GB2312" w:cs="Times New Roman"/>
          <w:sz w:val="28"/>
          <w:szCs w:val="28"/>
        </w:rPr>
        <w:t>项目支出10</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234</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053.59元，占支出合计的32.</w:t>
      </w:r>
      <w:r>
        <w:rPr>
          <w:rFonts w:hint="eastAsia" w:eastAsia="仿宋_GB2312" w:cs="Times New Roman"/>
          <w:sz w:val="28"/>
          <w:szCs w:val="28"/>
          <w:lang w:val="en-US" w:eastAsia="zh-CN"/>
        </w:rPr>
        <w:t>4</w:t>
      </w:r>
      <w:r>
        <w:rPr>
          <w:rFonts w:hint="default" w:ascii="Times New Roman" w:hAnsi="Times New Roman" w:eastAsia="仿宋_GB2312" w:cs="Times New Roman"/>
          <w:sz w:val="28"/>
          <w:szCs w:val="28"/>
        </w:rPr>
        <w:t>%</w:t>
      </w:r>
      <w:r>
        <w:rPr>
          <w:rFonts w:hint="eastAsia" w:eastAsia="仿宋_GB2312" w:cs="Times New Roman"/>
          <w:sz w:val="28"/>
          <w:szCs w:val="28"/>
          <w:lang w:eastAsia="zh-CN"/>
        </w:rPr>
        <w:t>；</w:t>
      </w:r>
      <w:r>
        <w:rPr>
          <w:rFonts w:hint="default" w:ascii="Times New Roman" w:hAnsi="Times New Roman" w:eastAsia="仿宋_GB2312" w:cs="Times New Roman"/>
          <w:sz w:val="28"/>
          <w:szCs w:val="28"/>
        </w:rPr>
        <w:t>上缴上级支出0元，占支出合计的0%；经营支出0元，占支出合计的0%；对附属单位补助支出0元，占支出合计的0%。</w:t>
      </w:r>
    </w:p>
    <w:p>
      <w:pPr>
        <w:pStyle w:val="2"/>
        <w:ind w:firstLine="5772" w:firstLineChars="1804"/>
        <w:rPr>
          <w:rFonts w:hint="default" w:ascii="Times New Roman" w:hAnsi="Times New Roman" w:eastAsia="仿宋_GB2312" w:cs="Times New Roman"/>
          <w:color w:val="000000"/>
          <w:sz w:val="32"/>
        </w:rPr>
      </w:pPr>
      <w:r>
        <w:rPr>
          <w:rFonts w:hint="default" w:ascii="Times New Roman" w:hAnsi="Times New Roman" w:eastAsia="仿宋_GB2312" w:cs="Times New Roman"/>
          <w:color w:val="000000"/>
          <w:sz w:val="32"/>
        </w:rPr>
        <w:t>图2：支出决算</w:t>
      </w:r>
    </w:p>
    <w:p>
      <w:pPr>
        <w:jc w:val="center"/>
        <w:rPr>
          <w:rFonts w:hint="default" w:ascii="Times New Roman" w:hAnsi="Times New Roman" w:eastAsia="黑体" w:cs="Times New Roman"/>
          <w:b/>
          <w:sz w:val="28"/>
          <w:szCs w:val="28"/>
        </w:rPr>
      </w:pPr>
      <w:r>
        <w:rPr>
          <w:rFonts w:hint="default" w:ascii="Times New Roman" w:hAnsi="Times New Roman" w:cs="Times New Roman"/>
        </w:rP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tabs>
          <w:tab w:val="center" w:pos="6979"/>
        </w:tabs>
        <w:spacing w:line="580" w:lineRule="exact"/>
        <w:ind w:firstLine="548" w:firstLineChars="196"/>
        <w:rPr>
          <w:rFonts w:hint="default" w:ascii="Times New Roman" w:hAnsi="Times New Roman" w:eastAsia="黑体" w:cs="Times New Roman"/>
          <w:b/>
          <w:sz w:val="28"/>
          <w:szCs w:val="28"/>
        </w:rPr>
      </w:pPr>
      <w:r>
        <w:rPr>
          <w:rFonts w:hint="default" w:ascii="Times New Roman" w:hAnsi="Times New Roman" w:eastAsia="黑体" w:cs="Times New Roman"/>
          <w:b/>
          <w:sz w:val="28"/>
          <w:szCs w:val="28"/>
        </w:rPr>
        <w:t>三、财政拨款收入支出决算总体情况说明</w:t>
      </w:r>
    </w:p>
    <w:p>
      <w:pPr>
        <w:tabs>
          <w:tab w:val="center" w:pos="6979"/>
        </w:tabs>
        <w:spacing w:line="580" w:lineRule="exact"/>
        <w:ind w:firstLine="570"/>
        <w:rPr>
          <w:rFonts w:hint="default" w:ascii="Times New Roman" w:hAnsi="Times New Roman" w:eastAsia="仿宋_GB2312" w:cs="Times New Roman"/>
          <w:sz w:val="28"/>
          <w:szCs w:val="28"/>
          <w:lang w:val="en-US"/>
        </w:rPr>
      </w:pPr>
      <w:r>
        <w:rPr>
          <w:rFonts w:hint="default" w:ascii="Times New Roman" w:hAnsi="Times New Roman" w:eastAsia="仿宋_GB2312" w:cs="Times New Roman"/>
          <w:sz w:val="28"/>
          <w:szCs w:val="28"/>
        </w:rPr>
        <w:t>2025年度财政拨款收、支总计31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564</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700.73元，比上年增加</w:t>
      </w:r>
      <w:r>
        <w:rPr>
          <w:rFonts w:hint="default" w:ascii="Times New Roman" w:hAnsi="Times New Roman" w:eastAsia="仿宋_GB2312" w:cs="Times New Roman"/>
          <w:sz w:val="28"/>
          <w:szCs w:val="28"/>
          <w:lang w:val="en-US" w:eastAsia="zh-CN"/>
        </w:rPr>
        <w:t>8,081,843.23</w:t>
      </w:r>
      <w:r>
        <w:rPr>
          <w:rFonts w:hint="default" w:ascii="Times New Roman" w:hAnsi="Times New Roman" w:eastAsia="仿宋_GB2312" w:cs="Times New Roman"/>
          <w:sz w:val="28"/>
          <w:szCs w:val="28"/>
        </w:rPr>
        <w:t>元，增长</w:t>
      </w:r>
      <w:r>
        <w:rPr>
          <w:rFonts w:hint="default" w:ascii="Times New Roman" w:hAnsi="Times New Roman" w:eastAsia="仿宋_GB2312" w:cs="Times New Roman"/>
          <w:sz w:val="28"/>
          <w:szCs w:val="28"/>
          <w:lang w:val="en-US" w:eastAsia="zh-CN"/>
        </w:rPr>
        <w:t>34.4</w:t>
      </w:r>
      <w:r>
        <w:rPr>
          <w:rFonts w:hint="default" w:ascii="Times New Roman" w:hAnsi="Times New Roman" w:eastAsia="仿宋_GB2312" w:cs="Times New Roman"/>
          <w:sz w:val="28"/>
          <w:szCs w:val="28"/>
        </w:rPr>
        <w:t>%。主要原因：</w:t>
      </w:r>
      <w:r>
        <w:rPr>
          <w:rFonts w:hint="default" w:ascii="Times New Roman" w:hAnsi="Times New Roman" w:eastAsia="仿宋_GB2312" w:cs="Times New Roman"/>
          <w:sz w:val="28"/>
          <w:szCs w:val="28"/>
          <w:lang w:eastAsia="zh-CN"/>
        </w:rPr>
        <w:t>一是因机构改革水务执法队</w:t>
      </w:r>
      <w:r>
        <w:rPr>
          <w:rFonts w:hint="default" w:ascii="Times New Roman" w:hAnsi="Times New Roman" w:eastAsia="仿宋_GB2312" w:cs="Times New Roman"/>
          <w:sz w:val="28"/>
          <w:szCs w:val="28"/>
          <w:lang w:val="en-US" w:eastAsia="zh-CN"/>
        </w:rPr>
        <w:t>于2024年8月</w:t>
      </w:r>
      <w:r>
        <w:rPr>
          <w:rFonts w:hint="default" w:ascii="Times New Roman" w:hAnsi="Times New Roman" w:eastAsia="仿宋_GB2312" w:cs="Times New Roman"/>
          <w:sz w:val="28"/>
          <w:szCs w:val="28"/>
          <w:lang w:eastAsia="zh-CN"/>
        </w:rPr>
        <w:t>整编制转隶至我局</w:t>
      </w:r>
      <w:r>
        <w:rPr>
          <w:rFonts w:hint="default" w:ascii="Times New Roman" w:hAnsi="Times New Roman" w:eastAsia="仿宋_GB2312" w:cs="Times New Roman"/>
          <w:sz w:val="28"/>
          <w:szCs w:val="28"/>
          <w:lang w:val="en-US" w:eastAsia="zh-CN"/>
        </w:rPr>
        <w:t>，导致2025年度人员经费和公用经费增加；二是2025年度新增违法建设治理工作资金及占道经营整治任务工作资金项目。</w:t>
      </w:r>
    </w:p>
    <w:p>
      <w:pPr>
        <w:tabs>
          <w:tab w:val="center" w:pos="6979"/>
        </w:tabs>
        <w:spacing w:line="580" w:lineRule="exact"/>
        <w:ind w:firstLine="548" w:firstLineChars="196"/>
        <w:rPr>
          <w:rFonts w:hint="default" w:ascii="Times New Roman" w:hAnsi="Times New Roman" w:eastAsia="黑体" w:cs="Times New Roman"/>
          <w:b/>
          <w:sz w:val="28"/>
          <w:szCs w:val="28"/>
        </w:rPr>
      </w:pPr>
      <w:r>
        <w:rPr>
          <w:rFonts w:hint="default" w:ascii="Times New Roman" w:hAnsi="Times New Roman" w:eastAsia="黑体" w:cs="Times New Roman"/>
          <w:b/>
          <w:sz w:val="28"/>
          <w:szCs w:val="28"/>
        </w:rPr>
        <w:t>四、一般公共预算财政拨款支出决算情况说明</w:t>
      </w:r>
    </w:p>
    <w:p>
      <w:pPr>
        <w:autoSpaceDE w:val="0"/>
        <w:autoSpaceDN w:val="0"/>
        <w:adjustRightInd w:val="0"/>
        <w:spacing w:line="580" w:lineRule="exact"/>
        <w:ind w:firstLine="560" w:firstLineChars="200"/>
        <w:jc w:val="lef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（一）一般公共预算财政拨款支出决算总体情况</w:t>
      </w:r>
    </w:p>
    <w:p>
      <w:pPr>
        <w:tabs>
          <w:tab w:val="center" w:pos="6979"/>
        </w:tabs>
        <w:spacing w:line="58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2025年度一般公共预算财政拨款支出31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564</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700.73元，主要用于以下方面（按大类）：一般公共服务支出5,350,846.05元，占本年财政拨款支出</w:t>
      </w:r>
      <w:r>
        <w:rPr>
          <w:rFonts w:hint="eastAsia" w:eastAsia="仿宋_GB2312" w:cs="Times New Roman"/>
          <w:sz w:val="28"/>
          <w:szCs w:val="28"/>
          <w:lang w:val="en-US" w:eastAsia="zh-CN"/>
        </w:rPr>
        <w:t>17</w:t>
      </w:r>
      <w:r>
        <w:rPr>
          <w:rFonts w:hint="default" w:ascii="Times New Roman" w:hAnsi="Times New Roman" w:eastAsia="仿宋_GB2312" w:cs="Times New Roman"/>
          <w:sz w:val="28"/>
          <w:szCs w:val="28"/>
          <w:lang w:val="en-US" w:eastAsia="zh-CN"/>
        </w:rPr>
        <w:t>.</w:t>
      </w:r>
      <w:r>
        <w:rPr>
          <w:rFonts w:hint="eastAsia" w:eastAsia="仿宋_GB2312" w:cs="Times New Roman"/>
          <w:sz w:val="28"/>
          <w:szCs w:val="28"/>
          <w:lang w:val="en-US" w:eastAsia="zh-CN"/>
        </w:rPr>
        <w:t>0</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lang w:val="en-US" w:eastAsia="zh-CN"/>
        </w:rPr>
        <w:t>社会保障和就业支出132,320.80</w:t>
      </w:r>
      <w:r>
        <w:rPr>
          <w:rFonts w:hint="default" w:ascii="Times New Roman" w:hAnsi="Times New Roman" w:eastAsia="仿宋_GB2312" w:cs="Times New Roman"/>
          <w:sz w:val="28"/>
          <w:szCs w:val="28"/>
        </w:rPr>
        <w:t>元</w:t>
      </w:r>
      <w:r>
        <w:rPr>
          <w:rFonts w:hint="default" w:ascii="Times New Roman" w:hAnsi="Times New Roman" w:eastAsia="仿宋_GB2312" w:cs="Times New Roman"/>
          <w:sz w:val="28"/>
          <w:szCs w:val="28"/>
          <w:lang w:eastAsia="zh-CN"/>
        </w:rPr>
        <w:t>，</w:t>
      </w:r>
      <w:r>
        <w:rPr>
          <w:rFonts w:hint="default" w:ascii="Times New Roman" w:hAnsi="Times New Roman" w:eastAsia="仿宋_GB2312" w:cs="Times New Roman"/>
          <w:sz w:val="28"/>
          <w:szCs w:val="28"/>
        </w:rPr>
        <w:t>占本年财政拨款支出</w:t>
      </w:r>
      <w:r>
        <w:rPr>
          <w:rFonts w:hint="default" w:ascii="Times New Roman" w:hAnsi="Times New Roman" w:eastAsia="仿宋_GB2312" w:cs="Times New Roman"/>
          <w:sz w:val="28"/>
          <w:szCs w:val="28"/>
          <w:lang w:val="en-US" w:eastAsia="zh-CN"/>
        </w:rPr>
        <w:t>0.4</w:t>
      </w: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lang w:val="en-US" w:eastAsia="zh-CN"/>
        </w:rPr>
        <w:t>城乡社区支出26,081,533.88元，占本年财政拨款支出82.6%</w:t>
      </w:r>
      <w:r>
        <w:rPr>
          <w:rFonts w:hint="default" w:ascii="Times New Roman" w:hAnsi="Times New Roman" w:eastAsia="仿宋_GB2312" w:cs="Times New Roman"/>
          <w:sz w:val="28"/>
          <w:szCs w:val="28"/>
        </w:rPr>
        <w:t>。</w:t>
      </w:r>
    </w:p>
    <w:p>
      <w:pPr>
        <w:autoSpaceDE w:val="0"/>
        <w:autoSpaceDN w:val="0"/>
        <w:adjustRightInd w:val="0"/>
        <w:spacing w:line="580" w:lineRule="exact"/>
        <w:ind w:firstLine="560" w:firstLineChars="200"/>
        <w:jc w:val="left"/>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（二）一般公共预算财政拨款支出决算具体情况</w:t>
      </w:r>
    </w:p>
    <w:p>
      <w:pPr>
        <w:tabs>
          <w:tab w:val="center" w:pos="6979"/>
        </w:tabs>
        <w:spacing w:line="580" w:lineRule="exact"/>
        <w:ind w:firstLine="57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1、“一般公共服务支出”（类）2025年度年初预算</w:t>
      </w:r>
      <w:r>
        <w:rPr>
          <w:rFonts w:hint="default" w:ascii="Times New Roman" w:hAnsi="Times New Roman" w:eastAsia="仿宋_GB2312" w:cs="Times New Roman"/>
          <w:sz w:val="28"/>
          <w:szCs w:val="28"/>
          <w:lang w:val="en-US" w:eastAsia="zh-CN"/>
        </w:rPr>
        <w:t>0</w:t>
      </w:r>
      <w:r>
        <w:rPr>
          <w:rFonts w:hint="default" w:ascii="Times New Roman" w:hAnsi="Times New Roman" w:eastAsia="仿宋_GB2312" w:cs="Times New Roman"/>
          <w:sz w:val="28"/>
          <w:szCs w:val="28"/>
        </w:rPr>
        <w:t>元，2025年度决算5,350,846.05元。</w:t>
      </w:r>
    </w:p>
    <w:p>
      <w:pPr>
        <w:tabs>
          <w:tab w:val="center" w:pos="6979"/>
        </w:tabs>
        <w:spacing w:line="580" w:lineRule="exact"/>
        <w:ind w:firstLine="57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其中：</w:t>
      </w:r>
    </w:p>
    <w:p>
      <w:pPr>
        <w:tabs>
          <w:tab w:val="center" w:pos="6979"/>
        </w:tabs>
        <w:spacing w:line="580" w:lineRule="exact"/>
        <w:ind w:firstLine="57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w:t>
      </w:r>
      <w:r>
        <w:rPr>
          <w:rFonts w:hint="default" w:ascii="Times New Roman" w:hAnsi="Times New Roman" w:eastAsia="仿宋_GB2312" w:cs="Times New Roman"/>
          <w:sz w:val="28"/>
          <w:szCs w:val="28"/>
          <w:lang w:eastAsia="zh-CN"/>
        </w:rPr>
        <w:t>发展与改革事务</w:t>
      </w:r>
      <w:r>
        <w:rPr>
          <w:rFonts w:hint="default" w:ascii="Times New Roman" w:hAnsi="Times New Roman" w:eastAsia="仿宋_GB2312" w:cs="Times New Roman"/>
          <w:sz w:val="28"/>
          <w:szCs w:val="28"/>
        </w:rPr>
        <w:t>”（款，下同）2025年度年初预算</w:t>
      </w:r>
      <w:r>
        <w:rPr>
          <w:rFonts w:hint="default" w:ascii="Times New Roman" w:hAnsi="Times New Roman" w:eastAsia="仿宋_GB2312" w:cs="Times New Roman"/>
          <w:sz w:val="28"/>
          <w:szCs w:val="28"/>
          <w:lang w:val="en-US" w:eastAsia="zh-CN"/>
        </w:rPr>
        <w:t>0</w:t>
      </w:r>
      <w:r>
        <w:rPr>
          <w:rFonts w:hint="default" w:ascii="Times New Roman" w:hAnsi="Times New Roman" w:eastAsia="仿宋_GB2312" w:cs="Times New Roman"/>
          <w:sz w:val="28"/>
          <w:szCs w:val="28"/>
        </w:rPr>
        <w:t>元，2025年度决算5,350,846.05元。主要原因：</w:t>
      </w:r>
      <w:r>
        <w:rPr>
          <w:rFonts w:hint="eastAsia" w:eastAsia="仿宋_GB2312" w:cs="Times New Roman"/>
          <w:sz w:val="28"/>
          <w:szCs w:val="28"/>
          <w:lang w:eastAsia="zh-CN"/>
        </w:rPr>
        <w:t>下达了</w:t>
      </w:r>
      <w:r>
        <w:rPr>
          <w:rFonts w:hint="default" w:ascii="Times New Roman" w:hAnsi="Times New Roman" w:eastAsia="仿宋_GB2312" w:cs="Times New Roman"/>
          <w:sz w:val="28"/>
          <w:szCs w:val="28"/>
          <w:lang w:eastAsia="zh-CN"/>
        </w:rPr>
        <w:t>违法建设治理资金和占道经营整治任务工作资金</w:t>
      </w:r>
      <w:r>
        <w:rPr>
          <w:rFonts w:hint="default" w:ascii="Times New Roman" w:hAnsi="Times New Roman" w:eastAsia="仿宋_GB2312" w:cs="Times New Roman"/>
          <w:sz w:val="28"/>
          <w:szCs w:val="28"/>
        </w:rPr>
        <w:t>。</w:t>
      </w:r>
    </w:p>
    <w:p>
      <w:pPr>
        <w:tabs>
          <w:tab w:val="center" w:pos="6979"/>
        </w:tabs>
        <w:spacing w:line="580" w:lineRule="exact"/>
        <w:ind w:firstLine="57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w:t>
      </w:r>
      <w:r>
        <w:rPr>
          <w:rFonts w:hint="default" w:ascii="Times New Roman" w:hAnsi="Times New Roman" w:eastAsia="仿宋_GB2312" w:cs="Times New Roman"/>
          <w:sz w:val="28"/>
          <w:szCs w:val="28"/>
          <w:lang w:val="en-US" w:eastAsia="zh-CN"/>
        </w:rPr>
        <w:t>“社会保障和就业支出”</w:t>
      </w:r>
      <w:r>
        <w:rPr>
          <w:rFonts w:hint="default" w:ascii="Times New Roman" w:hAnsi="Times New Roman" w:eastAsia="仿宋_GB2312" w:cs="Times New Roman"/>
          <w:sz w:val="28"/>
          <w:szCs w:val="28"/>
        </w:rPr>
        <w:t>(类)2025年度年初预算</w:t>
      </w:r>
      <w:r>
        <w:rPr>
          <w:rFonts w:hint="default" w:ascii="Times New Roman" w:hAnsi="Times New Roman" w:eastAsia="仿宋_GB2312" w:cs="Times New Roman"/>
          <w:sz w:val="28"/>
          <w:szCs w:val="28"/>
          <w:lang w:val="en-US" w:eastAsia="zh-CN"/>
        </w:rPr>
        <w:t>95,740</w:t>
      </w:r>
      <w:r>
        <w:rPr>
          <w:rFonts w:hint="default" w:ascii="Times New Roman" w:hAnsi="Times New Roman" w:eastAsia="仿宋_GB2312" w:cs="Times New Roman"/>
          <w:sz w:val="28"/>
          <w:szCs w:val="28"/>
        </w:rPr>
        <w:t>元，2025年度决算</w:t>
      </w:r>
      <w:r>
        <w:rPr>
          <w:rFonts w:hint="default" w:ascii="Times New Roman" w:hAnsi="Times New Roman" w:eastAsia="仿宋_GB2312" w:cs="Times New Roman"/>
          <w:sz w:val="28"/>
          <w:szCs w:val="28"/>
          <w:lang w:val="en-US" w:eastAsia="zh-CN"/>
        </w:rPr>
        <w:t>132,320.80</w:t>
      </w:r>
      <w:r>
        <w:rPr>
          <w:rFonts w:hint="default" w:ascii="Times New Roman" w:hAnsi="Times New Roman" w:eastAsia="仿宋_GB2312" w:cs="Times New Roman"/>
          <w:sz w:val="28"/>
          <w:szCs w:val="28"/>
        </w:rPr>
        <w:t>元，完成年初预算的</w:t>
      </w:r>
      <w:r>
        <w:rPr>
          <w:rFonts w:hint="default" w:ascii="Times New Roman" w:hAnsi="Times New Roman" w:eastAsia="仿宋_GB2312" w:cs="Times New Roman"/>
          <w:sz w:val="28"/>
          <w:szCs w:val="28"/>
          <w:lang w:val="en-US" w:eastAsia="zh-CN"/>
        </w:rPr>
        <w:t>138.2</w:t>
      </w:r>
      <w:r>
        <w:rPr>
          <w:rFonts w:hint="default" w:ascii="Times New Roman" w:hAnsi="Times New Roman" w:eastAsia="仿宋_GB2312" w:cs="Times New Roman"/>
          <w:sz w:val="28"/>
          <w:szCs w:val="28"/>
        </w:rPr>
        <w:t>%。其中：</w:t>
      </w:r>
    </w:p>
    <w:p>
      <w:pPr>
        <w:tabs>
          <w:tab w:val="center" w:pos="6979"/>
        </w:tabs>
        <w:spacing w:line="580" w:lineRule="exact"/>
        <w:ind w:firstLine="57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“行政事业单位养老支出”</w:t>
      </w:r>
      <w:r>
        <w:rPr>
          <w:rFonts w:hint="default" w:ascii="Times New Roman" w:hAnsi="Times New Roman" w:eastAsia="仿宋_GB2312" w:cs="Times New Roman"/>
          <w:sz w:val="28"/>
          <w:szCs w:val="28"/>
        </w:rPr>
        <w:t>（款）2025年度年初预算</w:t>
      </w:r>
      <w:r>
        <w:rPr>
          <w:rFonts w:hint="default" w:ascii="Times New Roman" w:hAnsi="Times New Roman" w:eastAsia="仿宋_GB2312" w:cs="Times New Roman"/>
          <w:sz w:val="28"/>
          <w:szCs w:val="28"/>
          <w:lang w:val="en-US" w:eastAsia="zh-CN"/>
        </w:rPr>
        <w:t>95,740</w:t>
      </w:r>
      <w:r>
        <w:rPr>
          <w:rFonts w:hint="default" w:ascii="Times New Roman" w:hAnsi="Times New Roman" w:eastAsia="仿宋_GB2312" w:cs="Times New Roman"/>
          <w:sz w:val="28"/>
          <w:szCs w:val="28"/>
        </w:rPr>
        <w:t>元，2025年度决算</w:t>
      </w:r>
      <w:r>
        <w:rPr>
          <w:rFonts w:hint="default" w:ascii="Times New Roman" w:hAnsi="Times New Roman" w:eastAsia="仿宋_GB2312" w:cs="Times New Roman"/>
          <w:sz w:val="28"/>
          <w:szCs w:val="28"/>
          <w:lang w:val="en-US" w:eastAsia="zh-CN"/>
        </w:rPr>
        <w:t>132,320.80</w:t>
      </w:r>
      <w:r>
        <w:rPr>
          <w:rFonts w:hint="default" w:ascii="Times New Roman" w:hAnsi="Times New Roman" w:eastAsia="仿宋_GB2312" w:cs="Times New Roman"/>
          <w:sz w:val="28"/>
          <w:szCs w:val="28"/>
        </w:rPr>
        <w:t>元，完成年初预算的</w:t>
      </w:r>
      <w:r>
        <w:rPr>
          <w:rFonts w:hint="default" w:ascii="Times New Roman" w:hAnsi="Times New Roman" w:eastAsia="仿宋_GB2312" w:cs="Times New Roman"/>
          <w:sz w:val="28"/>
          <w:szCs w:val="28"/>
          <w:lang w:val="en-US" w:eastAsia="zh-CN"/>
        </w:rPr>
        <w:t>138.2</w:t>
      </w:r>
      <w:r>
        <w:rPr>
          <w:rFonts w:hint="default" w:ascii="Times New Roman" w:hAnsi="Times New Roman" w:eastAsia="仿宋_GB2312" w:cs="Times New Roman"/>
          <w:sz w:val="28"/>
          <w:szCs w:val="28"/>
        </w:rPr>
        <w:t>%。主要原因：</w:t>
      </w:r>
      <w:r>
        <w:rPr>
          <w:rFonts w:hint="default" w:ascii="Times New Roman" w:hAnsi="Times New Roman" w:eastAsia="仿宋_GB2312" w:cs="Times New Roman"/>
          <w:sz w:val="28"/>
          <w:szCs w:val="28"/>
          <w:lang w:eastAsia="zh-CN"/>
        </w:rPr>
        <w:t>新增</w:t>
      </w:r>
      <w:r>
        <w:rPr>
          <w:rFonts w:hint="default" w:ascii="Times New Roman" w:hAnsi="Times New Roman" w:eastAsia="仿宋_GB2312" w:cs="Times New Roman"/>
          <w:sz w:val="28"/>
          <w:szCs w:val="28"/>
          <w:lang w:val="en-US" w:eastAsia="zh-CN"/>
        </w:rPr>
        <w:t>4名退休职工</w:t>
      </w:r>
      <w:r>
        <w:rPr>
          <w:rFonts w:hint="default" w:ascii="Times New Roman" w:hAnsi="Times New Roman" w:eastAsia="仿宋_GB2312" w:cs="Times New Roman"/>
          <w:sz w:val="28"/>
          <w:szCs w:val="28"/>
        </w:rPr>
        <w:t>。</w:t>
      </w:r>
    </w:p>
    <w:p>
      <w:pPr>
        <w:tabs>
          <w:tab w:val="center" w:pos="6979"/>
        </w:tabs>
        <w:spacing w:line="580" w:lineRule="exact"/>
        <w:ind w:firstLine="57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lang w:val="en-US" w:eastAsia="zh-CN"/>
        </w:rPr>
        <w:t>“城乡社区支出”(类)</w:t>
      </w:r>
      <w:r>
        <w:rPr>
          <w:rFonts w:hint="default" w:ascii="Times New Roman" w:hAnsi="Times New Roman" w:eastAsia="仿宋_GB2312" w:cs="Times New Roman"/>
          <w:sz w:val="28"/>
          <w:szCs w:val="28"/>
        </w:rPr>
        <w:t>2025年度年初预算25</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686</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874.67元，2025年度决算26,081,533.88元，完成年初预算的</w:t>
      </w:r>
      <w:r>
        <w:rPr>
          <w:rFonts w:hint="default" w:ascii="Times New Roman" w:hAnsi="Times New Roman" w:eastAsia="仿宋_GB2312" w:cs="Times New Roman"/>
          <w:sz w:val="28"/>
          <w:szCs w:val="28"/>
          <w:lang w:val="en-US" w:eastAsia="zh-CN"/>
        </w:rPr>
        <w:t>101.5</w:t>
      </w:r>
      <w:r>
        <w:rPr>
          <w:rFonts w:hint="default" w:ascii="Times New Roman" w:hAnsi="Times New Roman" w:eastAsia="仿宋_GB2312" w:cs="Times New Roman"/>
          <w:sz w:val="28"/>
          <w:szCs w:val="28"/>
        </w:rPr>
        <w:t>%。其中：</w:t>
      </w:r>
    </w:p>
    <w:p>
      <w:pPr>
        <w:tabs>
          <w:tab w:val="center" w:pos="6979"/>
        </w:tabs>
        <w:spacing w:line="580" w:lineRule="exact"/>
        <w:ind w:firstLine="570"/>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“城乡社区管理事务”（款）</w:t>
      </w:r>
      <w:r>
        <w:rPr>
          <w:rFonts w:hint="default" w:ascii="Times New Roman" w:hAnsi="Times New Roman" w:eastAsia="仿宋_GB2312" w:cs="Times New Roman"/>
          <w:sz w:val="28"/>
          <w:szCs w:val="28"/>
        </w:rPr>
        <w:t>2025年度年初预算25</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686</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874.67万元，2025年度决算26,081,533.88元，完成年初预算的</w:t>
      </w:r>
      <w:r>
        <w:rPr>
          <w:rFonts w:hint="default" w:ascii="Times New Roman" w:hAnsi="Times New Roman" w:eastAsia="仿宋_GB2312" w:cs="Times New Roman"/>
          <w:sz w:val="28"/>
          <w:szCs w:val="28"/>
          <w:lang w:val="en-US" w:eastAsia="zh-CN"/>
        </w:rPr>
        <w:t>101.5</w:t>
      </w:r>
      <w:r>
        <w:rPr>
          <w:rFonts w:hint="default" w:ascii="Times New Roman" w:hAnsi="Times New Roman" w:eastAsia="仿宋_GB2312" w:cs="Times New Roman"/>
          <w:sz w:val="28"/>
          <w:szCs w:val="28"/>
        </w:rPr>
        <w:t>%。主要原因：</w:t>
      </w:r>
      <w:r>
        <w:rPr>
          <w:rFonts w:hint="default" w:ascii="Times New Roman" w:hAnsi="Times New Roman" w:eastAsia="仿宋_GB2312" w:cs="Times New Roman"/>
          <w:sz w:val="28"/>
          <w:szCs w:val="28"/>
          <w:lang w:eastAsia="zh-CN"/>
        </w:rPr>
        <w:t>因人员调入调出及</w:t>
      </w:r>
      <w:r>
        <w:rPr>
          <w:rFonts w:hint="default" w:ascii="Times New Roman" w:hAnsi="Times New Roman" w:eastAsia="仿宋_GB2312" w:cs="Times New Roman"/>
          <w:sz w:val="28"/>
          <w:szCs w:val="28"/>
          <w:lang w:val="en-US" w:eastAsia="zh-CN"/>
        </w:rPr>
        <w:t>2025年预算项目资金年初未足额下达，年中追加部分项目经费所致</w:t>
      </w:r>
      <w:r>
        <w:rPr>
          <w:rFonts w:hint="default" w:ascii="Times New Roman" w:hAnsi="Times New Roman" w:eastAsia="仿宋_GB2312" w:cs="Times New Roman"/>
          <w:sz w:val="28"/>
          <w:szCs w:val="28"/>
          <w:lang w:eastAsia="zh-CN"/>
        </w:rPr>
        <w:t>。</w:t>
      </w:r>
    </w:p>
    <w:p>
      <w:pPr>
        <w:pStyle w:val="2"/>
        <w:rPr>
          <w:rFonts w:hint="default" w:ascii="Times New Roman" w:hAnsi="Times New Roman" w:eastAsia="仿宋_GB2312" w:cs="Times New Roman"/>
          <w:lang w:val="en-US" w:eastAsia="zh-CN"/>
        </w:rPr>
      </w:pPr>
    </w:p>
    <w:p>
      <w:pPr>
        <w:spacing w:line="58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黑体" w:cs="Times New Roman"/>
          <w:b/>
          <w:sz w:val="28"/>
          <w:szCs w:val="28"/>
        </w:rPr>
        <w:t>五、政府性基金预算财政拨款支出决算情况说明</w:t>
      </w:r>
    </w:p>
    <w:p>
      <w:pPr>
        <w:spacing w:line="500" w:lineRule="exact"/>
        <w:ind w:firstLine="560" w:firstLineChars="200"/>
        <w:rPr>
          <w:rFonts w:hint="default" w:ascii="Times New Roman" w:hAnsi="Times New Roman" w:eastAsia="仿宋_GB2312" w:cs="Times New Roman"/>
          <w:sz w:val="28"/>
          <w:szCs w:val="24"/>
          <w:lang w:val="en-US" w:eastAsia="zh-CN"/>
        </w:rPr>
      </w:pPr>
      <w:r>
        <w:rPr>
          <w:rFonts w:hint="default" w:ascii="Times New Roman" w:hAnsi="Times New Roman" w:eastAsia="仿宋_GB2312" w:cs="Times New Roman"/>
          <w:sz w:val="28"/>
          <w:szCs w:val="24"/>
          <w:lang w:val="en-US" w:eastAsia="zh-CN"/>
        </w:rPr>
        <w:t>本年度无此项支出</w:t>
      </w:r>
    </w:p>
    <w:p>
      <w:pPr>
        <w:spacing w:line="580" w:lineRule="exact"/>
        <w:ind w:firstLine="560" w:firstLineChars="200"/>
        <w:rPr>
          <w:rFonts w:hint="default" w:ascii="Times New Roman" w:hAnsi="Times New Roman" w:eastAsia="黑体" w:cs="Times New Roman"/>
          <w:b/>
          <w:sz w:val="28"/>
          <w:szCs w:val="28"/>
        </w:rPr>
      </w:pPr>
      <w:r>
        <w:rPr>
          <w:rFonts w:hint="default" w:ascii="Times New Roman" w:hAnsi="Times New Roman" w:eastAsia="黑体" w:cs="Times New Roman"/>
          <w:b/>
          <w:sz w:val="28"/>
          <w:szCs w:val="28"/>
        </w:rPr>
        <w:t>六、国有资本经营预算财政拨款收支情况</w:t>
      </w:r>
    </w:p>
    <w:p>
      <w:pPr>
        <w:spacing w:line="580" w:lineRule="exact"/>
        <w:ind w:firstLine="548" w:firstLineChars="196"/>
        <w:rPr>
          <w:rFonts w:hint="default" w:ascii="Times New Roman" w:hAnsi="Times New Roman" w:eastAsia="仿宋_GB2312" w:cs="Times New Roman"/>
          <w:sz w:val="28"/>
          <w:szCs w:val="24"/>
          <w:lang w:val="en-US" w:eastAsia="zh-CN"/>
        </w:rPr>
      </w:pPr>
      <w:r>
        <w:rPr>
          <w:rFonts w:hint="default" w:ascii="Times New Roman" w:hAnsi="Times New Roman" w:eastAsia="仿宋_GB2312" w:cs="Times New Roman"/>
          <w:sz w:val="28"/>
          <w:szCs w:val="24"/>
          <w:lang w:val="en-US" w:eastAsia="zh-CN"/>
        </w:rPr>
        <w:t>本年度无此项支出</w:t>
      </w:r>
    </w:p>
    <w:p>
      <w:pPr>
        <w:spacing w:line="580" w:lineRule="exact"/>
        <w:ind w:firstLine="548" w:firstLineChars="196"/>
        <w:rPr>
          <w:rFonts w:hint="default" w:ascii="Times New Roman" w:hAnsi="Times New Roman" w:eastAsia="黑体" w:cs="Times New Roman"/>
          <w:sz w:val="28"/>
          <w:szCs w:val="28"/>
        </w:rPr>
      </w:pPr>
      <w:r>
        <w:rPr>
          <w:rFonts w:hint="default" w:ascii="Times New Roman" w:hAnsi="Times New Roman" w:eastAsia="黑体" w:cs="Times New Roman"/>
          <w:b/>
          <w:sz w:val="28"/>
          <w:szCs w:val="28"/>
        </w:rPr>
        <w:t>七、财政拨款基本支出决算情况说明</w:t>
      </w:r>
    </w:p>
    <w:p>
      <w:pPr>
        <w:tabs>
          <w:tab w:val="center" w:pos="6979"/>
        </w:tabs>
        <w:spacing w:line="580" w:lineRule="exact"/>
        <w:ind w:firstLine="548" w:firstLineChars="196"/>
        <w:rPr>
          <w:rFonts w:hint="default" w:ascii="Times New Roman" w:hAnsi="Times New Roman" w:eastAsia="黑体" w:cs="Times New Roman"/>
          <w:b/>
          <w:sz w:val="28"/>
          <w:szCs w:val="28"/>
        </w:rPr>
      </w:pPr>
      <w:r>
        <w:rPr>
          <w:rFonts w:hint="default" w:ascii="Times New Roman" w:hAnsi="Times New Roman" w:eastAsia="仿宋_GB2312" w:cs="Times New Roman"/>
          <w:sz w:val="28"/>
          <w:szCs w:val="28"/>
        </w:rPr>
        <w:t>2025年度使用一般公共预算财政拨款安排基本支出21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378</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913.19元，使用政府性基金财政拨款安排基本支出0元，（1）工资福利支出包括基本工资、津贴补贴、奖金、伙食补助费、绩效工资、其他社会保障缴费、其他工资福利等支出；（2）商品和服务支出包括办公费、印刷费、手续费、水费、电费、邮电费、取暖费、物业管理费、差旅费、因公出国（境）费、维修（护）费、租赁费、会议费、培训费、公务接待费、专用材料费、劳务费、委托业务费、工会经费、福利费、公务用车运行维护费、其他交通费用、其他商品和服务等支出；（3）对个人和家庭补助支出包括离休费、退休费、抚恤金、生活补助、救济费、医疗费补助、助学金、奖励金、其他对个人和家庭的补助等支出。（4）其他资本性支出包括办公设备购置、专用设备购置等。</w:t>
      </w:r>
    </w:p>
    <w:p>
      <w:pPr>
        <w:autoSpaceDE w:val="0"/>
        <w:autoSpaceDN w:val="0"/>
        <w:adjustRightInd w:val="0"/>
        <w:spacing w:line="580" w:lineRule="exact"/>
        <w:rPr>
          <w:rFonts w:hint="default" w:ascii="Times New Roman" w:hAnsi="Times New Roman" w:cs="Times New Roman"/>
          <w:b/>
          <w:spacing w:val="40"/>
          <w:sz w:val="32"/>
          <w:szCs w:val="32"/>
        </w:rPr>
      </w:pPr>
      <w:r>
        <w:rPr>
          <w:rFonts w:hint="default" w:ascii="Times New Roman" w:hAnsi="Times New Roman" w:eastAsia="仿宋_GB2312" w:cs="Times New Roman"/>
          <w:b/>
          <w:sz w:val="32"/>
          <w:szCs w:val="32"/>
        </w:rPr>
        <w:tab/>
      </w:r>
    </w:p>
    <w:p>
      <w:pPr>
        <w:tabs>
          <w:tab w:val="center" w:pos="6979"/>
        </w:tabs>
        <w:jc w:val="center"/>
        <w:rPr>
          <w:rFonts w:hint="default" w:ascii="Times New Roman" w:hAnsi="Times New Roman" w:cs="Times New Roman"/>
          <w:b/>
          <w:spacing w:val="40"/>
          <w:kern w:val="0"/>
          <w:sz w:val="32"/>
          <w:szCs w:val="32"/>
        </w:rPr>
      </w:pPr>
      <w:r>
        <w:rPr>
          <w:rFonts w:hint="default" w:ascii="Times New Roman" w:hAnsi="Times New Roman" w:cs="Times New Roman"/>
          <w:b/>
          <w:bCs/>
          <w:spacing w:val="40"/>
          <w:kern w:val="0"/>
          <w:sz w:val="32"/>
          <w:szCs w:val="32"/>
        </w:rPr>
        <w:t>第三部分</w:t>
      </w:r>
      <w:r>
        <w:rPr>
          <w:rFonts w:hint="default" w:ascii="Times New Roman" w:hAnsi="Times New Roman" w:cs="Times New Roman"/>
          <w:b/>
          <w:spacing w:val="40"/>
          <w:sz w:val="32"/>
          <w:szCs w:val="32"/>
        </w:rPr>
        <w:t>2025年度</w:t>
      </w:r>
      <w:r>
        <w:rPr>
          <w:rFonts w:hint="default" w:ascii="Times New Roman" w:hAnsi="Times New Roman" w:cs="Times New Roman"/>
          <w:b/>
          <w:spacing w:val="40"/>
          <w:kern w:val="0"/>
          <w:sz w:val="32"/>
          <w:szCs w:val="32"/>
        </w:rPr>
        <w:t>其他重要事项的情况说明</w:t>
      </w:r>
    </w:p>
    <w:p>
      <w:pPr>
        <w:spacing w:line="560" w:lineRule="exact"/>
        <w:ind w:firstLine="560" w:firstLineChars="20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一、“三公”经费财政拨款决算情况</w:t>
      </w:r>
    </w:p>
    <w:p>
      <w:pPr>
        <w:spacing w:line="560" w:lineRule="exact"/>
        <w:ind w:firstLine="6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2025年度“三公”经费财政拨款决算数68</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534.18元，比2025年度“三公”经费财政拨款年初预算24</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640元增加43</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894.18元。其中：</w:t>
      </w:r>
    </w:p>
    <w:p>
      <w:pPr>
        <w:spacing w:line="560" w:lineRule="exact"/>
        <w:ind w:firstLine="6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1.因公出国（境）费用。2025年度决算数57</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389.57元，比2025年度年初预算数0元增加57</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389.57元。主要原因：</w:t>
      </w:r>
      <w:r>
        <w:rPr>
          <w:rFonts w:hint="default" w:ascii="Times New Roman" w:hAnsi="Times New Roman" w:eastAsia="仿宋_GB2312" w:cs="Times New Roman"/>
          <w:sz w:val="28"/>
          <w:szCs w:val="28"/>
          <w:lang w:eastAsia="zh-CN"/>
        </w:rPr>
        <w:t>年中追加了因公出国（境）项目资金所致</w:t>
      </w:r>
      <w:r>
        <w:rPr>
          <w:rFonts w:hint="default" w:ascii="Times New Roman" w:hAnsi="Times New Roman" w:eastAsia="仿宋_GB2312" w:cs="Times New Roman"/>
          <w:sz w:val="28"/>
          <w:szCs w:val="28"/>
        </w:rPr>
        <w:t>；2025年度因公出国（境）费用主要用于</w:t>
      </w:r>
      <w:r>
        <w:rPr>
          <w:rFonts w:hint="default" w:ascii="Times New Roman" w:hAnsi="Times New Roman" w:eastAsia="仿宋_GB2312" w:cs="Times New Roman"/>
          <w:color w:val="000000"/>
          <w:sz w:val="28"/>
          <w:szCs w:val="28"/>
          <w:lang w:eastAsia="zh-CN"/>
        </w:rPr>
        <w:t>本单位</w:t>
      </w:r>
      <w:r>
        <w:rPr>
          <w:rFonts w:hint="default" w:ascii="Times New Roman" w:hAnsi="Times New Roman" w:eastAsia="仿宋_GB2312" w:cs="Times New Roman"/>
          <w:color w:val="000000"/>
          <w:sz w:val="28"/>
          <w:szCs w:val="28"/>
          <w:lang w:val="en-US" w:eastAsia="zh-CN"/>
        </w:rPr>
        <w:t>1人赴德国参加城市秩序治理保障与综合行政执法规范化水平提升专题培训</w:t>
      </w:r>
      <w:r>
        <w:rPr>
          <w:rFonts w:hint="default" w:ascii="Times New Roman" w:hAnsi="Times New Roman" w:eastAsia="仿宋_GB2312" w:cs="Times New Roman"/>
          <w:sz w:val="28"/>
          <w:szCs w:val="28"/>
        </w:rPr>
        <w:t>方面，2025年度组织因公出国（境）团组1个、1人次。</w:t>
      </w:r>
    </w:p>
    <w:p>
      <w:pPr>
        <w:spacing w:line="560" w:lineRule="exact"/>
        <w:ind w:firstLine="6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2.公务接待费。2025年度决算数0元，比2025年度年初预算数6</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640元减少6</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640元。主要原因：</w:t>
      </w:r>
      <w:r>
        <w:rPr>
          <w:rFonts w:hint="default" w:ascii="Times New Roman" w:hAnsi="Times New Roman" w:eastAsia="仿宋_GB2312" w:cs="Times New Roman"/>
          <w:sz w:val="28"/>
          <w:szCs w:val="28"/>
          <w:lang w:val="en-US" w:eastAsia="zh-CN"/>
        </w:rPr>
        <w:t>2025年实际未发生公务接待费用</w:t>
      </w:r>
      <w:r>
        <w:rPr>
          <w:rFonts w:hint="default" w:ascii="Times New Roman" w:hAnsi="Times New Roman" w:eastAsia="仿宋_GB2312" w:cs="Times New Roman"/>
          <w:sz w:val="28"/>
          <w:szCs w:val="28"/>
        </w:rPr>
        <w:t>。</w:t>
      </w:r>
    </w:p>
    <w:p>
      <w:pPr>
        <w:spacing w:line="56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3.公务用车购置及运行维护费。2025年度决算数11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144.61元，比2025年度年初预算数18</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000元减少6</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855.39元。其中，公务用车购置费2025年度决算数0元，主要原因：</w:t>
      </w:r>
      <w:r>
        <w:rPr>
          <w:rFonts w:hint="default" w:ascii="Times New Roman" w:hAnsi="Times New Roman" w:eastAsia="仿宋_GB2312" w:cs="Times New Roman"/>
          <w:sz w:val="28"/>
          <w:szCs w:val="28"/>
          <w:lang w:val="en-US" w:eastAsia="zh-CN"/>
        </w:rPr>
        <w:t>2025年实际未发生公务用车购置费用</w:t>
      </w:r>
      <w:r>
        <w:rPr>
          <w:rFonts w:hint="default" w:ascii="Times New Roman" w:hAnsi="Times New Roman" w:eastAsia="仿宋_GB2312" w:cs="Times New Roman"/>
          <w:sz w:val="28"/>
          <w:szCs w:val="28"/>
        </w:rPr>
        <w:t>，2025年度购置（更新）0辆。公务用车运行维护费2025年度决算数11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144.61元，主要原因：公务用车维修</w:t>
      </w:r>
      <w:r>
        <w:rPr>
          <w:rFonts w:hint="default" w:ascii="Times New Roman" w:hAnsi="Times New Roman" w:eastAsia="仿宋_GB2312" w:cs="Times New Roman"/>
          <w:color w:val="000000"/>
          <w:sz w:val="28"/>
          <w:szCs w:val="28"/>
          <w:lang w:val="en-US" w:eastAsia="zh-CN"/>
        </w:rPr>
        <w:t>7,774</w:t>
      </w:r>
      <w:r>
        <w:rPr>
          <w:rFonts w:hint="default" w:ascii="Times New Roman" w:hAnsi="Times New Roman" w:eastAsia="仿宋_GB2312" w:cs="Times New Roman"/>
          <w:sz w:val="28"/>
          <w:szCs w:val="28"/>
        </w:rPr>
        <w:t>元，公务用车保险</w:t>
      </w:r>
      <w:r>
        <w:rPr>
          <w:rFonts w:hint="default" w:ascii="Times New Roman" w:hAnsi="Times New Roman" w:eastAsia="仿宋_GB2312" w:cs="Times New Roman"/>
          <w:color w:val="000000"/>
          <w:sz w:val="28"/>
          <w:szCs w:val="28"/>
          <w:lang w:val="en-US" w:eastAsia="zh-CN"/>
        </w:rPr>
        <w:t>2,190.61</w:t>
      </w:r>
      <w:r>
        <w:rPr>
          <w:rFonts w:hint="default" w:ascii="Times New Roman" w:hAnsi="Times New Roman" w:eastAsia="仿宋_GB2312" w:cs="Times New Roman"/>
          <w:sz w:val="28"/>
          <w:szCs w:val="28"/>
        </w:rPr>
        <w:t>元，公务用车其他支出</w:t>
      </w:r>
      <w:r>
        <w:rPr>
          <w:rFonts w:hint="default" w:ascii="Times New Roman" w:hAnsi="Times New Roman" w:eastAsia="仿宋_GB2312" w:cs="Times New Roman"/>
          <w:color w:val="000000"/>
          <w:sz w:val="28"/>
          <w:szCs w:val="28"/>
          <w:lang w:val="en-US" w:eastAsia="zh-CN"/>
        </w:rPr>
        <w:t>1,180</w:t>
      </w:r>
      <w:r>
        <w:rPr>
          <w:rFonts w:hint="default" w:ascii="Times New Roman" w:hAnsi="Times New Roman" w:eastAsia="仿宋_GB2312" w:cs="Times New Roman"/>
          <w:sz w:val="28"/>
          <w:szCs w:val="28"/>
        </w:rPr>
        <w:t>元。2025年度公务用车保有量1辆。</w:t>
      </w:r>
    </w:p>
    <w:p>
      <w:pPr>
        <w:tabs>
          <w:tab w:val="center" w:pos="6979"/>
        </w:tabs>
        <w:ind w:firstLine="554" w:firstLineChars="198"/>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二、机关运行经费支出情况</w:t>
      </w:r>
    </w:p>
    <w:p>
      <w:pPr>
        <w:ind w:firstLine="537" w:firstLineChars="192"/>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2025年度机关运行经费支出合计4</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151</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341.1</w:t>
      </w:r>
      <w:r>
        <w:rPr>
          <w:rFonts w:hint="eastAsia" w:eastAsia="仿宋_GB2312" w:cs="Times New Roman"/>
          <w:sz w:val="28"/>
          <w:szCs w:val="28"/>
          <w:lang w:val="en-US" w:eastAsia="zh-CN"/>
        </w:rPr>
        <w:t>0</w:t>
      </w:r>
      <w:r>
        <w:rPr>
          <w:rFonts w:hint="default" w:ascii="Times New Roman" w:hAnsi="Times New Roman" w:eastAsia="仿宋_GB2312" w:cs="Times New Roman"/>
          <w:sz w:val="28"/>
          <w:szCs w:val="28"/>
        </w:rPr>
        <w:t>元，比上年增加</w:t>
      </w:r>
      <w:r>
        <w:rPr>
          <w:rFonts w:hint="default" w:ascii="Times New Roman" w:hAnsi="Times New Roman" w:eastAsia="仿宋_GB2312" w:cs="Times New Roman"/>
          <w:sz w:val="28"/>
          <w:szCs w:val="28"/>
          <w:lang w:val="en-US" w:eastAsia="zh-CN"/>
        </w:rPr>
        <w:t>202,249.94</w:t>
      </w:r>
      <w:r>
        <w:rPr>
          <w:rFonts w:hint="default" w:ascii="Times New Roman" w:hAnsi="Times New Roman" w:eastAsia="仿宋_GB2312" w:cs="Times New Roman"/>
          <w:sz w:val="28"/>
          <w:szCs w:val="28"/>
        </w:rPr>
        <w:t>元，增加原因：</w:t>
      </w:r>
      <w:r>
        <w:rPr>
          <w:rFonts w:hint="default" w:ascii="Times New Roman" w:hAnsi="Times New Roman" w:eastAsia="仿宋_GB2312" w:cs="Times New Roman"/>
          <w:color w:val="000000"/>
          <w:sz w:val="28"/>
          <w:szCs w:val="28"/>
          <w:lang w:eastAsia="zh-CN"/>
        </w:rPr>
        <w:t>主要为协管员工资调整及</w:t>
      </w:r>
      <w:r>
        <w:rPr>
          <w:rFonts w:hint="default" w:ascii="Times New Roman" w:hAnsi="Times New Roman" w:eastAsia="仿宋_GB2312" w:cs="Times New Roman"/>
          <w:sz w:val="28"/>
          <w:szCs w:val="28"/>
          <w:lang w:eastAsia="zh-CN"/>
        </w:rPr>
        <w:t>因机构改革水务执法队</w:t>
      </w:r>
      <w:r>
        <w:rPr>
          <w:rFonts w:hint="default" w:ascii="Times New Roman" w:hAnsi="Times New Roman" w:eastAsia="仿宋_GB2312" w:cs="Times New Roman"/>
          <w:sz w:val="28"/>
          <w:szCs w:val="28"/>
          <w:lang w:val="en-US" w:eastAsia="zh-CN"/>
        </w:rPr>
        <w:t>人员经费及公用经费增加所致</w:t>
      </w:r>
      <w:r>
        <w:rPr>
          <w:rFonts w:hint="default" w:ascii="Times New Roman" w:hAnsi="Times New Roman" w:eastAsia="仿宋_GB2312" w:cs="Times New Roman"/>
          <w:sz w:val="28"/>
          <w:szCs w:val="28"/>
        </w:rPr>
        <w:t>。</w:t>
      </w:r>
    </w:p>
    <w:p>
      <w:pPr>
        <w:ind w:left="540"/>
        <w:rPr>
          <w:rFonts w:hint="default" w:ascii="Times New Roman" w:hAnsi="Times New Roman" w:eastAsia="黑体" w:cs="Times New Roman"/>
          <w:sz w:val="28"/>
          <w:szCs w:val="28"/>
        </w:rPr>
      </w:pPr>
      <w:r>
        <w:rPr>
          <w:rFonts w:hint="default" w:ascii="Times New Roman" w:hAnsi="Times New Roman" w:eastAsia="黑体" w:cs="Times New Roman"/>
          <w:sz w:val="28"/>
          <w:szCs w:val="28"/>
        </w:rPr>
        <w:t>三、政府采购支出情况</w:t>
      </w:r>
    </w:p>
    <w:p>
      <w:pPr>
        <w:ind w:firstLine="537" w:firstLineChars="192"/>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2025年度政府采购支出总额7</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159</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064.61元，其中：政府采购货物支出10</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070元，政府采购工程支出0元，政府采购服务支出7</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148</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994.61元。授予中小企业合同金额4</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606</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344元，占政府采购支出总额的64.3%，其中：授予小微企业合同金额4</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606</w:t>
      </w:r>
      <w:r>
        <w:rPr>
          <w:rFonts w:hint="default" w:ascii="Times New Roman" w:hAnsi="Times New Roman" w:eastAsia="仿宋_GB2312" w:cs="Times New Roman"/>
          <w:sz w:val="28"/>
          <w:szCs w:val="28"/>
          <w:lang w:val="en-US" w:eastAsia="zh-CN"/>
        </w:rPr>
        <w:t>,</w:t>
      </w:r>
      <w:r>
        <w:rPr>
          <w:rFonts w:hint="default" w:ascii="Times New Roman" w:hAnsi="Times New Roman" w:eastAsia="仿宋_GB2312" w:cs="Times New Roman"/>
          <w:sz w:val="28"/>
          <w:szCs w:val="28"/>
        </w:rPr>
        <w:t>344元，占政府采购支出总额的64.3%。</w:t>
      </w:r>
    </w:p>
    <w:p>
      <w:pPr>
        <w:ind w:firstLine="560" w:firstLineChars="200"/>
        <w:rPr>
          <w:rFonts w:hint="default" w:ascii="Times New Roman" w:hAnsi="Times New Roman" w:eastAsia="黑体" w:cs="Times New Roman"/>
          <w:sz w:val="28"/>
          <w:szCs w:val="28"/>
          <w:highlight w:val="yellow"/>
        </w:rPr>
      </w:pPr>
      <w:r>
        <w:rPr>
          <w:rFonts w:hint="default" w:ascii="Times New Roman" w:hAnsi="Times New Roman" w:eastAsia="黑体" w:cs="Times New Roman"/>
          <w:sz w:val="28"/>
          <w:szCs w:val="28"/>
        </w:rPr>
        <w:t>四、国有资产占用情况</w:t>
      </w:r>
    </w:p>
    <w:p>
      <w:pPr>
        <w:ind w:firstLine="56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28"/>
          <w:szCs w:val="28"/>
        </w:rPr>
        <w:t>截至12月31日，北京市门头沟区城市管理综合行政执法局共有车辆1台；单位价值100</w:t>
      </w:r>
      <w:r>
        <w:rPr>
          <w:rFonts w:hint="eastAsia" w:eastAsia="仿宋_GB2312" w:cs="Times New Roman"/>
          <w:sz w:val="28"/>
          <w:szCs w:val="28"/>
          <w:lang w:eastAsia="zh-CN"/>
        </w:rPr>
        <w:t>万</w:t>
      </w:r>
      <w:r>
        <w:rPr>
          <w:rFonts w:hint="default" w:ascii="Times New Roman" w:hAnsi="Times New Roman" w:eastAsia="仿宋_GB2312" w:cs="Times New Roman"/>
          <w:sz w:val="28"/>
          <w:szCs w:val="28"/>
        </w:rPr>
        <w:t>元（含）以上的设备</w:t>
      </w: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28"/>
          <w:szCs w:val="28"/>
        </w:rPr>
        <w:t>台（套）。</w:t>
      </w:r>
    </w:p>
    <w:p>
      <w:pPr>
        <w:ind w:firstLine="560" w:firstLineChars="200"/>
        <w:jc w:val="left"/>
        <w:rPr>
          <w:rFonts w:hint="default" w:ascii="Times New Roman" w:hAnsi="Times New Roman" w:eastAsia="仿宋_GB2312" w:cs="Times New Roman"/>
          <w:color w:val="000000"/>
          <w:sz w:val="32"/>
          <w:szCs w:val="32"/>
        </w:rPr>
      </w:pPr>
      <w:r>
        <w:rPr>
          <w:rFonts w:hint="default" w:ascii="Times New Roman" w:hAnsi="Times New Roman" w:eastAsia="黑体" w:cs="Times New Roman"/>
          <w:sz w:val="28"/>
          <w:szCs w:val="28"/>
        </w:rPr>
        <w:t>五、专业名词解释</w:t>
      </w:r>
    </w:p>
    <w:p>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1.基本支出：指为保障机构正常运转、完成日常工作任务而发生的人员支出和公用支出。</w:t>
      </w:r>
    </w:p>
    <w:p>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2.项目支出：指在基本支出之外为完成特定行政任务或事业发展目标所发生的支出。</w:t>
      </w:r>
    </w:p>
    <w:p>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3.“三公”经费：是指单位通过财政拨款资金安排的因公出国（境）费、公务用车购置及运行费和公务接待费。</w:t>
      </w:r>
    </w:p>
    <w:p>
      <w:pPr>
        <w:ind w:firstLine="560" w:firstLineChars="200"/>
        <w:rPr>
          <w:rFonts w:hint="default" w:ascii="Times New Roman" w:hAnsi="Times New Roman" w:cs="Times New Roman"/>
        </w:rPr>
      </w:pPr>
      <w:r>
        <w:rPr>
          <w:rFonts w:hint="default" w:ascii="Times New Roman" w:hAnsi="Times New Roman" w:eastAsia="仿宋_GB2312" w:cs="Times New Roman"/>
          <w:sz w:val="28"/>
          <w:szCs w:val="28"/>
        </w:rPr>
        <w:t>4.机关运行经费：反映为保障行政单位（包括参照公务员法管理的事业单位）运行用于购买货物和服务的各项资金，包括办公费、会议费、培训费、委托业务费、公务接待费、公务用车运行维护费、维修（护）费及其他费用。</w:t>
      </w:r>
    </w:p>
    <w:p>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5.政府采购：指各级国家机关、事业单位和团体组织，使用财政性资金采购依法制定的集中目录以内的或者采购限额标准以上的货物、工程和服务的行为，是规范财政支出管理和强化预算约束的有效措施。</w:t>
      </w:r>
    </w:p>
    <w:p>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6.各单位需根据自身业务职能，补充当年使用的所有支出功能分类项级科目名词解释，例如：</w:t>
      </w:r>
    </w:p>
    <w:p>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一般公共服务支出（类）人大事务（款）行政运行（项）：反映行政单位（包括实行公务员管理的事业单位）的基本支出。</w:t>
      </w:r>
    </w:p>
    <w:p>
      <w:pPr>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w:t>
      </w:r>
      <w:r>
        <w:rPr>
          <w:rFonts w:hint="default" w:ascii="Times New Roman" w:hAnsi="Times New Roman" w:eastAsia="仿宋_GB2312" w:cs="Times New Roman"/>
          <w:sz w:val="28"/>
          <w:szCs w:val="28"/>
          <w:lang w:eastAsia="zh-CN"/>
        </w:rPr>
        <w:t>执法装备采购：指为城管系统队伍配备现场执法、取证等设备装备，主要有移动硬盘、肩闪等。</w:t>
      </w:r>
    </w:p>
    <w:p>
      <w:pPr>
        <w:pStyle w:val="2"/>
        <w:rPr>
          <w:rFonts w:hint="default" w:ascii="Times New Roman" w:hAnsi="Times New Roman" w:cs="Times New Roman"/>
        </w:rPr>
      </w:pPr>
    </w:p>
    <w:p>
      <w:pPr>
        <w:ind w:firstLine="420" w:firstLineChars="150"/>
        <w:rPr>
          <w:rFonts w:hint="default" w:ascii="Times New Roman" w:hAnsi="Times New Roman" w:eastAsia="仿宋_GB2312" w:cs="Times New Roman"/>
          <w:sz w:val="28"/>
          <w:szCs w:val="28"/>
        </w:rPr>
      </w:pPr>
    </w:p>
    <w:p>
      <w:pPr>
        <w:rPr>
          <w:rFonts w:hint="default" w:ascii="Times New Roman" w:hAnsi="Times New Roman" w:eastAsia="黑体" w:cs="Times New Roman"/>
          <w:sz w:val="32"/>
          <w:szCs w:val="32"/>
        </w:rPr>
      </w:pPr>
    </w:p>
    <w:p>
      <w:pPr>
        <w:tabs>
          <w:tab w:val="center" w:pos="6979"/>
        </w:tabs>
        <w:spacing w:line="380" w:lineRule="exact"/>
        <w:jc w:val="center"/>
        <w:rPr>
          <w:rFonts w:hint="default" w:ascii="Times New Roman" w:hAnsi="Times New Roman" w:cs="Times New Roman"/>
          <w:b/>
          <w:bCs/>
          <w:kern w:val="0"/>
          <w:sz w:val="28"/>
          <w:szCs w:val="28"/>
        </w:rPr>
      </w:pPr>
    </w:p>
    <w:p>
      <w:pPr>
        <w:tabs>
          <w:tab w:val="center" w:pos="6979"/>
        </w:tabs>
        <w:spacing w:line="380" w:lineRule="exact"/>
        <w:jc w:val="center"/>
        <w:rPr>
          <w:rFonts w:hint="default" w:ascii="Times New Roman" w:hAnsi="Times New Roman" w:cs="Times New Roman"/>
          <w:b/>
          <w:bCs/>
          <w:kern w:val="0"/>
          <w:sz w:val="28"/>
          <w:szCs w:val="28"/>
        </w:rPr>
      </w:pPr>
    </w:p>
    <w:p>
      <w:pPr>
        <w:rPr>
          <w:rFonts w:hint="default" w:ascii="Times New Roman" w:hAnsi="Times New Roman" w:eastAsia="黑体" w:cs="Times New Roman"/>
          <w:sz w:val="32"/>
          <w:szCs w:val="32"/>
        </w:rPr>
      </w:pPr>
    </w:p>
    <w:p>
      <w:pPr>
        <w:ind w:firstLine="640" w:firstLineChars="200"/>
        <w:jc w:val="center"/>
        <w:rPr>
          <w:rFonts w:hint="default" w:ascii="Times New Roman" w:hAnsi="Times New Roman" w:eastAsia="黑体" w:cs="Times New Roman"/>
          <w:sz w:val="32"/>
          <w:szCs w:val="32"/>
        </w:rPr>
      </w:pPr>
    </w:p>
    <w:p>
      <w:pPr>
        <w:tabs>
          <w:tab w:val="center" w:pos="6979"/>
        </w:tabs>
        <w:spacing w:line="580" w:lineRule="exact"/>
        <w:ind w:firstLine="720" w:firstLineChars="200"/>
        <w:jc w:val="center"/>
        <w:rPr>
          <w:rFonts w:hint="default" w:ascii="Times New Roman" w:hAnsi="Times New Roman" w:cs="Times New Roman" w:eastAsiaTheme="minorEastAsia"/>
          <w:b/>
          <w:sz w:val="36"/>
          <w:szCs w:val="36"/>
        </w:rPr>
      </w:pPr>
      <w:r>
        <w:rPr>
          <w:rFonts w:hint="default" w:ascii="Times New Roman" w:hAnsi="Times New Roman" w:cs="Times New Roman" w:eastAsiaTheme="minorEastAsia"/>
          <w:b/>
          <w:sz w:val="36"/>
          <w:szCs w:val="36"/>
        </w:rPr>
        <w:t>第四部分2025年度部门绩效评价情况</w:t>
      </w:r>
    </w:p>
    <w:p>
      <w:pPr>
        <w:tabs>
          <w:tab w:val="center" w:pos="6979"/>
        </w:tabs>
        <w:spacing w:line="580" w:lineRule="exact"/>
        <w:ind w:firstLine="560" w:firstLineChars="200"/>
        <w:jc w:val="center"/>
        <w:rPr>
          <w:rFonts w:hint="default" w:ascii="Times New Roman" w:hAnsi="Times New Roman" w:eastAsia="华文中宋" w:cs="Times New Roman"/>
          <w:sz w:val="28"/>
          <w:szCs w:val="28"/>
        </w:rPr>
      </w:pPr>
    </w:p>
    <w:p>
      <w:pPr>
        <w:spacing w:line="580" w:lineRule="exact"/>
        <w:ind w:firstLine="640" w:firstLineChars="20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 xml:space="preserve"> 一、部门整体绩效评价报告</w:t>
      </w:r>
    </w:p>
    <w:p>
      <w:pPr>
        <w:numPr>
          <w:ilvl w:val="0"/>
          <w:numId w:val="0"/>
        </w:numPr>
        <w:spacing w:line="520" w:lineRule="exact"/>
        <w:ind w:firstLine="840" w:firstLineChars="300"/>
        <w:rPr>
          <w:rFonts w:hint="default" w:ascii="Times New Roman" w:hAnsi="Times New Roman" w:eastAsia="黑体" w:cs="Times New Roman"/>
          <w:sz w:val="28"/>
          <w:szCs w:val="28"/>
          <w:lang w:val="en-US" w:eastAsia="zh-CN"/>
        </w:rPr>
      </w:pPr>
      <w:r>
        <w:rPr>
          <w:rFonts w:hint="default" w:ascii="Times New Roman" w:hAnsi="Times New Roman" w:eastAsia="仿宋_GB2312" w:cs="Times New Roman"/>
          <w:sz w:val="28"/>
          <w:szCs w:val="28"/>
          <w:lang w:val="en-US" w:eastAsia="zh-CN"/>
        </w:rPr>
        <w:t>本单位为二级预算单位</w:t>
      </w:r>
    </w:p>
    <w:p>
      <w:pPr>
        <w:numPr>
          <w:ilvl w:val="0"/>
          <w:numId w:val="1"/>
        </w:numPr>
        <w:spacing w:line="580" w:lineRule="exact"/>
        <w:ind w:firstLine="64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项目支出绩效自评情况</w:t>
      </w:r>
    </w:p>
    <w:p>
      <w:pPr>
        <w:numPr>
          <w:ilvl w:val="0"/>
          <w:numId w:val="0"/>
        </w:numPr>
        <w:spacing w:line="520" w:lineRule="exact"/>
        <w:ind w:firstLine="420" w:firstLineChars="200"/>
        <w:rPr>
          <w:rFonts w:hint="default" w:ascii="Times New Roman" w:hAnsi="Times New Roman" w:eastAsia="黑体" w:cs="Times New Roman"/>
          <w:sz w:val="28"/>
          <w:szCs w:val="28"/>
          <w:lang w:val="en-US" w:eastAsia="zh-CN"/>
        </w:rPr>
      </w:pPr>
      <w:r>
        <w:rPr>
          <w:rFonts w:hint="default" w:ascii="Times New Roman" w:hAnsi="Times New Roman" w:cs="Times New Roman"/>
          <w:lang w:val="en-US" w:eastAsia="zh-CN"/>
        </w:rPr>
        <w:t xml:space="preserve">    </w:t>
      </w:r>
      <w:r>
        <w:rPr>
          <w:rFonts w:hint="default" w:ascii="Times New Roman" w:hAnsi="Times New Roman" w:eastAsia="仿宋_GB2312" w:cs="Times New Roman"/>
          <w:sz w:val="28"/>
          <w:szCs w:val="28"/>
          <w:lang w:val="en-US" w:eastAsia="zh-CN"/>
        </w:rPr>
        <w:t>本单位为二级预算单位</w:t>
      </w:r>
    </w:p>
    <w:p>
      <w:pPr>
        <w:pStyle w:val="2"/>
        <w:numPr>
          <w:ilvl w:val="0"/>
          <w:numId w:val="0"/>
        </w:numPr>
        <w:rPr>
          <w:rFonts w:hint="default" w:ascii="Times New Roman" w:hAnsi="Times New Roman" w:eastAsia="黑体" w:cs="Times New Roman"/>
          <w:lang w:val="en-US" w:eastAsia="zh-CN"/>
        </w:rPr>
      </w:pPr>
    </w:p>
    <w:p>
      <w:pPr>
        <w:numPr>
          <w:ilvl w:val="0"/>
          <w:numId w:val="2"/>
        </w:numPr>
        <w:spacing w:line="580" w:lineRule="exact"/>
        <w:ind w:firstLine="640"/>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项目支出绩效自评表</w:t>
      </w:r>
    </w:p>
    <w:p>
      <w:pPr>
        <w:spacing w:line="520" w:lineRule="exact"/>
        <w:ind w:firstLine="840" w:firstLineChars="300"/>
        <w:rPr>
          <w:rFonts w:hint="default" w:ascii="Times New Roman" w:hAnsi="Times New Roman" w:eastAsia="仿宋_GB2312" w:cs="Times New Roman"/>
          <w:color w:val="000000"/>
          <w:sz w:val="28"/>
          <w:szCs w:val="28"/>
          <w:lang w:val="en-US" w:eastAsia="zh-CN"/>
        </w:rPr>
      </w:pPr>
      <w:r>
        <w:rPr>
          <w:rFonts w:hint="default" w:ascii="Times New Roman" w:hAnsi="Times New Roman" w:eastAsia="仿宋_GB2312" w:cs="Times New Roman"/>
          <w:color w:val="000000"/>
          <w:sz w:val="28"/>
          <w:szCs w:val="28"/>
          <w:lang w:val="en-US" w:eastAsia="zh-CN"/>
        </w:rPr>
        <w:t>详见附件：《项目支出绩效自评表》</w:t>
      </w:r>
    </w:p>
    <w:p>
      <w:pPr>
        <w:pStyle w:val="2"/>
        <w:numPr>
          <w:ilvl w:val="0"/>
          <w:numId w:val="0"/>
        </w:numPr>
        <w:rPr>
          <w:rFonts w:hint="default" w:ascii="Times New Roman" w:hAnsi="Times New Roman" w:eastAsia="黑体" w:cs="Times New Roman"/>
          <w:lang w:val="en-US" w:eastAsia="zh-CN"/>
        </w:rPr>
      </w:pPr>
    </w:p>
    <w:p>
      <w:pPr>
        <w:spacing w:line="580" w:lineRule="exact"/>
        <w:ind w:firstLine="800" w:firstLineChars="25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3</w:t>
    </w:r>
    <w:r>
      <w:fldChar w:fldCharType="end"/>
    </w:r>
  </w:p>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16</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15</w:t>
    </w:r>
    <w:r>
      <w:fldChar w:fldCharType="end"/>
    </w:r>
  </w:p>
  <w:p>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08684"/>
    <w:multiLevelType w:val="singleLevel"/>
    <w:tmpl w:val="03D08684"/>
    <w:lvl w:ilvl="0" w:tentative="0">
      <w:start w:val="3"/>
      <w:numFmt w:val="chineseCounting"/>
      <w:suff w:val="nothing"/>
      <w:lvlText w:val="（%1）"/>
      <w:lvlJc w:val="left"/>
      <w:rPr>
        <w:rFonts w:hint="eastAsia"/>
      </w:rPr>
    </w:lvl>
  </w:abstractNum>
  <w:abstractNum w:abstractNumId="1">
    <w:nsid w:val="31CC9BE0"/>
    <w:multiLevelType w:val="singleLevel"/>
    <w:tmpl w:val="31CC9BE0"/>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1224F7"/>
    <w:rsid w:val="02407749"/>
    <w:rsid w:val="02A36315"/>
    <w:rsid w:val="02F120AB"/>
    <w:rsid w:val="032B5196"/>
    <w:rsid w:val="038421A0"/>
    <w:rsid w:val="04C3537C"/>
    <w:rsid w:val="05B85405"/>
    <w:rsid w:val="05BC3781"/>
    <w:rsid w:val="077D3D48"/>
    <w:rsid w:val="07835162"/>
    <w:rsid w:val="079004AC"/>
    <w:rsid w:val="07B76010"/>
    <w:rsid w:val="0857790D"/>
    <w:rsid w:val="086C7A9E"/>
    <w:rsid w:val="090833E6"/>
    <w:rsid w:val="0A1A15FD"/>
    <w:rsid w:val="0AB90AA7"/>
    <w:rsid w:val="0B240238"/>
    <w:rsid w:val="0B847585"/>
    <w:rsid w:val="0BA148CA"/>
    <w:rsid w:val="0C1165C4"/>
    <w:rsid w:val="0D6D544B"/>
    <w:rsid w:val="0DD136FE"/>
    <w:rsid w:val="0ECE26D8"/>
    <w:rsid w:val="0F697EA5"/>
    <w:rsid w:val="0F8E2C57"/>
    <w:rsid w:val="1059665E"/>
    <w:rsid w:val="10AC13BA"/>
    <w:rsid w:val="10EF7FC3"/>
    <w:rsid w:val="11980797"/>
    <w:rsid w:val="12A84FCC"/>
    <w:rsid w:val="12B374AD"/>
    <w:rsid w:val="145A6C1B"/>
    <w:rsid w:val="14B73493"/>
    <w:rsid w:val="159565F0"/>
    <w:rsid w:val="167A2FF9"/>
    <w:rsid w:val="174E1AD4"/>
    <w:rsid w:val="17E05399"/>
    <w:rsid w:val="17FD680C"/>
    <w:rsid w:val="18581C69"/>
    <w:rsid w:val="186D28E5"/>
    <w:rsid w:val="1873395D"/>
    <w:rsid w:val="190A34D0"/>
    <w:rsid w:val="19E463E6"/>
    <w:rsid w:val="1AEC0734"/>
    <w:rsid w:val="1AFB1816"/>
    <w:rsid w:val="1B361E83"/>
    <w:rsid w:val="1C203C3A"/>
    <w:rsid w:val="1DEF20B0"/>
    <w:rsid w:val="1E6D522A"/>
    <w:rsid w:val="1EF62728"/>
    <w:rsid w:val="20AE230C"/>
    <w:rsid w:val="214243FA"/>
    <w:rsid w:val="21AB53DD"/>
    <w:rsid w:val="21AD613C"/>
    <w:rsid w:val="22467189"/>
    <w:rsid w:val="22D42E61"/>
    <w:rsid w:val="237037B9"/>
    <w:rsid w:val="23F23AC0"/>
    <w:rsid w:val="241A31E4"/>
    <w:rsid w:val="257A14F5"/>
    <w:rsid w:val="27196C26"/>
    <w:rsid w:val="29203111"/>
    <w:rsid w:val="295447DD"/>
    <w:rsid w:val="29A62E5A"/>
    <w:rsid w:val="29EF086F"/>
    <w:rsid w:val="2A014A0F"/>
    <w:rsid w:val="2AC7697B"/>
    <w:rsid w:val="2B365B16"/>
    <w:rsid w:val="2BB47316"/>
    <w:rsid w:val="2EFFE297"/>
    <w:rsid w:val="301437CA"/>
    <w:rsid w:val="306672A1"/>
    <w:rsid w:val="32791381"/>
    <w:rsid w:val="32F56E0A"/>
    <w:rsid w:val="349D1F0A"/>
    <w:rsid w:val="34A0504E"/>
    <w:rsid w:val="34DD0473"/>
    <w:rsid w:val="35405C17"/>
    <w:rsid w:val="3B75751D"/>
    <w:rsid w:val="3BDE04F7"/>
    <w:rsid w:val="3C181CA7"/>
    <w:rsid w:val="3C414A0A"/>
    <w:rsid w:val="3C684897"/>
    <w:rsid w:val="3ED668FC"/>
    <w:rsid w:val="40033BA4"/>
    <w:rsid w:val="404B38EF"/>
    <w:rsid w:val="41C6204F"/>
    <w:rsid w:val="425F4FAE"/>
    <w:rsid w:val="433E495C"/>
    <w:rsid w:val="459D48C8"/>
    <w:rsid w:val="481348DD"/>
    <w:rsid w:val="489F2FD7"/>
    <w:rsid w:val="48C904C3"/>
    <w:rsid w:val="4AC27CB3"/>
    <w:rsid w:val="4BF72BEF"/>
    <w:rsid w:val="4EA3429B"/>
    <w:rsid w:val="4FA90297"/>
    <w:rsid w:val="4FAC3949"/>
    <w:rsid w:val="4FC41A43"/>
    <w:rsid w:val="503307E2"/>
    <w:rsid w:val="512F1209"/>
    <w:rsid w:val="51DB3C59"/>
    <w:rsid w:val="52825DAB"/>
    <w:rsid w:val="543756CF"/>
    <w:rsid w:val="550C0952"/>
    <w:rsid w:val="55762E42"/>
    <w:rsid w:val="56883E7A"/>
    <w:rsid w:val="56F41D9D"/>
    <w:rsid w:val="57822BC4"/>
    <w:rsid w:val="57A7B272"/>
    <w:rsid w:val="58470068"/>
    <w:rsid w:val="58747CAC"/>
    <w:rsid w:val="596D1D58"/>
    <w:rsid w:val="59732CE5"/>
    <w:rsid w:val="5A1720F9"/>
    <w:rsid w:val="5A2D483E"/>
    <w:rsid w:val="5A736DEC"/>
    <w:rsid w:val="5B524AEA"/>
    <w:rsid w:val="5B9C37C2"/>
    <w:rsid w:val="5BA7C654"/>
    <w:rsid w:val="5BEA2417"/>
    <w:rsid w:val="5ECF7726"/>
    <w:rsid w:val="5FB17FF3"/>
    <w:rsid w:val="60023A58"/>
    <w:rsid w:val="60A54109"/>
    <w:rsid w:val="61D01CDF"/>
    <w:rsid w:val="62BE73A7"/>
    <w:rsid w:val="62CE5AE7"/>
    <w:rsid w:val="64C0607C"/>
    <w:rsid w:val="65756C86"/>
    <w:rsid w:val="65A55113"/>
    <w:rsid w:val="65D66B3C"/>
    <w:rsid w:val="66714F5B"/>
    <w:rsid w:val="672370CA"/>
    <w:rsid w:val="674D385B"/>
    <w:rsid w:val="676F09E1"/>
    <w:rsid w:val="69F45872"/>
    <w:rsid w:val="6D1E178A"/>
    <w:rsid w:val="6D354C14"/>
    <w:rsid w:val="6D567346"/>
    <w:rsid w:val="6EC52A11"/>
    <w:rsid w:val="6F043301"/>
    <w:rsid w:val="6F2E6C53"/>
    <w:rsid w:val="71793A80"/>
    <w:rsid w:val="718A0555"/>
    <w:rsid w:val="7357290B"/>
    <w:rsid w:val="7885159A"/>
    <w:rsid w:val="78DE3A78"/>
    <w:rsid w:val="798524E4"/>
    <w:rsid w:val="7A7F1C49"/>
    <w:rsid w:val="7B5B7AE6"/>
    <w:rsid w:val="7B7B6628"/>
    <w:rsid w:val="7B8D7504"/>
    <w:rsid w:val="7BA7071E"/>
    <w:rsid w:val="7BA70F26"/>
    <w:rsid w:val="7BDF6DA8"/>
    <w:rsid w:val="7BDF7589"/>
    <w:rsid w:val="7C0F0A85"/>
    <w:rsid w:val="7C7EDC1A"/>
    <w:rsid w:val="7C9E037F"/>
    <w:rsid w:val="7CCED98D"/>
    <w:rsid w:val="7D08410F"/>
    <w:rsid w:val="7D2759BE"/>
    <w:rsid w:val="7D4379BF"/>
    <w:rsid w:val="7D924D6E"/>
    <w:rsid w:val="7DB96DED"/>
    <w:rsid w:val="7DD3AD81"/>
    <w:rsid w:val="7E340632"/>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0">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1">
    <w:name w:val="Strong"/>
    <w:qFormat/>
    <w:uiPriority w:val="0"/>
    <w:rPr>
      <w:b/>
    </w:rPr>
  </w:style>
  <w:style w:type="character" w:styleId="12">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Pt>
            <c:idx val="1"/>
            <c:bubble3D val="0"/>
          </c:dPt>
          <c:dPt>
            <c:idx val="2"/>
            <c:bubble3D val="0"/>
          </c:dPt>
          <c:dPt>
            <c:idx val="3"/>
            <c:bubble3D val="0"/>
          </c:dPt>
          <c:dPt>
            <c:idx val="4"/>
            <c:bubble3D val="0"/>
          </c:dPt>
          <c:dPt>
            <c:idx val="5"/>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Sheet1!$A$2:$A$7</c:f>
              <c:strCache>
                <c:ptCount val="6"/>
                <c:pt idx="0">
                  <c:v>财政拨款收入</c:v>
                </c:pt>
                <c:pt idx="1">
                  <c:v>上级补助收入</c:v>
                </c:pt>
                <c:pt idx="2">
                  <c:v>事业收入</c:v>
                </c:pt>
                <c:pt idx="3">
                  <c:v>经营收入</c:v>
                </c:pt>
                <c:pt idx="4">
                  <c:v>附属单位上缴</c:v>
                </c:pt>
                <c:pt idx="5">
                  <c:v>其他收入</c:v>
                </c:pt>
              </c:strCache>
            </c:strRef>
          </c:cat>
          <c:val>
            <c:numRef>
              <c:f>Sheet1!$B$2:$B$7</c:f>
              <c:numCache>
                <c:formatCode>General</c:formatCode>
                <c:ptCount val="6"/>
                <c:pt idx="0">
                  <c:v>3156.47</c:v>
                </c:pt>
                <c:pt idx="1">
                  <c:v>0</c:v>
                </c:pt>
                <c:pt idx="2">
                  <c:v>0</c:v>
                </c:pt>
                <c:pt idx="3">
                  <c:v>0</c:v>
                </c:pt>
                <c:pt idx="4">
                  <c:v>0</c:v>
                </c:pt>
                <c:pt idx="5">
                  <c:v>10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Pt>
            <c:idx val="2"/>
            <c:bubble3D val="0"/>
            <c:spPr>
              <a:solidFill>
                <a:srgbClr val="9BBB59"/>
              </a:solidFill>
              <a:ln w="19050">
                <a:solidFill>
                  <a:srgbClr val="FFFFFF"/>
                </a:solidFill>
              </a:ln>
              <a:effectLst/>
            </c:spPr>
          </c:dPt>
          <c:dPt>
            <c:idx val="3"/>
            <c:bubble3D val="0"/>
            <c:spPr>
              <a:solidFill>
                <a:srgbClr val="8064A2"/>
              </a:solidFill>
              <a:ln w="19050">
                <a:solidFill>
                  <a:srgbClr val="FFFFFF"/>
                </a:solidFill>
              </a:ln>
              <a:effectLst/>
            </c:spPr>
          </c:dPt>
          <c:dPt>
            <c:idx val="4"/>
            <c:bubble3D val="0"/>
            <c:spPr>
              <a:solidFill>
                <a:srgbClr val="4BACC6"/>
              </a:solidFill>
              <a:ln w="19050">
                <a:solidFill>
                  <a:srgbClr val="FFFFFF"/>
                </a:solidFill>
              </a:ln>
              <a:effectLst/>
            </c:spPr>
          </c:dPt>
          <c:dLbls>
            <c:dLbl>
              <c:idx val="2"/>
              <c:layout>
                <c:manualLayout>
                  <c:x val="-0.03900372940115"/>
                  <c:y val="0.0328271436107878"/>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0.0389887693586102"/>
                  <c:y val="0.0105112295100623"/>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f>Sheet0!$A$2:$A$6</c:f>
              <c:strCache>
                <c:ptCount val="5"/>
                <c:pt idx="0">
                  <c:v>基本支出</c:v>
                </c:pt>
                <c:pt idx="1">
                  <c:v>项目支出</c:v>
                </c:pt>
                <c:pt idx="2">
                  <c:v>上缴上级支出</c:v>
                </c:pt>
                <c:pt idx="3">
                  <c:v>经营支出</c:v>
                </c:pt>
                <c:pt idx="4">
                  <c:v>对附属单位补助支出</c:v>
                </c:pt>
              </c:strCache>
            </c:strRef>
          </c:cat>
          <c:val>
            <c:numRef>
              <c:f>Sheet0!$B$2:$B$6</c:f>
              <c:numCache>
                <c:formatCode>General</c:formatCode>
                <c:ptCount val="5"/>
                <c:pt idx="0">
                  <c:v>2137.89</c:v>
                </c:pt>
                <c:pt idx="1">
                  <c:v>1023.41</c:v>
                </c:pt>
                <c:pt idx="2">
                  <c:v>0</c:v>
                </c:pt>
                <c:pt idx="3">
                  <c:v>0</c:v>
                </c:pt>
                <c:pt idx="4">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4"/>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3958</Words>
  <Characters>6108</Characters>
  <Lines>47</Lines>
  <Paragraphs>13</Paragraphs>
  <TotalTime>33</TotalTime>
  <ScaleCrop>false</ScaleCrop>
  <LinksUpToDate>false</LinksUpToDate>
  <CharactersWithSpaces>6191</CharactersWithSpaces>
  <Application>WPS Office_10.8.2.6726_F1E327BC-269C-435d-A152-05C5408002CA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caiwu</cp:lastModifiedBy>
  <cp:lastPrinted>2020-08-07T11:39:00Z</cp:lastPrinted>
  <dcterms:modified xsi:type="dcterms:W3CDTF">2026-08-20T02:48:13Z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2052-10.8.2.6726</vt:lpwstr>
  </property>
  <property fmtid="{D5CDD505-2E9C-101B-9397-08002B2CF9AE}" pid="3" name="ICV">
    <vt:lpwstr>435078ACFECC4A5A8A519EF4C3681114_13</vt:lpwstr>
  </property>
  <property fmtid="{D5CDD505-2E9C-101B-9397-08002B2CF9AE}" pid="4" name="KSOTemplateDocerSaveRecord">
    <vt:lpwstr>eyJoZGlkIjoiYjNlN2I2OGQxOGI1NmIxMWI3ZTg2MzgyOGIwNzE1YjAiLCJ1c2VySWQiOiI2NzgwOTI3MjgifQ==</vt:lpwstr>
  </property>
</Properties>
</file>