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北京市门头沟区教育委员会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2023年，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坚持以习近平新时代中国特色社会主义思想为指导，全面贯彻落实党的二十大精神，深入贯彻习近平总书记考察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北京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重要讲话精神，按照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区委区政府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决策部署，认真落实《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门头沟区202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年政务公开工作要点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》要求，不断提高政府信息公开的质量和实效，为全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高质量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转型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发展营造良好外部环境提供保障。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30" w:firstLineChars="196"/>
        <w:jc w:val="both"/>
        <w:textAlignment w:val="auto"/>
        <w:rPr>
          <w:rFonts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  <w:t>（一）组织领导情况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根据政务公开工作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部署，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信息公开具体日常工作由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办公室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主要负责，形成一把手亲自抓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分管领导具体抓的工作格局。同时，细化目标责任，精心组织实施，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“规范、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清晰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便利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、实用”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原则，及时在政府网站上公布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政务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推进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信息公开工作制度化、规范化。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30" w:firstLineChars="196"/>
        <w:jc w:val="both"/>
        <w:textAlignment w:val="auto"/>
        <w:rPr>
          <w:rFonts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  <w:t>（二）主动公开情况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委通过门头沟区政府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门户网站主动公开政府信息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133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条，按规定公开年度预、决算信息，开设专栏集中公开行政许可等信息，及时更新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政务公开清单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门头沟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教育”微信公众号全年编辑推送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00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余条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，关注用户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超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万人次。在做好教育政策发布基础上，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结合群众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关注热点，围绕教育改革发展重要举措，策划推出一系列高质量宣传内容，营造良好舆论氛围。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30" w:firstLineChars="196"/>
        <w:jc w:val="both"/>
        <w:textAlignment w:val="auto"/>
        <w:rPr>
          <w:rFonts w:hint="eastAsia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  <w:t>（三）依申请公开情况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畅通依申请公开受理渠道，充分利用信函、邮件等方式接收申请，规范受理、审查、办理、答复等环节的工作程序。注重答复质量，强化内部协调沟通，完善审查机制，做到答复内容合法有据。2023年共受理信息公开申请4例，均为自然人申请，已依法依规及时办理，未收取任何费用，未出现行政复议、诉讼和举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30" w:firstLineChars="196"/>
        <w:jc w:val="both"/>
        <w:textAlignment w:val="auto"/>
        <w:rPr>
          <w:rFonts w:hint="eastAsia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  <w:t>（四）政府信息管理情况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按照“谁起草、谁负责”的原则，严格落实“先审查、后公开”的信息发布机制，加强信息日常监测，切实把好政府信息政治关、政策关和文字关。办公室落实专人负责政府信息公开工作，对拟公开的政府信息内容进行规范性审核与保密审查，经主管领导或主要领导审核签发，确保涉密信息不公开、公开信息不涉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30" w:firstLineChars="196"/>
        <w:jc w:val="both"/>
        <w:textAlignment w:val="auto"/>
        <w:rPr>
          <w:rFonts w:hint="default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  <w:t>（五）政府信息公开平台建设情况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根据区政务服务局网站排查问题反馈清单，对错敏字、敏感词等问题逐一进行整改。做好政府信息主动公开工作，公开内容更加标准、规范，主动公开内容的深度和广度不断提升。在政府网站上调整更新“执法信息公示”栏目，迁移完善历史数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30" w:firstLineChars="196"/>
        <w:jc w:val="both"/>
        <w:textAlignment w:val="auto"/>
        <w:rPr>
          <w:rFonts w:hint="default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微软雅黑" w:eastAsia="楷体_GB2312" w:cs="楷体_GB2312"/>
          <w:b/>
          <w:color w:val="000000"/>
          <w:kern w:val="2"/>
          <w:sz w:val="32"/>
          <w:szCs w:val="32"/>
          <w:lang w:val="en-US" w:eastAsia="zh-CN" w:bidi="ar"/>
        </w:rPr>
        <w:t>（六）监督保障情况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完善政府信息公开的审核、发布、培训等工作机制，督促有关科室做好职责范围内的政务公开工作，形成职责清晰、协同配合的工作机制。严格落实保密责任，做好保密审查，严把信息安全关。按照政府信息公开的流程和期限要求，确保公开的信息科学、准确、真实、有效。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2717.920754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2023年，我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公开工作取得了一定成效，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与人民群众的期盼相比还存在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一些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差距，主要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包括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：政策解读力度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一步加大，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行政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规范性文件解读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的及时性有待增强；重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点领域信息公开的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质量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还需提高，广度有待进一步拓宽，深度有待进一步加强。</w:t>
      </w:r>
    </w:p>
    <w:p>
      <w:pPr>
        <w:widowControl/>
        <w:spacing w:line="560" w:lineRule="exact"/>
        <w:ind w:firstLine="672" w:firstLineChars="200"/>
        <w:jc w:val="both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下一步，我委将继续按照区委区政府决策部署和区政务服务局相关要求，扎实开展政府信息公开工作，运用图表、视频等喜闻乐见的形式，通过政府门户网站、“门头沟教育”微信公众号、新闻媒体等渠道及时公布，持续加强政策文件的规范解读和答疑，切实提升解读质量和实际效果。丰富政府信息公开内容，加大主动公开力度，确保各项公开条目落实到位，做到应公开尽公开，保障群众知情权，提高政府公信力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根据《政府信息公开信息处理费管理办法》（国办函〔2020〕109号），202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年度我委收取信息处理费情况为：发出收费通知的件数为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件，总金额为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元，实际收取的总金额为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/>
        <w:jc w:val="both"/>
        <w:textAlignment w:val="auto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北京市门头沟区人民政府网站网址为</w:t>
      </w:r>
      <w:r>
        <w:rPr>
          <w:rFonts w:hint="eastAsia" w:ascii="仿宋" w:hAnsi="仿宋" w:eastAsia="仿宋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https://www.bjmtg.gov.cn/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，如需了解更多政府信息，请登录查询。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sectPr>
      <w:type w:val="continuous"/>
      <w:pgSz w:w="11910" w:h="16840"/>
      <w:pgMar w:top="1440" w:right="1800" w:bottom="1440" w:left="1800" w:header="720" w:footer="720" w:gutter="0"/>
      <w:cols w:equalWidth="0" w:num="1">
        <w:col w:w="967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D074C2-4BAB-445E-8E88-C06537671D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1B8572-4394-4270-B258-BCBBF003F59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463CEC6-0249-4BB9-BC53-7573FF564E6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E2AE821D-017A-49B3-8F89-634BC903DB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07D7EB8-0CA7-4A0E-A4A0-F5DA30FC08D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EDF30025-AA4A-4897-AE2E-34487686F12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FA2AE0BF-4CD5-4E1F-940A-473E9DF0A2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F3181553-210C-40A5-A199-DD9F1002570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00000000"/>
    <w:rsid w:val="0A5572AD"/>
    <w:rsid w:val="0AE12473"/>
    <w:rsid w:val="0B154457"/>
    <w:rsid w:val="22C745EF"/>
    <w:rsid w:val="264F4FDA"/>
    <w:rsid w:val="2EFA11DB"/>
    <w:rsid w:val="312B595E"/>
    <w:rsid w:val="372D200F"/>
    <w:rsid w:val="3E8C562D"/>
    <w:rsid w:val="46810624"/>
    <w:rsid w:val="51850890"/>
    <w:rsid w:val="771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Mint1398171869</cp:lastModifiedBy>
  <dcterms:modified xsi:type="dcterms:W3CDTF">2024-01-23T08:26:08Z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F3F216BA990746A89360B42B718D8472_13</vt:lpwstr>
  </property>
</Properties>
</file>