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  <w:vertAlign w:val="baseli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</w:rPr>
        <w:t>年度第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</w:rPr>
        <w:t>批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  <w:lang w:eastAsia="zh-CN"/>
        </w:rPr>
        <w:t>创新型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</w:rPr>
        <w:t>中小企业名单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北京英特威迅建筑装饰工程有限公司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北京知行捷云科技有限公司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泰格捷通（北京）医药科技有限公司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北京五维康科技有限公司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北京淇骏科技有限公司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北京嘉浩通达科技有限公司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21D4F"/>
    <w:rsid w:val="0A051C23"/>
    <w:rsid w:val="238A4457"/>
    <w:rsid w:val="69840B56"/>
    <w:rsid w:val="7A12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2024-05-20T02:49:00Z</dcterms:created>
  <dc:creator>bgs</dc:creator>
  <cp:lastModifiedBy>bgs</cp:lastModifiedBy>
  <dcterms:modified xsi:type="dcterms:W3CDTF">2024-05-20T02:50:18Z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383D0D68A4704FDE9EC764423DAC08FF</vt:lpwstr>
  </property>
</Properties>
</file>