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235D0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/>
        <w:spacing w:before="0" w:beforeAutospacing="0" w:after="0" w:afterAutospacing="0" w:line="368" w:lineRule="atLeast"/>
        <w:ind w:left="0" w:right="0" w:firstLine="0"/>
        <w:jc w:val="both"/>
        <w:rPr>
          <w:rFonts w:hint="eastAsia" w:ascii="黑体" w:hAnsi="黑体" w:eastAsia="黑体" w:cs="黑体"/>
          <w:b w:val="0"/>
          <w:i w:val="0"/>
          <w:caps w:val="0"/>
          <w:spacing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i w:val="0"/>
          <w:caps w:val="0"/>
          <w:spacing w:val="0"/>
          <w:sz w:val="32"/>
          <w:szCs w:val="32"/>
          <w:shd w:val="clear" w:color="auto" w:fill="FFFFFF"/>
        </w:rPr>
        <w:t>附件</w:t>
      </w:r>
      <w:r>
        <w:rPr>
          <w:rFonts w:hint="eastAsia" w:ascii="黑体" w:hAnsi="黑体" w:eastAsia="黑体" w:cs="黑体"/>
          <w:b w:val="0"/>
          <w:i w:val="0"/>
          <w:caps w:val="0"/>
          <w:spacing w:val="0"/>
          <w:sz w:val="32"/>
          <w:szCs w:val="32"/>
          <w:shd w:val="clear" w:color="auto" w:fill="FFFFFF"/>
          <w:lang w:val="en-US" w:eastAsia="zh-CN"/>
        </w:rPr>
        <w:t>4</w:t>
      </w:r>
      <w:bookmarkStart w:id="0" w:name="_GoBack"/>
      <w:bookmarkEnd w:id="0"/>
    </w:p>
    <w:p w14:paraId="4C650EC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/>
        <w:spacing w:before="0" w:beforeAutospacing="0" w:after="0" w:afterAutospacing="0" w:line="368" w:lineRule="atLeast"/>
        <w:ind w:left="0" w:right="0" w:firstLine="0"/>
        <w:jc w:val="center"/>
        <w:rPr>
          <w:rFonts w:hint="eastAsia" w:ascii="黑体" w:hAnsi="黑体" w:eastAsia="黑体" w:cs="黑体"/>
          <w:b/>
          <w:i w:val="0"/>
          <w:caps w:val="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b/>
          <w:i w:val="0"/>
          <w:caps w:val="0"/>
          <w:spacing w:val="0"/>
          <w:sz w:val="32"/>
          <w:szCs w:val="32"/>
          <w:shd w:val="clear" w:color="auto" w:fill="FFFFFF"/>
          <w:lang w:val="en-US" w:eastAsia="zh-CN"/>
        </w:rPr>
        <w:t>常见问题解答</w:t>
      </w:r>
    </w:p>
    <w:p w14:paraId="11F55A01">
      <w:pPr>
        <w:pStyle w:val="2"/>
        <w:keepNext w:val="0"/>
        <w:keepLines w:val="0"/>
        <w:pageBreakBefore w:val="0"/>
        <w:widowControl w:val="0"/>
        <w:shd w:val="clear"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3" w:firstLineChars="200"/>
        <w:textAlignment w:val="auto"/>
        <w:rPr>
          <w:rFonts w:hint="default" w:ascii="仿宋_GB2312" w:hAnsi="仿宋_GB2312" w:eastAsia="仿宋_GB2312" w:cs="仿宋_GB2312"/>
          <w:b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lang w:val="en-US" w:eastAsia="zh-CN"/>
        </w:rPr>
        <w:t>一、已获得科技和创新型中小企业称号，截至上年末从事特定细分市场时间达3年以上，如何理解？</w:t>
      </w:r>
    </w:p>
    <w:p w14:paraId="71B66090">
      <w:pPr>
        <w:pStyle w:val="2"/>
        <w:keepNext w:val="0"/>
        <w:keepLines w:val="0"/>
        <w:pageBreakBefore w:val="0"/>
        <w:widowControl w:val="0"/>
        <w:shd w:val="clear"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答：申请企业需为有效期内的创新型中小企业或科技型中小企业，两者满足其一。</w:t>
      </w:r>
    </w:p>
    <w:p w14:paraId="7F450061">
      <w:pPr>
        <w:pStyle w:val="2"/>
        <w:keepNext w:val="0"/>
        <w:keepLines w:val="0"/>
        <w:pageBreakBefore w:val="0"/>
        <w:widowControl w:val="0"/>
        <w:shd w:val="clear"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细分市场判断的时间是截至上年末（即2025年末），3年是从事所申报的细分市场的时间，不是简单的企业成立时间。</w:t>
      </w:r>
    </w:p>
    <w:p w14:paraId="7F7F8812">
      <w:pPr>
        <w:pStyle w:val="4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firstLine="643" w:firstLineChars="200"/>
        <w:jc w:val="both"/>
        <w:textAlignment w:val="baseline"/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lang w:val="en-US" w:eastAsia="zh-CN" w:bidi="ar-SA"/>
        </w:rPr>
        <w:t>二、申报期间未被列入经营异常名录或严重失信主体名单，提供的产品(服务)不属于国家禁止、限制或淘汰类，符合北京产业发展导向，同时近三年未发生较大生产安全事故、重大网络和数据安全事件、重大环境违法行为、严重质量问题、严重违反相关行业管理规定。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lang w:val="en-US" w:eastAsia="zh-CN"/>
        </w:rPr>
        <w:t>如何理解？</w:t>
      </w:r>
    </w:p>
    <w:p w14:paraId="7F1E7D4B">
      <w:pPr>
        <w:pStyle w:val="3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-SA"/>
        </w:rPr>
        <w:t>答：1.所称“经营异常”以国家企业信用信息公示系统（www.gsxt.gov.cn）查询结果或省级中小企业主管部门实地核查结果为准。</w:t>
      </w:r>
    </w:p>
    <w:p w14:paraId="1A30C049">
      <w:pPr>
        <w:pStyle w:val="3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-SA"/>
        </w:rPr>
        <w:t>2.所称“严重失信主体名单”以信用中国（www.creditchina.gov.cn）查询结果或有关政府部门出具的失信主体名单为准。</w:t>
      </w:r>
    </w:p>
    <w:p w14:paraId="0EB53C7E">
      <w:pPr>
        <w:pStyle w:val="2"/>
        <w:keepNext w:val="0"/>
        <w:keepLines w:val="0"/>
        <w:pageBreakBefore w:val="0"/>
        <w:widowControl w:val="0"/>
        <w:shd w:val="clear"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3.所称“较大生产安全事故、重大网络和数据安全事件、重大环境违法行为、严重质量问题、严重违反相关行业管理规定”包含更加严重的情形，以生产安全、网络安全、数据安全、环境保护、产品质量等监管部门以及相关行业主管部门依据《中华人民共和国安全生产法》《生产安全事故报告和调查处理条例》《中华人民共和国网络安全法》《国家网络安全事件报告管理办法》《中华人民共和国数据安全法》《工业和信息化领域数据安全事件应急预案》《中华人民共和国环境保护法》《中华人民共和国产品质量法》等法律法规，最高人民法院、最高人民检察院司法解释，部门规章以及地方法规等判定结果为准。</w:t>
      </w:r>
    </w:p>
    <w:p w14:paraId="5313093D">
      <w:pPr>
        <w:pStyle w:val="2"/>
        <w:keepNext w:val="0"/>
        <w:keepLines w:val="0"/>
        <w:pageBreakBefore w:val="0"/>
        <w:widowControl w:val="0"/>
        <w:shd w:val="clear"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lang w:val="en-US" w:eastAsia="zh-CN"/>
        </w:rPr>
        <w:t>三、近两年研发费用均不低于100万元，且每年占营业收入比重均不低于3%。如何理解？</w:t>
      </w:r>
    </w:p>
    <w:p w14:paraId="4B2B752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-SA"/>
        </w:rPr>
        <w:t>答：以2026年申报企业为例，一是要求企业2024年、2025年的研发费用都不低于100万元。</w:t>
      </w:r>
    </w:p>
    <w:p w14:paraId="2A5382C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-SA"/>
        </w:rPr>
        <w:t>二是要求企业2024年、2025年研发费用占营业收入比重都不低于3%。</w:t>
      </w:r>
    </w:p>
    <w:p w14:paraId="0A1E491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-SA"/>
        </w:rPr>
        <w:t>研发费用占营业收入比重的计算公式是：研发费用占营业收入比重=企业年度研发费用总额/企业年度营业收入总额。</w:t>
      </w:r>
    </w:p>
    <w:p w14:paraId="4AC21217">
      <w:pPr>
        <w:pStyle w:val="2"/>
        <w:keepNext w:val="0"/>
        <w:keepLines w:val="0"/>
        <w:pageBreakBefore w:val="0"/>
        <w:widowControl w:val="0"/>
        <w:shd w:val="clear"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lang w:val="en-US" w:eastAsia="zh-CN" w:bidi="ar-SA"/>
        </w:rPr>
        <w:t>四、拥有1项以上与主导产品相关的Ι类知识产权，且实际应用并已产生经济效益。对近三年获得省部级以上科学技术奖励（排名前三）或拥有经认定的省部级以上研发机构的企业，不考察本项指标。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lang w:val="en-US" w:eastAsia="zh-CN"/>
        </w:rPr>
        <w:t>如何理解？</w:t>
      </w:r>
    </w:p>
    <w:p w14:paraId="51DBA0A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-SA"/>
        </w:rPr>
        <w:t>答：知识产权指标：一是1项以上。二是必须是I类知识产权，包括发明专利（含国防专利）、植物新品种、国家级农作物品种、国家新药、国家一级中药保护品种、集成电路布图设计专有权。三是不包含转入的I类知识产权，且申请企业应在权利人中排名前三。四是实际应用且产生经济效益，如果企业的专利与企业的主导产品没有关联，也是不符合的。目的是希望企业的科技创新引领产业创新， 严防为申报而购买专利。</w:t>
      </w:r>
    </w:p>
    <w:p w14:paraId="22E3A86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-SA"/>
        </w:rPr>
        <w:t>近三年获得省部级以上科学技术奖励（排名前三）：省级科技奖励指省部级政府直接授予的科学技术奖，不包括由社会力量（协会）设立的科技奖励。省级科技奖励包括各省、自治区、直辖 市科学技术奖的一、二、三等奖。国家级科技奖励包括国家科学技术进步奖、国家自然科学奖、国家技术发明奖，以及国防科技奖。</w:t>
      </w:r>
    </w:p>
    <w:p w14:paraId="32B28F3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-SA"/>
        </w:rPr>
        <w:t>经认定的“省部级以上研发机构”包括省部级以上政府部门认定的技术研究院、技术工程中心、设计中心、重点实验室、企业技术中心等各类研发机构。根据最新的《北京市企业技术中心梯度培育管理办法》（试行），达标级、引领级被视为“经认定的省部级研发机构”，不包含预备级。</w:t>
      </w:r>
    </w:p>
    <w:p w14:paraId="4042F025">
      <w:pPr>
        <w:pStyle w:val="2"/>
        <w:keepNext w:val="0"/>
        <w:keepLines w:val="0"/>
        <w:pageBreakBefore w:val="0"/>
        <w:widowControl w:val="0"/>
        <w:shd w:val="clear"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lang w:val="en-US" w:eastAsia="zh-CN"/>
        </w:rPr>
        <w:t>五、中小企业专精特新发展评价是如何测算的？其中多个指标涉及行业均值，怎么获取？</w:t>
      </w:r>
    </w:p>
    <w:p w14:paraId="5E9D5669">
      <w:pPr>
        <w:pStyle w:val="2"/>
        <w:keepNext w:val="0"/>
        <w:keepLines w:val="0"/>
        <w:pageBreakBefore w:val="0"/>
        <w:widowControl w:val="0"/>
        <w:shd w:val="clear"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答：行业均值使用全国专精特新中小企业的分行业均值，并且定期更新。为避免不良中介误导企业数据造假，具体测算公式和均值情况不对外。测算中所有企业均使用同一套测算公式，由培育平台进行自动测算，防止任何人为因素干扰。同时，将通过培育平台向企业反馈评价总得分及五个分维度的得分，以及得分最低的三个指标情况，助力企业走好专精特新发展道路。</w:t>
      </w:r>
    </w:p>
    <w:p w14:paraId="1E7D49F7">
      <w:pPr>
        <w:pStyle w:val="2"/>
        <w:keepNext w:val="0"/>
        <w:keepLines w:val="0"/>
        <w:pageBreakBefore w:val="0"/>
        <w:widowControl w:val="0"/>
        <w:shd w:val="clear"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lang w:val="en-US" w:eastAsia="zh-CN"/>
        </w:rPr>
        <w:t>六、企业是否可以随时、多次到平台上开展中小企业专精特新发展评价自测，及时了解企业是否符合申报条件？</w:t>
      </w:r>
    </w:p>
    <w:p w14:paraId="0810160E">
      <w:pPr>
        <w:pStyle w:val="2"/>
        <w:keepNext w:val="0"/>
        <w:keepLines w:val="0"/>
        <w:pageBreakBefore w:val="0"/>
        <w:widowControl w:val="0"/>
        <w:shd w:val="clear"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答：不可以。中小企业专精特新发展评价主要参考企业截至近三年的数据。在确定最终结果后，由培育平台将评价结果反馈至企业端后台。需要提醒的是，企业申请时应认真、仔细填写《专精特新中小企业申请书》，因企业自身数据填写错误所导致的评价结果不准确问题，由企业自行负责。</w:t>
      </w:r>
    </w:p>
    <w:p w14:paraId="1B70553C">
      <w:pPr>
        <w:pStyle w:val="2"/>
        <w:keepNext w:val="0"/>
        <w:keepLines w:val="0"/>
        <w:pageBreakBefore w:val="0"/>
        <w:widowControl w:val="0"/>
        <w:shd w:val="clear"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lang w:val="en-US" w:eastAsia="zh-CN"/>
        </w:rPr>
        <w:t>七、是不是所有企业都可以申报优质中小企业认定？</w:t>
      </w:r>
    </w:p>
    <w:p w14:paraId="3BEE0A41">
      <w:pPr>
        <w:pStyle w:val="2"/>
        <w:keepNext w:val="0"/>
        <w:keepLines w:val="0"/>
        <w:pageBreakBefore w:val="0"/>
        <w:widowControl w:val="0"/>
        <w:shd w:val="clear"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答：我们鼓励各类中小企业创新发展，所有在中华人民共和国境内依法设立，符合《中小企业划型标准规定》，不区分所有制，都可以申报。但是，作为优质中小企业还必须满足一些基本要求，比如：未被列入经营异常名录或严重失信主体名单，提供的产品（服务）不属于国家禁止、限制或淘汰类，符合北京市产业发展导向，同时近三年未发生较大生产安全事故、重大网络和数据安全事件、重大环境违法行为、严重质量问题、严重违反相关行业管理规定。同时，我们也会加强动态管理，如果发现已被认定的企业有严重违法违规行为或数据造假的，坚决取消认定。</w:t>
      </w:r>
    </w:p>
    <w:p w14:paraId="62ABA247">
      <w:pPr>
        <w:pStyle w:val="2"/>
        <w:keepNext w:val="0"/>
        <w:keepLines w:val="0"/>
        <w:pageBreakBefore w:val="0"/>
        <w:widowControl w:val="0"/>
        <w:shd w:val="clear"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lang w:val="en-US" w:eastAsia="zh-CN"/>
        </w:rPr>
        <w:t>八、获得专精特新中小企业资质后，对年度信息更新方面有什么要求？</w:t>
      </w:r>
    </w:p>
    <w:p w14:paraId="2EA508A3">
      <w:pPr>
        <w:pStyle w:val="2"/>
        <w:keepNext w:val="0"/>
        <w:keepLines w:val="0"/>
        <w:pageBreakBefore w:val="0"/>
        <w:widowControl w:val="0"/>
        <w:shd w:val="clear"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答：按照办法要求，优质中小企业应在每年5月31日前通过培育平台更新企业信息。在同一个有效期内，对首次未进行更新的企业，重点监测；对累计达两次未更新的企业，取消认定。</w:t>
      </w:r>
    </w:p>
    <w:p w14:paraId="45CA74C7">
      <w:pPr>
        <w:pStyle w:val="2"/>
        <w:keepNext w:val="0"/>
        <w:keepLines w:val="0"/>
        <w:pageBreakBefore w:val="0"/>
        <w:widowControl w:val="0"/>
        <w:shd w:val="clear"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lang w:val="en-US" w:eastAsia="zh-CN"/>
        </w:rPr>
        <w:t>九、获得专精特新中小企业资质后，企业发生简单更名、跨区域迁移了怎么办？</w:t>
      </w:r>
    </w:p>
    <w:p w14:paraId="0408B589">
      <w:pPr>
        <w:pStyle w:val="2"/>
        <w:keepNext w:val="0"/>
        <w:keepLines w:val="0"/>
        <w:pageBreakBefore w:val="0"/>
        <w:widowControl w:val="0"/>
        <w:shd w:val="clear"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答：有效期内的创新型中小企业、专精特新中小企业和专精特新“小巨人”企业，如发生简单更名，应在3个月内在培育平台上同步完成名称变更申请。如发生跨区域迁移，应在3个月内在培育平台上提交跨区域迁移申请，并与迁入地中小企业主管部门联系。需要提醒的是，简单更名是指企业因经营发展需要，仅在市场监管部门发生名称变更，不涉及与认定条件有关的重大变化。</w:t>
      </w:r>
    </w:p>
    <w:p w14:paraId="0E4F0F69">
      <w:pPr>
        <w:pStyle w:val="2"/>
        <w:keepNext w:val="0"/>
        <w:keepLines w:val="0"/>
        <w:pageBreakBefore w:val="0"/>
        <w:widowControl w:val="0"/>
        <w:shd w:val="clear"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line="560" w:lineRule="atLeas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lang w:val="en-US" w:eastAsia="zh-CN"/>
        </w:rPr>
        <w:t>十、有中介机构说申报专精特新中小企业必须做科技成果评价，有用吗？</w:t>
      </w:r>
    </w:p>
    <w:p w14:paraId="6B0F6C6F">
      <w:pPr>
        <w:pStyle w:val="2"/>
        <w:keepNext w:val="0"/>
        <w:keepLines w:val="0"/>
        <w:pageBreakBefore w:val="0"/>
        <w:widowControl w:val="0"/>
        <w:shd w:val="clear"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答：培育办法和认定通知中，均不涉及科技成果评价事项，也未将其列为专家审核时的依据材料。</w:t>
      </w:r>
    </w:p>
    <w:p w14:paraId="6650AA28">
      <w:pPr>
        <w:pStyle w:val="2"/>
        <w:keepNext w:val="0"/>
        <w:keepLines w:val="0"/>
        <w:pageBreakBefore w:val="0"/>
        <w:widowControl w:val="0"/>
        <w:shd w:val="clear"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</w:p>
    <w:p w14:paraId="6B55D62A">
      <w:pPr>
        <w:pStyle w:val="3"/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94CF4"/>
    <w:rsid w:val="0B003A2D"/>
    <w:rsid w:val="2BDD3BBC"/>
    <w:rsid w:val="2D6F3D99"/>
    <w:rsid w:val="33B759C2"/>
    <w:rsid w:val="394206EE"/>
    <w:rsid w:val="3EFB7F2A"/>
    <w:rsid w:val="4114428E"/>
    <w:rsid w:val="47194CF4"/>
    <w:rsid w:val="536656E1"/>
    <w:rsid w:val="55B13259"/>
    <w:rsid w:val="6C515AE7"/>
    <w:rsid w:val="716B1D16"/>
    <w:rsid w:val="75E719E7"/>
    <w:rsid w:val="ADFB6D6C"/>
    <w:rsid w:val="BE7ABE99"/>
    <w:rsid w:val="E9D8140A"/>
    <w:rsid w:val="F77D1832"/>
    <w:rsid w:val="FEEBEA16"/>
    <w:rsid w:val="FF2BF4EF"/>
    <w:rsid w:val="FFEDC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  <w:rPr>
      <w:rFonts w:ascii="Times New Roman" w:hAnsi="Times New Roman" w:eastAsia="宋体" w:cs="Times New Roman"/>
    </w:rPr>
  </w:style>
  <w:style w:type="paragraph" w:styleId="3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libri Light" w:hAnsi="Calibri Light"/>
      <w:b/>
      <w:bCs/>
      <w:szCs w:val="32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qFormat/>
    <w:uiPriority w:val="22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2375</Words>
  <Characters>2438</Characters>
  <Lines>0</Lines>
  <Paragraphs>0</Paragraphs>
  <TotalTime>3</TotalTime>
  <ScaleCrop>false</ScaleCrop>
  <LinksUpToDate>false</LinksUpToDate>
  <CharactersWithSpaces>2440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2026-03-26T00:54:00Z</dcterms:created>
  <dc:creator>爬树的鱼</dc:creator>
  <cp:lastModifiedBy>柒小喵</cp:lastModifiedBy>
  <cp:lastPrinted>2026-07-17T14:38:00Z</cp:lastPrinted>
  <dcterms:modified xsi:type="dcterms:W3CDTF">2026-07-24T05:53:39Z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F824B53AE60D6A87ECCD596AD5327C72_43</vt:lpwstr>
  </property>
  <property fmtid="{D5CDD505-2E9C-101B-9397-08002B2CF9AE}" pid="4" name="KSOTemplateDocerSaveRecord">
    <vt:lpwstr>eyJoZGlkIjoiNWJkYjdiNjIzYzcxOTJjNzRmMzI2ZDFkYWMxMjE3NTgiLCJ1c2VySWQiOiIxMTA2NjUwMiJ9</vt:lpwstr>
  </property>
</Properties>
</file>