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D2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32BC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 w14:paraId="5AB9CCBB">
      <w:pPr>
        <w:pStyle w:val="4"/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关于转发《北京市经济和信息化局关于开展2026年第二批专精特新中小企业资质申报工作的通知》</w:t>
      </w:r>
    </w:p>
    <w:p w14:paraId="4B86DBC1">
      <w:pPr>
        <w:pStyle w:val="4"/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2E0E8ADF">
      <w:pPr>
        <w:pStyle w:val="4"/>
        <w:keepNext w:val="0"/>
        <w:keepLines w:val="0"/>
        <w:widowControl/>
        <w:suppressLineNumbers w:val="0"/>
        <w:spacing w:before="0" w:beforeAutospacing="0" w:after="75" w:afterAutospacing="0" w:line="450" w:lineRule="atLeast"/>
        <w:ind w:left="0" w:right="0" w:firstLine="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各有关企业：</w:t>
      </w:r>
    </w:p>
    <w:p w14:paraId="3744A716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根据《优质中小企业梯度培育管理办法》(工信部企业〔2026〕2号)（下称《办法》）相关要求，按照北京市优质中小企业梯度培育工作安排，现组织开展2026年第二批专精特新中小企业资质申报工作，有关事项通知如下。</w:t>
      </w:r>
    </w:p>
    <w:p w14:paraId="1AA3AE48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一、申报主体及要求</w:t>
      </w:r>
    </w:p>
    <w:p w14:paraId="0D82FA60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1.应在北京市工商注册登记、具有独立法人资格；</w:t>
      </w:r>
    </w:p>
    <w:p w14:paraId="6FBB70F7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2.符合《中小企业划型标准规定》（工信部联企业〔2011〕300号）；</w:t>
      </w:r>
    </w:p>
    <w:p w14:paraId="59D23159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.遵守国家法律法规和行业规范，申报期间未被列入经营异常名录或严重失信主体名单，提供的产品(服务)不属于国家禁止、限制或淘汰类，符合北京市产业发展导向，同时近三年未发生较大生产安全事故、重大网络和数据安全事件、重大环境违法行为、严重质量问题、严重违反相关行业管理规定；</w:t>
      </w:r>
    </w:p>
    <w:p w14:paraId="71923490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4.满足专精特新中小企业认定标准（附件1）</w:t>
      </w:r>
    </w:p>
    <w:p w14:paraId="3674911C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5.企业需提供2023年、2024年和2025年三个会计年度的财务审计报告，均应在财政部注册会计师行业统一监管平台（http://acc.mof.gov.cn）完成报备，将该平台赋码的审计报告电子原件作为佐证材料上传。</w:t>
      </w:r>
    </w:p>
    <w:p w14:paraId="2B2B9C4F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请提醒会计师事务所将主营业务收入、主营业务成本两项指标纳入审计报告。</w:t>
      </w:r>
    </w:p>
    <w:p w14:paraId="06089598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6.专精特新中小企业认定标准中的“中小企业专精特新发展评价”得分主要参考企业截至上年度的近三年数据。优质中小企业梯度培育平台（http://zjtx.miit.gov.cn，以下简称“培育平台”）已新增“中小企业专精特新发展评价”功能。企业通过培育平台提交申报后，系统后台自动计算企业的专精特新发展评价得分。在主管部门确定最终结果后，由培育平台将评价结果反馈至企业端。</w:t>
      </w:r>
    </w:p>
    <w:p w14:paraId="3F1E0F2D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需要提醒的是，企业申请时应在培育平台认真、仔细填写《北京市专精特新中小企业申请书》，确保数据真实、准确。因自身数据填写错误所导致的评价结果不准确问题，由企业自行负责。</w:t>
      </w:r>
    </w:p>
    <w:p w14:paraId="4A4109B3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二、工作流程</w:t>
      </w:r>
    </w:p>
    <w:p w14:paraId="19379156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（一）申报方式</w:t>
      </w:r>
    </w:p>
    <w:p w14:paraId="3ACD42E1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专精特新中小企业申请采取线上填报与线下报送相结合的方式开展：</w:t>
      </w:r>
    </w:p>
    <w:p w14:paraId="449185A5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有效期内的科技型中小企业、创新型中小企业，应在2026年7月22日至8月31日期间，按照本通知列明的申报材料清单（附件2），登录优质中小企业梯度培育平台（http://zjtx.miit.gov.cn）如实填报并提交企业相关信息、上传对应佐证材料。培育平台开放时间为7月22日0:00-8月31日24:00。</w:t>
      </w:r>
    </w:p>
    <w:p w14:paraId="3D5171C1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2.企业需将纸质材料加盖公章后报送，具体报送要求请按照所在区中小企业主管部门统一要求执行。</w:t>
      </w:r>
    </w:p>
    <w:p w14:paraId="36A42CBC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（二）申报流程</w:t>
      </w:r>
    </w:p>
    <w:p w14:paraId="2E6905FB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1.各区、北京经济技术开发区中小企业主管部门（以下简称“区级中小企业主管部门”）负责组织申报、初审、实地核查和公示，公示通过的，向市经济和信息化局推荐。</w:t>
      </w:r>
    </w:p>
    <w:p w14:paraId="78658278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2.市经济和信息化局对被推荐企业进行审核、抽查和公示。公示通过的，认定为专精特新中小企业。</w:t>
      </w:r>
    </w:p>
    <w:p w14:paraId="20CD4632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3.公示期内，区级中小企业主管部门对本区企业的申诉信息进行答疑。</w:t>
      </w:r>
    </w:p>
    <w:p w14:paraId="67010096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（三）材料要求</w:t>
      </w:r>
    </w:p>
    <w:p w14:paraId="5EF03323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被推荐企业需提供纸质材料1份（注：未进入推荐名单的企业无需提供纸质材料），由培育平台系统导出《北京市专精特新中小企业申请书》和相关佐证材料合订本（附件2），报送至所属区级中小企业主管部门。</w:t>
      </w:r>
    </w:p>
    <w:p w14:paraId="3F4C76E3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纸质材料须签章齐全并与线上提交的电子材料内容一致。《申请书》首页“企业名称”填写企业全称并加盖企业公章，在“真实性声明”部分完成法人签名、加盖企业公章。全套申报材料（含申请书及佐证材料）加封面和目录，A4纸双面打印，按附件2列明的材料顺序胶装，整体材料加盖骑缝章。</w:t>
      </w:r>
    </w:p>
    <w:p w14:paraId="75B00128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区级中小企业主管部门请于2026年9月30日前，向市经济和信息化局提交推荐函、评审结论汇总表、推荐企业名单（加盖公章的扫描PDF文件）；并将加盖企业公章的纸质版申请书和佐证材料合订本，报送至北京市中小企业公共服务平台（具体地址、电话另行通知），逾期不再受理。</w:t>
      </w:r>
    </w:p>
    <w:p w14:paraId="1A0C3641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三、其他说明</w:t>
      </w:r>
    </w:p>
    <w:p w14:paraId="0BEEA830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经认定的北京市专精特新中小企业，于市经济和信息化局发布认定结果公告之日起20个工作日后，通过PC端访问“北京市专精特新梯队企业资质查询系统（https://tdpy.smebj.cn）-梯度培育企业电子证书申领入口”，申领电子证书，并可对企业所获得的专精特新梯队企业资质进行查询。</w:t>
      </w:r>
    </w:p>
    <w:p w14:paraId="0131A20B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申请事项均不收取任何费用，市经济和信息化局审核过程坚持公平公正，未委托任何中介机构开展培训，不需要也不建议企业通过任何中介机构辅助申请。企业只需如实填报，并提供相关资料即可。如在申报过程中发现不法中介机构，请及时向市经济和信息化局举报。</w:t>
      </w:r>
    </w:p>
    <w:p w14:paraId="5830EDED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.我局将加强企业申请数据的分析比对和逻辑判断，严格防范数据造假，如发现企业存在上述情况，将根据规定，取消企业相关资质，并禁止企业三年内再次申请。涉及骗取财政资金的，将依法依规严肃处理。涉及会计师事务所的有关情况，将由相关部门进行处理。</w:t>
      </w:r>
    </w:p>
    <w:p w14:paraId="763D87C5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4.相关申报工作事项可咨询所在区中小企业主管部门，常见问题解答见附件4。</w:t>
      </w:r>
    </w:p>
    <w:p w14:paraId="37C681E0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2709F75B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14AA8DAE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7F7A5D1C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14DD08C0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jc w:val="righ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北京市经济和信息化局</w:t>
      </w:r>
    </w:p>
    <w:p w14:paraId="7E19D182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jc w:val="righ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2026年7月22日   </w:t>
      </w:r>
    </w:p>
    <w:p w14:paraId="53BB9EEC"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50" w:lineRule="atLeast"/>
        <w:ind w:right="0"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5B1C89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AD1C30"/>
    <w:rsid w:val="342D4D9D"/>
    <w:rsid w:val="561113A6"/>
    <w:rsid w:val="608A4BDD"/>
    <w:rsid w:val="66D6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1717</Words>
  <Characters>1894</Characters>
  <Lines>0</Lines>
  <Paragraphs>0</Paragraphs>
  <TotalTime>14</TotalTime>
  <ScaleCrop>false</ScaleCrop>
  <LinksUpToDate>false</LinksUpToDate>
  <CharactersWithSpaces>1911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2026-07-24T01:37:00Z</dcterms:created>
  <dc:creator>Administrator</dc:creator>
  <cp:lastModifiedBy>柒小喵</cp:lastModifiedBy>
  <dcterms:modified xsi:type="dcterms:W3CDTF">2026-07-24T05:51:44Z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eyJoZGlkIjoiNWJkYjdiNjIzYzcxOTJjNzRmMzI2ZDFkYWMxMjE3NTgiLCJ1c2VySWQiOiIxMTA2NjUwMiJ9</vt:lpwstr>
  </property>
  <property fmtid="{D5CDD505-2E9C-101B-9397-08002B2CF9AE}" pid="4" name="ICV">
    <vt:lpwstr>2C361AC5A22F4272B9F22A03042B9145_12</vt:lpwstr>
  </property>
</Properties>
</file>