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center"/>
        <w:rPr>
          <w:rFonts w:hint="eastAsia" w:ascii="方正粗黑宋简体" w:hAnsi="方正粗黑宋简体" w:eastAsia="方正粗黑宋简体" w:cs="方正粗黑宋简体"/>
          <w:color w:val="333333"/>
          <w:sz w:val="36"/>
          <w:lang w:eastAsia="zh-CN"/>
        </w:rPr>
      </w:pPr>
      <w:r>
        <w:rPr>
          <w:rFonts w:hint="eastAsia" w:ascii="方正粗黑宋简体" w:hAnsi="方正粗黑宋简体" w:eastAsia="方正粗黑宋简体" w:cs="方正粗黑宋简体"/>
          <w:color w:val="333333"/>
          <w:sz w:val="36"/>
          <w:lang w:eastAsia="zh-CN"/>
        </w:rPr>
        <w:t>北京市门头沟区</w:t>
      </w:r>
      <w:r>
        <w:rPr>
          <w:rFonts w:hint="eastAsia" w:ascii="方正粗黑宋简体" w:hAnsi="方正粗黑宋简体" w:eastAsia="方正粗黑宋简体" w:cs="方正粗黑宋简体"/>
          <w:color w:val="333333"/>
          <w:sz w:val="36"/>
        </w:rPr>
        <w:t>科信局20</w:t>
      </w:r>
      <w:r>
        <w:rPr>
          <w:rFonts w:hint="eastAsia" w:ascii="方正粗黑宋简体" w:hAnsi="方正粗黑宋简体" w:eastAsia="方正粗黑宋简体" w:cs="方正粗黑宋简体"/>
          <w:color w:val="333333"/>
          <w:sz w:val="36"/>
          <w:lang w:val="en-US" w:eastAsia="zh-CN"/>
        </w:rPr>
        <w:t>20</w:t>
      </w:r>
      <w:r>
        <w:rPr>
          <w:rFonts w:hint="eastAsia" w:ascii="方正粗黑宋简体" w:hAnsi="方正粗黑宋简体" w:eastAsia="方正粗黑宋简体" w:cs="方正粗黑宋简体"/>
          <w:color w:val="333333"/>
          <w:sz w:val="36"/>
        </w:rPr>
        <w:t>年政府信息公开工作年度报</w:t>
      </w:r>
      <w:r>
        <w:rPr>
          <w:rFonts w:hint="eastAsia" w:ascii="方正粗黑宋简体" w:hAnsi="方正粗黑宋简体" w:eastAsia="方正粗黑宋简体" w:cs="方正粗黑宋简体"/>
          <w:color w:val="333333"/>
          <w:sz w:val="36"/>
          <w:lang w:eastAsia="zh-CN"/>
        </w:rPr>
        <w:t>告</w:t>
      </w:r>
    </w:p>
    <w:p>
      <w:pPr>
        <w:spacing w:beforeLines="0" w:afterLines="0"/>
        <w:ind w:firstLine="640" w:firstLineChars="200"/>
        <w:jc w:val="left"/>
        <w:rPr>
          <w:rFonts w:hint="eastAsia" w:ascii="FangSong_GB2312" w:hAnsi="FangSong_GB2312" w:eastAsia="FangSong_GB2312"/>
          <w:color w:val="000000"/>
          <w:sz w:val="32"/>
        </w:rPr>
      </w:pPr>
      <w:r>
        <w:rPr>
          <w:rFonts w:hint="eastAsia" w:ascii="FangSong_GB2312" w:hAnsi="FangSong_GB2312" w:eastAsia="FangSong_GB2312"/>
          <w:color w:val="000000"/>
          <w:sz w:val="32"/>
        </w:rPr>
        <w:t>依据《中华人民共和国政府信息公开条例》第五十条之</w:t>
      </w:r>
    </w:p>
    <w:p>
      <w:pPr>
        <w:spacing w:beforeLines="0" w:afterLines="0"/>
        <w:jc w:val="left"/>
        <w:rPr>
          <w:rFonts w:hint="eastAsia" w:ascii="FangSong_GB2312" w:hAnsi="FangSong_GB2312" w:eastAsia="FangSong_GB2312"/>
          <w:color w:val="000000"/>
          <w:sz w:val="32"/>
        </w:rPr>
      </w:pPr>
      <w:r>
        <w:rPr>
          <w:rFonts w:hint="eastAsia" w:ascii="FangSong_GB2312" w:hAnsi="FangSong_GB2312" w:eastAsia="FangSong_GB2312"/>
          <w:color w:val="000000"/>
          <w:sz w:val="32"/>
        </w:rPr>
        <w:t>规定，制作本报告。</w:t>
      </w:r>
    </w:p>
    <w:p>
      <w:pPr>
        <w:spacing w:beforeLines="0" w:afterLines="0"/>
        <w:ind w:firstLine="640" w:firstLineChars="200"/>
        <w:jc w:val="left"/>
        <w:rPr>
          <w:rFonts w:hint="eastAsia" w:ascii="黑体" w:hAnsi="黑体" w:eastAsia="黑体" w:cs="黑体"/>
          <w:color w:val="333333"/>
          <w:sz w:val="32"/>
          <w:szCs w:val="22"/>
        </w:rPr>
      </w:pPr>
      <w:r>
        <w:rPr>
          <w:rFonts w:hint="eastAsia" w:ascii="黑体" w:hAnsi="黑体" w:eastAsia="黑体" w:cs="黑体"/>
          <w:color w:val="333333"/>
          <w:sz w:val="32"/>
          <w:szCs w:val="22"/>
        </w:rPr>
        <w:t>一、总体情况</w:t>
      </w:r>
    </w:p>
    <w:p>
      <w:pPr>
        <w:spacing w:beforeLines="0" w:afterLines="0"/>
        <w:ind w:firstLine="640" w:firstLineChars="200"/>
        <w:jc w:val="left"/>
        <w:rPr>
          <w:rFonts w:hint="eastAsia" w:ascii="FangSong_GB2312" w:hAnsi="FangSong_GB2312" w:eastAsia="FangSong_GB2312"/>
          <w:color w:val="000000"/>
          <w:sz w:val="32"/>
        </w:rPr>
      </w:pPr>
      <w:r>
        <w:rPr>
          <w:rFonts w:hint="eastAsia" w:ascii="FangSong_GB2312" w:hAnsi="FangSong_GB2312" w:eastAsia="FangSong_GB2312"/>
          <w:color w:val="000000"/>
          <w:sz w:val="32"/>
        </w:rPr>
        <w:t>20</w:t>
      </w:r>
      <w:r>
        <w:rPr>
          <w:rFonts w:hint="eastAsia" w:ascii="FangSong_GB2312" w:hAnsi="FangSong_GB2312" w:eastAsia="FangSong_GB2312"/>
          <w:color w:val="000000"/>
          <w:sz w:val="32"/>
          <w:lang w:val="en-US" w:eastAsia="zh-CN"/>
        </w:rPr>
        <w:t>20</w:t>
      </w:r>
      <w:r>
        <w:rPr>
          <w:rFonts w:hint="eastAsia" w:ascii="FangSong_GB2312" w:hAnsi="FangSong_GB2312" w:eastAsia="FangSong_GB2312"/>
          <w:color w:val="000000"/>
          <w:sz w:val="32"/>
        </w:rPr>
        <w:t xml:space="preserve"> 年度区科信局进一步贯彻落实《门头沟区20</w:t>
      </w:r>
      <w:r>
        <w:rPr>
          <w:rFonts w:hint="eastAsia" w:ascii="FangSong_GB2312" w:hAnsi="FangSong_GB2312" w:eastAsia="FangSong_GB2312"/>
          <w:color w:val="000000"/>
          <w:sz w:val="32"/>
          <w:lang w:val="en-US" w:eastAsia="zh-CN"/>
        </w:rPr>
        <w:t>20</w:t>
      </w:r>
      <w:r>
        <w:rPr>
          <w:rFonts w:hint="eastAsia" w:ascii="FangSong_GB2312" w:hAnsi="FangSong_GB2312" w:eastAsia="FangSong_GB2312"/>
          <w:color w:val="000000"/>
          <w:sz w:val="32"/>
        </w:rPr>
        <w:t xml:space="preserve"> 年</w:t>
      </w:r>
    </w:p>
    <w:p>
      <w:pPr>
        <w:spacing w:beforeLines="0" w:afterLines="0"/>
        <w:jc w:val="left"/>
        <w:rPr>
          <w:rFonts w:hint="eastAsia" w:ascii="FangSong_GB2312" w:hAnsi="FangSong_GB2312" w:eastAsia="FangSong_GB2312"/>
          <w:color w:val="000000"/>
          <w:sz w:val="32"/>
        </w:rPr>
      </w:pPr>
      <w:r>
        <w:rPr>
          <w:rFonts w:hint="eastAsia" w:ascii="FangSong_GB2312" w:hAnsi="FangSong_GB2312" w:eastAsia="FangSong_GB2312"/>
          <w:color w:val="000000"/>
          <w:sz w:val="32"/>
        </w:rPr>
        <w:t>政务公开工作要点》，按照“科学指导，统筹推进，上下联</w:t>
      </w:r>
    </w:p>
    <w:p>
      <w:pPr>
        <w:spacing w:beforeLines="0" w:afterLines="0"/>
        <w:jc w:val="left"/>
        <w:rPr>
          <w:rFonts w:hint="eastAsia" w:ascii="FangSong_GB2312" w:hAnsi="FangSong_GB2312" w:eastAsia="FangSong_GB2312"/>
          <w:color w:val="000000"/>
          <w:sz w:val="32"/>
        </w:rPr>
      </w:pPr>
      <w:r>
        <w:rPr>
          <w:rFonts w:hint="eastAsia" w:ascii="FangSong_GB2312" w:hAnsi="FangSong_GB2312" w:eastAsia="FangSong_GB2312"/>
          <w:color w:val="000000"/>
          <w:sz w:val="32"/>
        </w:rPr>
        <w:t>动，信息共享”的工作思路大力推进重点领域政府信息公开，</w:t>
      </w:r>
    </w:p>
    <w:p>
      <w:pPr>
        <w:spacing w:beforeLines="0" w:afterLines="0"/>
        <w:jc w:val="left"/>
        <w:rPr>
          <w:rFonts w:hint="eastAsia" w:ascii="FangSong_GB2312" w:hAnsi="FangSong_GB2312" w:eastAsia="FangSong_GB2312"/>
          <w:color w:val="000000"/>
          <w:sz w:val="32"/>
          <w:szCs w:val="22"/>
        </w:rPr>
      </w:pPr>
      <w:r>
        <w:rPr>
          <w:rFonts w:hint="eastAsia" w:ascii="FangSong_GB2312" w:hAnsi="FangSong_GB2312" w:eastAsia="FangSong_GB2312"/>
          <w:color w:val="000000"/>
          <w:sz w:val="32"/>
          <w:szCs w:val="22"/>
          <w:lang w:val="en-US" w:eastAsia="zh-CN"/>
        </w:rPr>
        <w:t>严格对照本单位发布的政府信息主动公开全清单，对公开的信息资源开展进一步的规范化、标准化管理。及时准确公开相关信息，按照清单规定的信息名称、内容标准、公开形式、公开时限，每周在政府网站和政府信息公开专栏中做好公开工作。</w:t>
      </w:r>
    </w:p>
    <w:p>
      <w:pPr>
        <w:spacing w:beforeLines="0" w:afterLines="0"/>
        <w:jc w:val="left"/>
        <w:rPr>
          <w:rFonts w:hint="eastAsia" w:ascii="FangSong_GB2312" w:hAnsi="FangSong_GB2312" w:eastAsia="FangSong_GB2312"/>
          <w:color w:val="000000"/>
          <w:sz w:val="32"/>
        </w:rPr>
      </w:pPr>
      <w:r>
        <w:rPr>
          <w:rFonts w:hint="eastAsia" w:ascii="FangSong_GB2312" w:hAnsi="FangSong_GB2312" w:eastAsia="FangSong_GB2312"/>
          <w:color w:val="000000"/>
          <w:sz w:val="32"/>
        </w:rPr>
        <w:t>加强政府信息发布、解读及回应工作，不断增强政府信息公</w:t>
      </w:r>
    </w:p>
    <w:p>
      <w:pPr>
        <w:spacing w:beforeLines="0" w:afterLines="0"/>
        <w:jc w:val="left"/>
        <w:rPr>
          <w:rFonts w:hint="eastAsia" w:ascii="FangSong_GB2312" w:hAnsi="FangSong_GB2312" w:eastAsia="FangSong_GB2312"/>
          <w:color w:val="000000"/>
          <w:sz w:val="32"/>
        </w:rPr>
      </w:pPr>
      <w:r>
        <w:rPr>
          <w:rFonts w:hint="eastAsia" w:ascii="FangSong_GB2312" w:hAnsi="FangSong_GB2312" w:eastAsia="FangSong_GB2312"/>
          <w:color w:val="000000"/>
          <w:sz w:val="32"/>
        </w:rPr>
        <w:t>开时效和质量，有效保障了人民群众的知情权、参与权和监</w:t>
      </w:r>
    </w:p>
    <w:p>
      <w:pPr>
        <w:spacing w:beforeLines="0" w:afterLines="0"/>
        <w:jc w:val="left"/>
        <w:rPr>
          <w:rFonts w:hint="eastAsia" w:ascii="FangSong_GB2312" w:hAnsi="FangSong_GB2312" w:eastAsia="FangSong_GB2312"/>
          <w:color w:val="000000"/>
          <w:sz w:val="32"/>
        </w:rPr>
      </w:pPr>
      <w:r>
        <w:rPr>
          <w:rFonts w:hint="eastAsia" w:ascii="FangSong_GB2312" w:hAnsi="FangSong_GB2312" w:eastAsia="FangSong_GB2312"/>
          <w:color w:val="000000"/>
          <w:sz w:val="32"/>
        </w:rPr>
        <w:t>督权，使我局信息和政务公开工作取得了明显成效。现将具</w:t>
      </w:r>
    </w:p>
    <w:p>
      <w:pPr>
        <w:spacing w:beforeLines="0" w:afterLines="0"/>
        <w:jc w:val="left"/>
        <w:rPr>
          <w:rFonts w:hint="eastAsia" w:ascii="FangSong_GB2312" w:hAnsi="FangSong_GB2312" w:eastAsia="FangSong_GB2312"/>
          <w:color w:val="000000"/>
          <w:sz w:val="32"/>
        </w:rPr>
      </w:pPr>
      <w:r>
        <w:rPr>
          <w:rFonts w:hint="eastAsia" w:ascii="FangSong_GB2312" w:hAnsi="FangSong_GB2312" w:eastAsia="FangSong_GB2312"/>
          <w:color w:val="000000"/>
          <w:sz w:val="32"/>
        </w:rPr>
        <w:t>体工作汇报如下：</w:t>
      </w:r>
    </w:p>
    <w:p>
      <w:pPr>
        <w:spacing w:beforeLines="0" w:afterLines="0"/>
        <w:ind w:firstLine="640" w:firstLineChars="200"/>
        <w:jc w:val="left"/>
        <w:rPr>
          <w:rFonts w:hint="eastAsia" w:ascii="FangSong_GB2312" w:hAnsi="FangSong_GB2312" w:eastAsia="FangSong_GB2312"/>
          <w:color w:val="000000"/>
          <w:sz w:val="32"/>
        </w:rPr>
      </w:pPr>
      <w:r>
        <w:rPr>
          <w:rFonts w:hint="eastAsia" w:ascii="FangSong_GB2312" w:hAnsi="FangSong_GB2312" w:eastAsia="FangSong_GB2312"/>
          <w:color w:val="000000"/>
          <w:sz w:val="32"/>
        </w:rPr>
        <w:t>20</w:t>
      </w:r>
      <w:r>
        <w:rPr>
          <w:rFonts w:hint="eastAsia" w:ascii="FangSong_GB2312" w:hAnsi="FangSong_GB2312" w:eastAsia="FangSong_GB2312"/>
          <w:color w:val="000000"/>
          <w:sz w:val="32"/>
          <w:lang w:val="en-US" w:eastAsia="zh-CN"/>
        </w:rPr>
        <w:t>20</w:t>
      </w:r>
      <w:r>
        <w:rPr>
          <w:rFonts w:hint="eastAsia" w:ascii="FangSong_GB2312" w:hAnsi="FangSong_GB2312" w:eastAsia="FangSong_GB2312"/>
          <w:color w:val="000000"/>
          <w:sz w:val="32"/>
        </w:rPr>
        <w:t>年主动公开政府信息数1</w:t>
      </w:r>
      <w:r>
        <w:rPr>
          <w:rFonts w:hint="eastAsia" w:ascii="FangSong_GB2312" w:hAnsi="FangSong_GB2312" w:eastAsia="FangSong_GB2312"/>
          <w:color w:val="000000"/>
          <w:sz w:val="32"/>
          <w:lang w:val="en-US" w:eastAsia="zh-CN"/>
        </w:rPr>
        <w:t>0</w:t>
      </w:r>
      <w:r>
        <w:rPr>
          <w:rFonts w:hint="eastAsia" w:ascii="FangSong_GB2312" w:hAnsi="FangSong_GB2312" w:eastAsia="FangSong_GB2312"/>
          <w:color w:val="000000"/>
          <w:sz w:val="32"/>
        </w:rPr>
        <w:t>6件</w:t>
      </w:r>
      <w:r>
        <w:rPr>
          <w:rFonts w:hint="eastAsia" w:ascii="FangSong_GB2312" w:hAnsi="FangSong_GB2312" w:eastAsia="FangSong_GB2312"/>
          <w:color w:val="000000"/>
          <w:sz w:val="32"/>
          <w:lang w:eastAsia="zh-CN"/>
        </w:rPr>
        <w:t>，</w:t>
      </w:r>
      <w:r>
        <w:rPr>
          <w:rFonts w:hint="eastAsia" w:ascii="FangSong_GB2312" w:hAnsi="FangSong_GB2312" w:eastAsia="FangSong_GB2312"/>
          <w:color w:val="000000"/>
          <w:sz w:val="32"/>
        </w:rPr>
        <w:t>重点领域公开政府</w:t>
      </w:r>
    </w:p>
    <w:p>
      <w:pPr>
        <w:spacing w:beforeLines="0" w:afterLines="0"/>
        <w:jc w:val="left"/>
        <w:rPr>
          <w:rFonts w:hint="eastAsia" w:ascii="FangSong_GB2312" w:hAnsi="FangSong_GB2312" w:eastAsia="FangSong_GB2312"/>
          <w:color w:val="000000"/>
          <w:sz w:val="32"/>
        </w:rPr>
      </w:pPr>
      <w:r>
        <w:rPr>
          <w:rFonts w:hint="eastAsia" w:ascii="FangSong_GB2312" w:hAnsi="FangSong_GB2312" w:eastAsia="FangSong_GB2312"/>
          <w:color w:val="000000"/>
          <w:sz w:val="32"/>
        </w:rPr>
        <w:t>信息数8条。其中，主动公开财政预算决算、“三公经费”</w:t>
      </w:r>
    </w:p>
    <w:p>
      <w:pPr>
        <w:spacing w:beforeLines="0" w:afterLines="0"/>
        <w:jc w:val="left"/>
        <w:rPr>
          <w:rFonts w:hint="eastAsia" w:ascii="FangSong_GB2312" w:hAnsi="FangSong_GB2312" w:eastAsia="FangSong_GB2312"/>
          <w:color w:val="000000"/>
          <w:sz w:val="32"/>
        </w:rPr>
      </w:pPr>
      <w:r>
        <w:rPr>
          <w:rFonts w:hint="eastAsia" w:ascii="FangSong_GB2312" w:hAnsi="FangSong_GB2312" w:eastAsia="FangSong_GB2312"/>
          <w:color w:val="000000"/>
          <w:sz w:val="32"/>
        </w:rPr>
        <w:t>和行政经费信息数</w:t>
      </w:r>
      <w:r>
        <w:rPr>
          <w:rFonts w:hint="eastAsia" w:ascii="FangSong_GB2312" w:hAnsi="FangSong_GB2312" w:eastAsia="FangSong_GB2312"/>
          <w:color w:val="000000"/>
          <w:sz w:val="32"/>
          <w:lang w:val="en-US" w:eastAsia="zh-CN"/>
        </w:rPr>
        <w:t>3</w:t>
      </w:r>
      <w:r>
        <w:rPr>
          <w:rFonts w:hint="eastAsia" w:ascii="FangSong_GB2312" w:hAnsi="FangSong_GB2312" w:eastAsia="FangSong_GB2312"/>
          <w:color w:val="000000"/>
          <w:sz w:val="32"/>
        </w:rPr>
        <w:t>条；主动公开生产安全事故的政府举措、</w:t>
      </w:r>
    </w:p>
    <w:p>
      <w:pPr>
        <w:spacing w:beforeLines="0" w:afterLines="0"/>
        <w:jc w:val="left"/>
        <w:rPr>
          <w:rFonts w:hint="eastAsia" w:ascii="FangSong_GB2312" w:hAnsi="FangSong_GB2312" w:eastAsia="FangSong_GB2312"/>
          <w:color w:val="000000"/>
          <w:sz w:val="32"/>
        </w:rPr>
      </w:pPr>
      <w:r>
        <w:rPr>
          <w:rFonts w:hint="eastAsia" w:ascii="FangSong_GB2312" w:hAnsi="FangSong_GB2312" w:eastAsia="FangSong_GB2312"/>
          <w:color w:val="000000"/>
          <w:sz w:val="32"/>
        </w:rPr>
        <w:t>处置进展、风险预警、防范措施等信息数</w:t>
      </w:r>
      <w:r>
        <w:rPr>
          <w:rFonts w:hint="eastAsia" w:ascii="FangSong_GB2312" w:hAnsi="FangSong_GB2312" w:eastAsia="FangSong_GB2312"/>
          <w:color w:val="000000"/>
          <w:sz w:val="32"/>
          <w:lang w:val="en-US" w:eastAsia="zh-CN"/>
        </w:rPr>
        <w:t>6</w:t>
      </w:r>
      <w:r>
        <w:rPr>
          <w:rFonts w:hint="eastAsia" w:ascii="FangSong_GB2312" w:hAnsi="FangSong_GB2312" w:eastAsia="FangSong_GB2312"/>
          <w:color w:val="000000"/>
          <w:sz w:val="32"/>
        </w:rPr>
        <w:t>条。我局依申请</w:t>
      </w:r>
    </w:p>
    <w:p>
      <w:pPr>
        <w:spacing w:beforeLines="0" w:afterLines="0"/>
        <w:jc w:val="left"/>
        <w:rPr>
          <w:rFonts w:hint="eastAsia" w:ascii="FangSong_GB2312" w:hAnsi="FangSong_GB2312" w:eastAsia="FangSong_GB2312"/>
          <w:color w:val="000000"/>
          <w:sz w:val="32"/>
        </w:rPr>
      </w:pPr>
      <w:r>
        <w:rPr>
          <w:rFonts w:hint="eastAsia" w:ascii="FangSong_GB2312" w:hAnsi="FangSong_GB2312" w:eastAsia="FangSong_GB2312"/>
          <w:color w:val="000000"/>
          <w:sz w:val="32"/>
        </w:rPr>
        <w:t>公开，申请总数为</w:t>
      </w:r>
      <w:r>
        <w:rPr>
          <w:rFonts w:hint="eastAsia" w:ascii="FangSong_GB2312" w:hAnsi="FangSong_GB2312" w:eastAsia="FangSong_GB2312"/>
          <w:color w:val="000000"/>
          <w:sz w:val="32"/>
          <w:lang w:val="en-US" w:eastAsia="zh-CN"/>
        </w:rPr>
        <w:t>1</w:t>
      </w:r>
      <w:r>
        <w:rPr>
          <w:rFonts w:hint="eastAsia" w:ascii="FangSong_GB2312" w:hAnsi="FangSong_GB2312" w:eastAsia="FangSong_GB2312"/>
          <w:color w:val="000000"/>
          <w:sz w:val="32"/>
        </w:rPr>
        <w:t>件，答复数为</w:t>
      </w:r>
      <w:r>
        <w:rPr>
          <w:rFonts w:hint="eastAsia" w:ascii="FangSong_GB2312" w:hAnsi="FangSong_GB2312" w:eastAsia="FangSong_GB2312"/>
          <w:color w:val="000000"/>
          <w:sz w:val="32"/>
          <w:lang w:val="en-US" w:eastAsia="zh-CN"/>
        </w:rPr>
        <w:t>1</w:t>
      </w:r>
      <w:r>
        <w:rPr>
          <w:rFonts w:hint="eastAsia" w:ascii="FangSong_GB2312" w:hAnsi="FangSong_GB2312" w:eastAsia="FangSong_GB2312"/>
          <w:color w:val="000000"/>
          <w:sz w:val="32"/>
        </w:rPr>
        <w:t>件。本单位没有发生与</w:t>
      </w:r>
    </w:p>
    <w:p>
      <w:pPr>
        <w:spacing w:beforeLines="0" w:afterLines="0"/>
        <w:jc w:val="left"/>
        <w:rPr>
          <w:rFonts w:hint="eastAsia" w:ascii="FangSong_GB2312" w:hAnsi="FangSong_GB2312" w:eastAsia="FangSong_GB2312"/>
          <w:color w:val="000000"/>
          <w:sz w:val="32"/>
        </w:rPr>
      </w:pPr>
      <w:r>
        <w:rPr>
          <w:rFonts w:hint="eastAsia" w:ascii="FangSong_GB2312" w:hAnsi="FangSong_GB2312" w:eastAsia="FangSong_GB2312"/>
          <w:color w:val="000000"/>
          <w:sz w:val="32"/>
        </w:rPr>
        <w:t>政府信息公开有关的行政复议案件。本单位没有发生与政府</w:t>
      </w:r>
    </w:p>
    <w:p>
      <w:pPr>
        <w:spacing w:beforeLines="0" w:afterLines="0"/>
        <w:jc w:val="left"/>
        <w:rPr>
          <w:rFonts w:hint="eastAsia" w:ascii="FangSong_GB2312" w:hAnsi="FangSong_GB2312" w:eastAsia="FangSong_GB2312"/>
          <w:color w:val="000000"/>
          <w:sz w:val="32"/>
        </w:rPr>
      </w:pPr>
      <w:r>
        <w:rPr>
          <w:rFonts w:hint="eastAsia" w:ascii="FangSong_GB2312" w:hAnsi="FangSong_GB2312" w:eastAsia="FangSong_GB2312"/>
          <w:color w:val="000000"/>
          <w:sz w:val="32"/>
        </w:rPr>
        <w:t>信息公开有关的行政诉讼案件。本单位没有发生与政府信息</w:t>
      </w:r>
    </w:p>
    <w:p>
      <w:pPr>
        <w:spacing w:beforeLines="0" w:afterLines="0"/>
        <w:jc w:val="left"/>
        <w:rPr>
          <w:rFonts w:hint="eastAsia" w:ascii="宋体" w:hAnsi="宋体" w:eastAsia="宋体"/>
          <w:color w:val="333333"/>
          <w:sz w:val="24"/>
        </w:rPr>
      </w:pPr>
      <w:r>
        <w:rPr>
          <w:rFonts w:hint="eastAsia" w:ascii="FangSong_GB2312" w:hAnsi="FangSong_GB2312" w:eastAsia="FangSong_GB2312"/>
          <w:color w:val="000000"/>
          <w:sz w:val="32"/>
        </w:rPr>
        <w:t>公开有关的举报。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二、主动公开政府信息情况</w:t>
      </w:r>
    </w:p>
    <w:tbl>
      <w:tblPr>
        <w:tblStyle w:val="8"/>
        <w:tblW w:w="814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45"/>
        <w:gridCol w:w="1368"/>
        <w:gridCol w:w="376"/>
        <w:gridCol w:w="1499"/>
        <w:gridCol w:w="6"/>
        <w:gridCol w:w="45"/>
        <w:gridCol w:w="1220"/>
        <w:gridCol w:w="330"/>
        <w:gridCol w:w="155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7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color w:val="000000"/>
                <w:kern w:val="0"/>
                <w:sz w:val="20"/>
                <w:szCs w:val="20"/>
                <w:lang w:bidi="ar"/>
              </w:rPr>
              <w:t>制作数量</w:t>
            </w:r>
          </w:p>
        </w:tc>
        <w:tc>
          <w:tcPr>
            <w:tcW w:w="127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color w:val="000000"/>
                <w:kern w:val="0"/>
                <w:sz w:val="20"/>
                <w:szCs w:val="20"/>
                <w:lang w:bidi="ar"/>
              </w:rPr>
              <w:t>公开数量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对外公开总数量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  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规范性文件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  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第二十条第（五）项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348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55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155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  <w:jc w:val="center"/>
        </w:trPr>
        <w:tc>
          <w:tcPr>
            <w:tcW w:w="348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+2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74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其他对外管理服务事项</w:t>
            </w:r>
          </w:p>
        </w:tc>
        <w:tc>
          <w:tcPr>
            <w:tcW w:w="17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行政检查</w:t>
            </w:r>
          </w:p>
        </w:tc>
        <w:tc>
          <w:tcPr>
            <w:tcW w:w="15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5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5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7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行政确认</w:t>
            </w:r>
          </w:p>
        </w:tc>
        <w:tc>
          <w:tcPr>
            <w:tcW w:w="15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5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5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7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上一年项目数量</w:t>
            </w:r>
          </w:p>
        </w:tc>
        <w:tc>
          <w:tcPr>
            <w:tcW w:w="127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本年增/减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处理决定数量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18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  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 +8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  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18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  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  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上一年项目数量</w:t>
            </w:r>
          </w:p>
        </w:tc>
        <w:tc>
          <w:tcPr>
            <w:tcW w:w="314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本年增/减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18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  0</w:t>
            </w:r>
          </w:p>
        </w:tc>
        <w:tc>
          <w:tcPr>
            <w:tcW w:w="3146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+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第二十条第（九）项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采购项目数量</w:t>
            </w:r>
          </w:p>
        </w:tc>
        <w:tc>
          <w:tcPr>
            <w:tcW w:w="314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采购总金额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政府集中采购</w:t>
            </w:r>
          </w:p>
        </w:tc>
        <w:tc>
          <w:tcPr>
            <w:tcW w:w="18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  2</w:t>
            </w:r>
          </w:p>
        </w:tc>
        <w:tc>
          <w:tcPr>
            <w:tcW w:w="3146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960" w:firstLineChars="400"/>
              <w:rPr>
                <w:rFonts w:hint="eastAsia" w:asci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lang w:val="en-US" w:eastAsia="zh-CN"/>
              </w:rPr>
              <w:t>3.0239万元</w:t>
            </w:r>
          </w:p>
        </w:tc>
      </w:tr>
    </w:tbl>
    <w:p>
      <w:pPr>
        <w:spacing w:beforeLines="0" w:afterLines="0"/>
        <w:jc w:val="left"/>
        <w:rPr>
          <w:rFonts w:hint="eastAsia" w:ascii="宋体" w:hAnsi="宋体" w:eastAsia="宋体"/>
          <w:color w:val="333333"/>
          <w:sz w:val="24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三、收到和处理政府信息公开申请情况</w:t>
      </w:r>
    </w:p>
    <w:tbl>
      <w:tblPr>
        <w:tblStyle w:val="8"/>
        <w:tblW w:w="9071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8"/>
        <w:gridCol w:w="854"/>
        <w:gridCol w:w="2086"/>
        <w:gridCol w:w="814"/>
        <w:gridCol w:w="755"/>
        <w:gridCol w:w="755"/>
        <w:gridCol w:w="814"/>
        <w:gridCol w:w="974"/>
        <w:gridCol w:w="712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5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551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5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401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5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8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科研机构</w:t>
            </w:r>
          </w:p>
        </w:tc>
        <w:tc>
          <w:tcPr>
            <w:tcW w:w="8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9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7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（二）部分公开（区分处理的，只计这一情形，不计其他情形）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bookmarkStart w:id="0" w:name="_GoBack"/>
            <w:bookmarkEnd w:id="0"/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200" w:firstLineChars="100"/>
              <w:rPr>
                <w:rFonts w:hint="eastAsia" w:asci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numPr>
          <w:ilvl w:val="0"/>
          <w:numId w:val="0"/>
        </w:num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numPr>
          <w:ilvl w:val="0"/>
          <w:numId w:val="0"/>
        </w:num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政府信息公开行政复议、行政诉讼情况</w:t>
      </w:r>
    </w:p>
    <w:tbl>
      <w:tblPr>
        <w:tblStyle w:val="8"/>
        <w:tblW w:w="9071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lang w:val="en-US" w:eastAsia="zh-CN"/>
              </w:rPr>
              <w:t>0</w:t>
            </w:r>
          </w:p>
        </w:tc>
      </w:tr>
    </w:tbl>
    <w:p>
      <w:pPr>
        <w:spacing w:beforeLines="0" w:afterLines="0"/>
        <w:jc w:val="left"/>
        <w:rPr>
          <w:rFonts w:hint="eastAsia" w:ascii="宋体" w:hAnsi="宋体" w:eastAsia="宋体"/>
          <w:color w:val="333333"/>
          <w:sz w:val="24"/>
        </w:rPr>
      </w:pP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五、存在的主要问题及改进情况</w:t>
      </w:r>
    </w:p>
    <w:p>
      <w:pPr>
        <w:spacing w:beforeLines="0" w:afterLines="0"/>
        <w:ind w:firstLine="640" w:firstLineChars="200"/>
        <w:jc w:val="left"/>
        <w:rPr>
          <w:rFonts w:hint="eastAsia" w:ascii="FangSong_GB2312" w:hAnsi="FangSong_GB2312" w:eastAsia="FangSong_GB2312"/>
          <w:color w:val="000000"/>
          <w:sz w:val="32"/>
          <w:szCs w:val="22"/>
          <w:lang w:val="en-US" w:eastAsia="zh-CN"/>
        </w:rPr>
      </w:pPr>
      <w:r>
        <w:rPr>
          <w:rFonts w:hint="eastAsia" w:ascii="FangSong_GB2312" w:hAnsi="FangSong_GB2312" w:eastAsia="FangSong_GB2312"/>
          <w:color w:val="000000"/>
          <w:sz w:val="32"/>
          <w:szCs w:val="22"/>
          <w:lang w:val="en-US" w:eastAsia="zh-CN"/>
        </w:rPr>
        <w:t>2020年区科信局政府信息公开的深度、广度有待进一步延伸。围绕政务公开工作要点，推进主动公开目录体系建设，政务公开标准规范有待完善。需进一步明确责任部门，细化公开内容和公开标准，确保相关信息及时完整发布。</w:t>
      </w:r>
    </w:p>
    <w:p>
      <w:pPr>
        <w:spacing w:beforeLines="0" w:afterLines="0"/>
        <w:ind w:firstLine="640" w:firstLineChars="200"/>
        <w:jc w:val="left"/>
        <w:rPr>
          <w:rFonts w:hint="eastAsia" w:ascii="FangSong_GB2312" w:hAnsi="FangSong_GB2312" w:eastAsia="FangSong_GB2312"/>
          <w:color w:val="000000"/>
          <w:sz w:val="32"/>
        </w:rPr>
      </w:pPr>
      <w:r>
        <w:rPr>
          <w:rFonts w:hint="eastAsia" w:ascii="FangSong_GB2312" w:hAnsi="FangSong_GB2312" w:eastAsia="FangSong_GB2312"/>
          <w:color w:val="000000"/>
          <w:sz w:val="32"/>
          <w:szCs w:val="22"/>
          <w:lang w:val="en-US" w:eastAsia="zh-CN"/>
        </w:rPr>
        <w:t>针对政府网站，</w:t>
      </w:r>
      <w:r>
        <w:rPr>
          <w:rFonts w:hint="eastAsia" w:ascii="FangSong_GB2312" w:hAnsi="FangSong_GB2312" w:eastAsia="FangSong_GB2312"/>
          <w:color w:val="000000"/>
          <w:sz w:val="32"/>
          <w:lang w:eastAsia="zh-CN"/>
        </w:rPr>
        <w:t>区科信局将进一步</w:t>
      </w:r>
      <w:r>
        <w:rPr>
          <w:rFonts w:hint="eastAsia" w:ascii="FangSong_GB2312" w:hAnsi="FangSong_GB2312" w:eastAsia="FangSong_GB2312"/>
          <w:color w:val="000000"/>
          <w:sz w:val="32"/>
        </w:rPr>
        <w:t>建设基于统一信息资源库的区级政府网站集约化平台，梳理区政府门户网站栏目内容，部署本区资源库系统和元数据创建等工作，进行历史数据补充工作，</w:t>
      </w:r>
      <w:r>
        <w:rPr>
          <w:rFonts w:hint="eastAsia" w:ascii="FangSong_GB2312" w:hAnsi="FangSong_GB2312" w:eastAsia="FangSong_GB2312"/>
          <w:color w:val="000000"/>
          <w:sz w:val="32"/>
          <w:lang w:eastAsia="zh-CN"/>
        </w:rPr>
        <w:t>持续配合政务服务局工作，</w:t>
      </w:r>
      <w:r>
        <w:rPr>
          <w:rFonts w:hint="eastAsia" w:ascii="FangSong_GB2312" w:hAnsi="FangSong_GB2312" w:eastAsia="FangSong_GB2312"/>
          <w:color w:val="000000"/>
          <w:sz w:val="32"/>
        </w:rPr>
        <w:t>做到数据准确、完整，平稳有序推进工作进度。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300" w:afterAutospacing="0" w:line="600" w:lineRule="exact"/>
        <w:ind w:right="0" w:rightChars="0" w:firstLine="640" w:firstLineChars="200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六、</w:t>
      </w:r>
      <w:r>
        <w:rPr>
          <w:rFonts w:hint="eastAsia" w:ascii="黑体" w:hAnsi="黑体" w:eastAsia="黑体" w:cs="黑体"/>
          <w:sz w:val="32"/>
          <w:szCs w:val="32"/>
        </w:rPr>
        <w:t>其他需要报告的事项</w:t>
      </w:r>
    </w:p>
    <w:p>
      <w:pPr>
        <w:spacing w:beforeLines="0" w:afterLines="0"/>
        <w:ind w:firstLine="640" w:firstLineChars="200"/>
        <w:jc w:val="left"/>
        <w:rPr>
          <w:rFonts w:hint="eastAsia" w:ascii="FangSong_GB2312" w:hAnsi="FangSong_GB2312" w:eastAsia="FangSong_GB2312"/>
          <w:color w:val="000000"/>
          <w:sz w:val="32"/>
          <w:szCs w:val="22"/>
          <w:lang w:eastAsia="zh-CN"/>
        </w:rPr>
      </w:pPr>
      <w:r>
        <w:rPr>
          <w:rFonts w:hint="eastAsia" w:ascii="FangSong_GB2312" w:hAnsi="FangSong_GB2312" w:eastAsia="FangSong_GB2312"/>
          <w:color w:val="000000"/>
          <w:sz w:val="32"/>
          <w:szCs w:val="22"/>
        </w:rPr>
        <w:t>北京市门头沟区人民政府网站网址为http://www.bjmtg.gov.cn/，如需了解更多政府信息，请登录查询。</w:t>
      </w:r>
    </w:p>
    <w:sectPr>
      <w:pgSz w:w="12240" w:h="15840"/>
      <w:pgMar w:top="1440" w:right="1800" w:bottom="1440" w:left="180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FangSong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EFF1E0B"/>
    <w:multiLevelType w:val="singleLevel"/>
    <w:tmpl w:val="EEFF1E0B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737D8E"/>
    <w:rsid w:val="0494282D"/>
    <w:rsid w:val="09E5487A"/>
    <w:rsid w:val="10AA4094"/>
    <w:rsid w:val="1B347C3C"/>
    <w:rsid w:val="1FE64DA6"/>
    <w:rsid w:val="29454B42"/>
    <w:rsid w:val="3A7A0E2F"/>
    <w:rsid w:val="45ED32B1"/>
    <w:rsid w:val="6211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ascii="Times New Roman" w:hAnsi="Times New Roman" w:eastAsia="宋体" w:cs="Times New Roman"/>
      <w:kern w:val="2"/>
      <w:sz w:val="21"/>
    </w:rPr>
  </w:style>
  <w:style w:type="character" w:default="1" w:styleId="4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33333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qFormat/>
    <w:uiPriority w:val="0"/>
    <w:rPr>
      <w:color w:val="333333"/>
      <w:u w:val="none"/>
    </w:rPr>
  </w:style>
  <w:style w:type="character" w:customStyle="1" w:styleId="9">
    <w:name w:val="jiuc"/>
    <w:basedOn w:val="4"/>
    <w:qFormat/>
    <w:uiPriority w:val="0"/>
  </w:style>
  <w:style w:type="character" w:customStyle="1" w:styleId="10">
    <w:name w:val="right2"/>
    <w:basedOn w:val="4"/>
    <w:qFormat/>
    <w:uiPriority w:val="0"/>
    <w:rPr>
      <w:rFonts w:ascii="微软雅黑" w:hAnsi="微软雅黑" w:eastAsia="微软雅黑" w:cs="微软雅黑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区科委</Company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2020-12-29T07:24:00Z</dcterms:created>
  <dc:creator>sys</dc:creator>
  <cp:lastModifiedBy>sys</cp:lastModifiedBy>
  <dcterms:modified xsi:type="dcterms:W3CDTF">2021-01-20T02:20:50Z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  <property fmtid="{D5CDD505-2E9C-101B-9397-08002B2CF9AE}" pid="3" name="KSOSaveFontToCloudKey">
    <vt:lpwstr>238841888_btnclosed</vt:lpwstr>
  </property>
</Properties>
</file>