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F09" w:rsidRDefault="00501E14">
      <w:pPr>
        <w:rPr>
          <w:rFonts w:ascii="CESI黑体-GB2312" w:eastAsia="CESI黑体-GB2312" w:hAnsi="CESI黑体-GB2312" w:cs="CESI黑体-GB2312"/>
          <w:sz w:val="32"/>
          <w:szCs w:val="24"/>
        </w:rPr>
      </w:pPr>
      <w:r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>
        <w:rPr>
          <w:rFonts w:ascii="CESI黑体-GB2312" w:eastAsia="CESI黑体-GB2312" w:hAnsi="CESI黑体-GB2312" w:cs="CESI黑体-GB2312"/>
          <w:sz w:val="32"/>
          <w:szCs w:val="24"/>
        </w:rPr>
        <w:t>2</w:t>
      </w:r>
      <w:r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:rsidR="00721F09" w:rsidRDefault="00542406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门头沟区国资委</w:t>
      </w:r>
      <w:r w:rsidR="00501E14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2025</w:t>
      </w:r>
      <w:r w:rsidR="00501E14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预算年度重点支出项目</w:t>
      </w:r>
    </w:p>
    <w:p w:rsidR="00721F09" w:rsidRDefault="00501E1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:rsidR="00542406" w:rsidRDefault="00542406" w:rsidP="00542406">
      <w:pPr>
        <w:spacing w:line="560" w:lineRule="exact"/>
        <w:ind w:firstLineChars="200" w:firstLine="600"/>
        <w:outlineLvl w:val="0"/>
        <w:rPr>
          <w:rFonts w:ascii="仿宋_GB2312" w:eastAsia="仿宋_GB2312" w:hAnsi="Times New Roman" w:cs="Times New Roman" w:hint="eastAsia"/>
          <w:bCs/>
          <w:sz w:val="30"/>
          <w:szCs w:val="32"/>
        </w:rPr>
      </w:pPr>
    </w:p>
    <w:p w:rsidR="00721F09" w:rsidRDefault="00501E14" w:rsidP="00542406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（一）项目概况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北京市门头沟区京西产业引导基金（有限合伙）（以下简称“京西产业引导基金”）于</w:t>
      </w:r>
      <w:r>
        <w:rPr>
          <w:rFonts w:ascii="仿宋_GB2312" w:eastAsia="仿宋_GB2312" w:hint="eastAsia"/>
          <w:sz w:val="32"/>
          <w:szCs w:val="32"/>
        </w:rPr>
        <w:t>2023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月正式设立，基金总规模</w:t>
      </w:r>
      <w:r>
        <w:rPr>
          <w:rFonts w:ascii="仿宋_GB2312" w:eastAsia="仿宋_GB2312" w:hint="eastAsia"/>
          <w:sz w:val="32"/>
          <w:szCs w:val="32"/>
        </w:rPr>
        <w:t>10.1</w:t>
      </w:r>
      <w:r>
        <w:rPr>
          <w:rFonts w:ascii="仿宋_GB2312" w:eastAsia="仿宋_GB2312" w:hint="eastAsia"/>
          <w:sz w:val="32"/>
          <w:szCs w:val="32"/>
        </w:rPr>
        <w:t>亿元。其中，北京石龙经济开发区投资开发有限公司（以下简称“石龙公司”）作为我区基金出资主体，认缴出资额</w:t>
      </w:r>
      <w:r>
        <w:rPr>
          <w:rFonts w:ascii="仿宋_GB2312" w:eastAsia="仿宋_GB2312" w:hint="eastAsia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亿元，对应持有合伙企业</w:t>
      </w:r>
      <w:r>
        <w:rPr>
          <w:rFonts w:ascii="仿宋_GB2312" w:eastAsia="仿宋_GB2312" w:hint="eastAsia"/>
          <w:sz w:val="32"/>
          <w:szCs w:val="32"/>
        </w:rPr>
        <w:t>99.01%</w:t>
      </w:r>
      <w:r>
        <w:rPr>
          <w:rFonts w:ascii="仿宋_GB2312" w:eastAsia="仿宋_GB2312" w:hint="eastAsia"/>
          <w:sz w:val="32"/>
          <w:szCs w:val="32"/>
        </w:rPr>
        <w:t>的合伙份额。截至</w:t>
      </w:r>
      <w:r>
        <w:rPr>
          <w:rFonts w:ascii="仿宋_GB2312" w:eastAsia="仿宋_GB2312" w:hint="eastAsia"/>
          <w:sz w:val="32"/>
          <w:szCs w:val="32"/>
        </w:rPr>
        <w:t>2025</w:t>
      </w:r>
      <w:r>
        <w:rPr>
          <w:rFonts w:ascii="仿宋_GB2312" w:eastAsia="仿宋_GB2312" w:hint="eastAsia"/>
          <w:sz w:val="32"/>
          <w:szCs w:val="32"/>
        </w:rPr>
        <w:t>年末，石龙公司对京西产业引导基金累计完成实缴出资</w:t>
      </w:r>
      <w:r>
        <w:rPr>
          <w:rFonts w:ascii="仿宋_GB2312" w:eastAsia="仿宋_GB2312" w:hint="eastAsia"/>
          <w:sz w:val="32"/>
          <w:szCs w:val="32"/>
        </w:rPr>
        <w:t>3.35</w:t>
      </w:r>
      <w:r>
        <w:rPr>
          <w:rFonts w:ascii="仿宋_GB2312" w:eastAsia="仿宋_GB2312" w:hint="eastAsia"/>
          <w:sz w:val="32"/>
          <w:szCs w:val="32"/>
        </w:rPr>
        <w:t>亿元。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（二）项目资金投入及使用情况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基金投资方面，京西产业引导基金严格</w:t>
      </w:r>
      <w:r>
        <w:rPr>
          <w:rFonts w:ascii="仿宋_GB2312" w:eastAsia="仿宋_GB2312" w:hint="eastAsia"/>
          <w:sz w:val="32"/>
          <w:szCs w:val="32"/>
        </w:rPr>
        <w:t>对标区委、区政府产业发展战略，紧扣区域重点产业培育目标，打造“</w:t>
      </w:r>
      <w:r>
        <w:rPr>
          <w:rFonts w:ascii="仿宋_GB2312" w:eastAsia="仿宋_GB2312" w:hint="eastAsia"/>
          <w:sz w:val="32"/>
          <w:szCs w:val="32"/>
        </w:rPr>
        <w:t>1+3+N</w:t>
      </w:r>
      <w:r>
        <w:rPr>
          <w:rFonts w:ascii="仿宋_GB2312" w:eastAsia="仿宋_GB2312" w:hint="eastAsia"/>
          <w:sz w:val="32"/>
          <w:szCs w:val="32"/>
        </w:rPr>
        <w:t>”投资体系（即</w:t>
      </w:r>
      <w:proofErr w:type="gramStart"/>
      <w:r>
        <w:rPr>
          <w:rFonts w:ascii="仿宋_GB2312" w:eastAsia="仿宋_GB2312" w:hint="eastAsia"/>
          <w:sz w:val="32"/>
          <w:szCs w:val="32"/>
        </w:rPr>
        <w:t>母基金</w:t>
      </w:r>
      <w:proofErr w:type="gramEnd"/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三大产业</w:t>
      </w:r>
      <w:proofErr w:type="gramStart"/>
      <w:r>
        <w:rPr>
          <w:rFonts w:ascii="仿宋_GB2312" w:eastAsia="仿宋_GB2312" w:hint="eastAsia"/>
          <w:sz w:val="32"/>
          <w:szCs w:val="32"/>
        </w:rPr>
        <w:t>子基金</w:t>
      </w:r>
      <w:proofErr w:type="gramEnd"/>
      <w:r>
        <w:rPr>
          <w:rFonts w:ascii="仿宋_GB2312" w:eastAsia="仿宋_GB2312" w:hint="eastAsia"/>
          <w:sz w:val="32"/>
          <w:szCs w:val="32"/>
        </w:rPr>
        <w:t>+N</w:t>
      </w:r>
      <w:proofErr w:type="gramStart"/>
      <w:r>
        <w:rPr>
          <w:rFonts w:ascii="仿宋_GB2312" w:eastAsia="仿宋_GB2312" w:hint="eastAsia"/>
          <w:sz w:val="32"/>
          <w:szCs w:val="32"/>
        </w:rPr>
        <w:t>个硬科技</w:t>
      </w:r>
      <w:proofErr w:type="gramEnd"/>
      <w:r>
        <w:rPr>
          <w:rFonts w:ascii="仿宋_GB2312" w:eastAsia="仿宋_GB2312" w:hint="eastAsia"/>
          <w:sz w:val="32"/>
          <w:szCs w:val="32"/>
        </w:rPr>
        <w:t>产业子基金）。截至目前已累计完成投资</w:t>
      </w:r>
      <w:r>
        <w:rPr>
          <w:rFonts w:ascii="仿宋_GB2312" w:eastAsia="仿宋_GB2312" w:hint="eastAsia"/>
          <w:sz w:val="32"/>
          <w:szCs w:val="32"/>
        </w:rPr>
        <w:t>3.32</w:t>
      </w:r>
      <w:r>
        <w:rPr>
          <w:rFonts w:ascii="仿宋_GB2312" w:eastAsia="仿宋_GB2312" w:hint="eastAsia"/>
          <w:sz w:val="32"/>
          <w:szCs w:val="32"/>
        </w:rPr>
        <w:t>亿元，其中：直投项目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个，累计出资金额</w:t>
      </w:r>
      <w:r>
        <w:rPr>
          <w:rFonts w:ascii="仿宋_GB2312" w:eastAsia="仿宋_GB2312" w:hint="eastAsia"/>
          <w:sz w:val="32"/>
          <w:szCs w:val="32"/>
        </w:rPr>
        <w:t>5800</w:t>
      </w:r>
      <w:r>
        <w:rPr>
          <w:rFonts w:ascii="仿宋_GB2312" w:eastAsia="仿宋_GB2312" w:hint="eastAsia"/>
          <w:sz w:val="32"/>
          <w:szCs w:val="32"/>
        </w:rPr>
        <w:t>万元；参与投资</w:t>
      </w:r>
      <w:proofErr w:type="gramStart"/>
      <w:r>
        <w:rPr>
          <w:rFonts w:ascii="仿宋_GB2312" w:eastAsia="仿宋_GB2312" w:hint="eastAsia"/>
          <w:sz w:val="32"/>
          <w:szCs w:val="32"/>
        </w:rPr>
        <w:t>子基金</w:t>
      </w:r>
      <w:proofErr w:type="gramEnd"/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只，累计出资金额</w:t>
      </w:r>
      <w:r>
        <w:rPr>
          <w:rFonts w:ascii="仿宋_GB2312" w:eastAsia="仿宋_GB2312" w:hint="eastAsia"/>
          <w:sz w:val="32"/>
          <w:szCs w:val="32"/>
        </w:rPr>
        <w:t>2.74</w:t>
      </w:r>
      <w:r>
        <w:rPr>
          <w:rFonts w:ascii="仿宋_GB2312" w:eastAsia="仿宋_GB2312" w:hint="eastAsia"/>
          <w:sz w:val="32"/>
          <w:szCs w:val="32"/>
        </w:rPr>
        <w:t>亿元，有效释放产业引导与赋能带动效应。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</w:t>
      </w:r>
      <w:r>
        <w:rPr>
          <w:rFonts w:ascii="仿宋_GB2312" w:eastAsia="仿宋_GB2312" w:hint="eastAsia"/>
          <w:sz w:val="32"/>
          <w:szCs w:val="32"/>
        </w:rPr>
        <w:t>年度投入</w:t>
      </w:r>
      <w:r>
        <w:rPr>
          <w:rFonts w:ascii="仿宋_GB2312" w:eastAsia="仿宋_GB2312" w:hint="eastAsia"/>
          <w:sz w:val="32"/>
          <w:szCs w:val="32"/>
        </w:rPr>
        <w:t>2500</w:t>
      </w:r>
      <w:r>
        <w:rPr>
          <w:rFonts w:ascii="仿宋_GB2312" w:eastAsia="仿宋_GB2312" w:hint="eastAsia"/>
          <w:sz w:val="32"/>
          <w:szCs w:val="32"/>
        </w:rPr>
        <w:t>万元，专项投资子基金。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（三）项目资金管理情况分析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对项目资金的主要管理措施、执行的资金管理制度、绩效目标编制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是否开展绩效监控和绩效评估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评价情况等预算</w:t>
      </w:r>
      <w:r>
        <w:rPr>
          <w:rFonts w:ascii="仿宋_GB2312" w:eastAsia="仿宋_GB2312"/>
          <w:sz w:val="32"/>
          <w:szCs w:val="32"/>
        </w:rPr>
        <w:t>管理情</w:t>
      </w:r>
      <w:r>
        <w:rPr>
          <w:rFonts w:ascii="仿宋_GB2312" w:eastAsia="仿宋_GB2312"/>
          <w:sz w:val="32"/>
          <w:szCs w:val="32"/>
        </w:rPr>
        <w:lastRenderedPageBreak/>
        <w:t>况</w:t>
      </w:r>
      <w:r>
        <w:rPr>
          <w:rFonts w:ascii="仿宋_GB2312" w:eastAsia="仿宋_GB2312" w:hint="eastAsia"/>
          <w:sz w:val="32"/>
          <w:szCs w:val="32"/>
        </w:rPr>
        <w:t>进行说明。</w:t>
      </w:r>
      <w:r>
        <w:rPr>
          <w:rFonts w:ascii="仿宋_GB2312" w:eastAsia="仿宋_GB2312" w:hAnsi="宋体" w:cs="Times New Roman" w:hint="eastAsia"/>
          <w:sz w:val="32"/>
          <w:szCs w:val="32"/>
        </w:rPr>
        <w:t>有</w:t>
      </w:r>
      <w:r>
        <w:rPr>
          <w:rFonts w:ascii="仿宋_GB2312" w:eastAsia="仿宋_GB2312" w:hAnsi="宋体" w:cs="Times New Roman"/>
          <w:sz w:val="32"/>
          <w:szCs w:val="32"/>
        </w:rPr>
        <w:t>若干个资金支出方向或子项目的，要做</w:t>
      </w:r>
      <w:r>
        <w:rPr>
          <w:rFonts w:ascii="仿宋_GB2312" w:eastAsia="仿宋_GB2312" w:hAnsi="宋体" w:cs="Times New Roman" w:hint="eastAsia"/>
          <w:sz w:val="32"/>
          <w:szCs w:val="32"/>
        </w:rPr>
        <w:t>结构</w:t>
      </w:r>
      <w:r>
        <w:rPr>
          <w:rFonts w:ascii="仿宋_GB2312" w:eastAsia="仿宋_GB2312" w:hAnsi="宋体" w:cs="Times New Roman"/>
          <w:sz w:val="32"/>
          <w:szCs w:val="32"/>
        </w:rPr>
        <w:t>分析和</w:t>
      </w:r>
      <w:r>
        <w:rPr>
          <w:rFonts w:ascii="仿宋_GB2312" w:eastAsia="仿宋_GB2312" w:hAnsi="宋体" w:cs="Times New Roman" w:hint="eastAsia"/>
          <w:sz w:val="32"/>
          <w:szCs w:val="32"/>
        </w:rPr>
        <w:t>区域</w:t>
      </w:r>
      <w:r>
        <w:rPr>
          <w:rFonts w:ascii="仿宋_GB2312" w:eastAsia="仿宋_GB2312" w:hAnsi="宋体" w:cs="Times New Roman"/>
          <w:sz w:val="32"/>
          <w:szCs w:val="32"/>
        </w:rPr>
        <w:t>总体分析。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收益管理及财政上缴方面，京西产业引导基金累计向石龙公司分配收益约</w:t>
      </w:r>
      <w:r>
        <w:rPr>
          <w:rFonts w:ascii="仿宋_GB2312" w:eastAsia="仿宋_GB2312" w:hint="eastAsia"/>
          <w:sz w:val="32"/>
          <w:szCs w:val="32"/>
        </w:rPr>
        <w:t>142.25</w:t>
      </w:r>
      <w:r>
        <w:rPr>
          <w:rFonts w:ascii="仿宋_GB2312" w:eastAsia="仿宋_GB2312" w:hint="eastAsia"/>
          <w:sz w:val="32"/>
          <w:szCs w:val="32"/>
        </w:rPr>
        <w:t>万元，基金专项监管账户产生利息收入约</w:t>
      </w:r>
      <w:r>
        <w:rPr>
          <w:rFonts w:ascii="仿宋_GB2312" w:eastAsia="仿宋_GB2312" w:hint="eastAsia"/>
          <w:sz w:val="32"/>
          <w:szCs w:val="32"/>
        </w:rPr>
        <w:t>12.3</w:t>
      </w:r>
      <w:r>
        <w:rPr>
          <w:rFonts w:ascii="仿宋_GB2312" w:eastAsia="仿宋_GB2312" w:hint="eastAsia"/>
          <w:sz w:val="32"/>
          <w:szCs w:val="32"/>
        </w:rPr>
        <w:t>万元，两项合计实现收益总额</w:t>
      </w:r>
      <w:r>
        <w:rPr>
          <w:rFonts w:ascii="仿宋_GB2312" w:eastAsia="仿宋_GB2312" w:hint="eastAsia"/>
          <w:sz w:val="32"/>
          <w:szCs w:val="32"/>
        </w:rPr>
        <w:t>154.55</w:t>
      </w:r>
      <w:r>
        <w:rPr>
          <w:rFonts w:ascii="仿宋_GB2312" w:eastAsia="仿宋_GB2312" w:hint="eastAsia"/>
          <w:sz w:val="32"/>
          <w:szCs w:val="32"/>
        </w:rPr>
        <w:t>万元。石龙公司严格落实国有资产收益管理相关规定，上述全部收益已全额上缴至区财政局，实现国有资产收益闭环管理。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二、绩效自评结论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绩效自评总分：</w:t>
      </w:r>
      <w:r>
        <w:rPr>
          <w:rFonts w:ascii="仿宋_GB2312" w:eastAsia="仿宋_GB2312" w:hint="eastAsia"/>
          <w:sz w:val="32"/>
          <w:szCs w:val="32"/>
        </w:rPr>
        <w:t>100</w:t>
      </w:r>
      <w:r>
        <w:rPr>
          <w:rFonts w:ascii="仿宋_GB2312" w:eastAsia="仿宋_GB2312" w:hint="eastAsia"/>
          <w:sz w:val="32"/>
          <w:szCs w:val="32"/>
        </w:rPr>
        <w:t>分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绩效自评等级：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优秀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三、绩效目标完成情况分析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（一）项目绩效目标、绩效指标设定情况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本项目</w:t>
      </w:r>
      <w:r w:rsidR="00542406">
        <w:rPr>
          <w:rFonts w:ascii="仿宋_GB2312" w:eastAsia="仿宋_GB2312" w:hint="eastAsia"/>
          <w:sz w:val="32"/>
          <w:szCs w:val="32"/>
        </w:rPr>
        <w:t>2025</w:t>
      </w:r>
      <w:r>
        <w:rPr>
          <w:rFonts w:ascii="仿宋_GB2312" w:eastAsia="仿宋_GB2312" w:hint="eastAsia"/>
          <w:sz w:val="32"/>
          <w:szCs w:val="32"/>
        </w:rPr>
        <w:t>年度核心绩效目标为：完成</w:t>
      </w:r>
      <w:proofErr w:type="gramStart"/>
      <w:r>
        <w:rPr>
          <w:rFonts w:ascii="仿宋_GB2312" w:eastAsia="仿宋_GB2312" w:hint="eastAsia"/>
          <w:sz w:val="32"/>
          <w:szCs w:val="32"/>
        </w:rPr>
        <w:t>代持产业</w:t>
      </w:r>
      <w:proofErr w:type="gramEnd"/>
      <w:r>
        <w:rPr>
          <w:rFonts w:ascii="仿宋_GB2312" w:eastAsia="仿宋_GB2312" w:hint="eastAsia"/>
          <w:sz w:val="32"/>
          <w:szCs w:val="32"/>
        </w:rPr>
        <w:t>引导基金实缴资金的拨付，保障京西产业引导基金资金需求，服务区域产业发展。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（二）总体绩效目标完成情况分析</w:t>
      </w:r>
    </w:p>
    <w:p w:rsidR="00721F09" w:rsidRDefault="00501E14">
      <w:pPr>
        <w:spacing w:line="520" w:lineRule="exact"/>
        <w:ind w:firstLineChars="200" w:firstLine="640"/>
        <w:outlineLvl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本项目总体绩效目标为</w:t>
      </w:r>
      <w:r>
        <w:rPr>
          <w:rFonts w:ascii="仿宋_GB2312" w:eastAsia="仿宋_GB2312" w:hint="eastAsia"/>
          <w:sz w:val="32"/>
          <w:szCs w:val="32"/>
        </w:rPr>
        <w:t>“完成代持产业引导基金实缴资金的拨付”，已于</w:t>
      </w:r>
      <w:r w:rsidR="00542406">
        <w:rPr>
          <w:rFonts w:ascii="仿宋_GB2312" w:eastAsia="仿宋_GB2312" w:hint="eastAsia"/>
          <w:sz w:val="32"/>
          <w:szCs w:val="32"/>
        </w:rPr>
        <w:t>2025</w:t>
      </w:r>
      <w:r>
        <w:rPr>
          <w:rFonts w:ascii="仿宋_GB2312" w:eastAsia="仿宋_GB2312" w:hint="eastAsia"/>
          <w:sz w:val="32"/>
          <w:szCs w:val="32"/>
        </w:rPr>
        <w:t>年</w:t>
      </w:r>
      <w:r w:rsidR="00542406"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 w:rsidR="00542406"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日前全面完成，</w:t>
      </w:r>
      <w:r w:rsidR="00542406">
        <w:rPr>
          <w:rFonts w:ascii="仿宋_GB2312" w:eastAsia="仿宋_GB2312" w:hint="eastAsia"/>
          <w:sz w:val="32"/>
          <w:szCs w:val="32"/>
        </w:rPr>
        <w:t>2500.00</w:t>
      </w:r>
      <w:r>
        <w:rPr>
          <w:rFonts w:ascii="仿宋_GB2312" w:eastAsia="仿宋_GB2312" w:hint="eastAsia"/>
          <w:sz w:val="32"/>
          <w:szCs w:val="32"/>
        </w:rPr>
        <w:t>万元实缴资金全部足额拨付到位，完全达成年度总体绩效目标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（三）项目绩效指标完成情况分析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（根据财政部门批复或</w:t>
      </w:r>
      <w:r>
        <w:rPr>
          <w:rFonts w:ascii="仿宋_GB2312" w:eastAsia="仿宋_GB2312" w:hAnsi="黑体" w:cs="黑体"/>
          <w:bCs/>
          <w:sz w:val="32"/>
          <w:szCs w:val="32"/>
        </w:rPr>
        <w:t>备案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的项目支出绩效目标申报表</w:t>
      </w:r>
      <w:r>
        <w:rPr>
          <w:rFonts w:ascii="仿宋_GB2312" w:eastAsia="仿宋_GB2312" w:hAnsi="黑体" w:cs="黑体"/>
          <w:bCs/>
          <w:sz w:val="32"/>
          <w:szCs w:val="32"/>
        </w:rPr>
        <w:t>，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对照绩效指标</w:t>
      </w:r>
      <w:r>
        <w:rPr>
          <w:rFonts w:ascii="仿宋_GB2312" w:eastAsia="仿宋_GB2312" w:hAnsi="黑体" w:cs="黑体"/>
          <w:bCs/>
          <w:sz w:val="32"/>
          <w:szCs w:val="32"/>
        </w:rPr>
        <w:t>及指标值的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完成情况，</w:t>
      </w:r>
      <w:r>
        <w:rPr>
          <w:rFonts w:ascii="仿宋_GB2312" w:eastAsia="仿宋_GB2312" w:hAnsi="黑体" w:cs="黑体"/>
          <w:bCs/>
          <w:sz w:val="32"/>
          <w:szCs w:val="32"/>
        </w:rPr>
        <w:t>逐项</w:t>
      </w:r>
      <w:r>
        <w:rPr>
          <w:rFonts w:ascii="仿宋_GB2312" w:eastAsia="仿宋_GB2312" w:hAnsi="黑体" w:cs="黑体" w:hint="eastAsia"/>
          <w:bCs/>
          <w:sz w:val="32"/>
          <w:szCs w:val="32"/>
        </w:rPr>
        <w:t>进行分析说明）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1.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产出指标完成情况分析。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1</w:t>
      </w:r>
      <w:r>
        <w:rPr>
          <w:rFonts w:ascii="仿宋_GB2312" w:eastAsia="仿宋_GB2312" w:hAnsi="黑体" w:cs="黑体" w:hint="eastAsia"/>
          <w:bCs/>
          <w:sz w:val="32"/>
          <w:szCs w:val="32"/>
        </w:rPr>
        <w:t>）数量指标：三级指标为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 xml:space="preserve"> </w:t>
      </w:r>
      <w:r>
        <w:rPr>
          <w:rFonts w:ascii="仿宋_GB2312" w:eastAsia="仿宋_GB2312" w:hAnsi="黑体" w:cs="黑体" w:hint="eastAsia"/>
          <w:bCs/>
          <w:sz w:val="32"/>
          <w:szCs w:val="32"/>
        </w:rPr>
        <w:t>“向京西产业引导基金出资”，</w:t>
      </w:r>
      <w:r>
        <w:rPr>
          <w:rFonts w:ascii="仿宋_GB2312" w:eastAsia="仿宋_GB2312" w:hAnsi="黑体" w:cs="黑体" w:hint="eastAsia"/>
          <w:bCs/>
          <w:sz w:val="32"/>
          <w:szCs w:val="32"/>
        </w:rPr>
        <w:lastRenderedPageBreak/>
        <w:t>年度指标值为</w:t>
      </w:r>
      <w:r w:rsidR="00542406">
        <w:rPr>
          <w:rFonts w:ascii="仿宋_GB2312" w:eastAsia="仿宋_GB2312" w:hAnsi="黑体" w:cs="黑体" w:hint="eastAsia"/>
          <w:bCs/>
          <w:sz w:val="32"/>
          <w:szCs w:val="32"/>
        </w:rPr>
        <w:t>1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个，全年实际完成值为</w:t>
      </w:r>
      <w:r w:rsidR="00542406">
        <w:rPr>
          <w:rFonts w:ascii="仿宋_GB2312" w:eastAsia="仿宋_GB2312" w:hAnsi="黑体" w:cs="黑体" w:hint="eastAsia"/>
          <w:bCs/>
          <w:sz w:val="32"/>
          <w:szCs w:val="32"/>
        </w:rPr>
        <w:t>1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个，</w:t>
      </w:r>
      <w:r w:rsidR="00542406">
        <w:rPr>
          <w:rFonts w:ascii="仿宋_GB2312" w:eastAsia="仿宋_GB2312" w:hAnsi="黑体" w:cs="黑体" w:hint="eastAsia"/>
          <w:bCs/>
          <w:sz w:val="32"/>
          <w:szCs w:val="32"/>
        </w:rPr>
        <w:t>100%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完成指标要求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2</w:t>
      </w:r>
      <w:r>
        <w:rPr>
          <w:rFonts w:ascii="仿宋_GB2312" w:eastAsia="仿宋_GB2312" w:hAnsi="黑体" w:cs="黑体" w:hint="eastAsia"/>
          <w:bCs/>
          <w:sz w:val="32"/>
          <w:szCs w:val="32"/>
        </w:rPr>
        <w:t>）质量指标：三级指标为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>“向京西产业引导基金实缴”，年度指标值为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>“按系统质量要求”，全年实际完成值为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>“完成”，严格按照相关制度及系统要求完成实缴出资，资金拨付全流程合</w:t>
      </w:r>
      <w:proofErr w:type="gramStart"/>
      <w:r>
        <w:rPr>
          <w:rFonts w:ascii="仿宋_GB2312" w:eastAsia="仿宋_GB2312" w:hAnsi="黑体" w:cs="黑体" w:hint="eastAsia"/>
          <w:bCs/>
          <w:sz w:val="32"/>
          <w:szCs w:val="32"/>
        </w:rPr>
        <w:t>规</w:t>
      </w:r>
      <w:proofErr w:type="gramEnd"/>
      <w:r>
        <w:rPr>
          <w:rFonts w:ascii="仿宋_GB2312" w:eastAsia="仿宋_GB2312" w:hAnsi="黑体" w:cs="黑体" w:hint="eastAsia"/>
          <w:bCs/>
          <w:sz w:val="32"/>
          <w:szCs w:val="32"/>
        </w:rPr>
        <w:t>、质量达标，</w:t>
      </w:r>
      <w:r w:rsidR="004A7607">
        <w:rPr>
          <w:rFonts w:ascii="仿宋_GB2312" w:eastAsia="仿宋_GB2312" w:hAnsi="黑体" w:cs="黑体" w:hint="eastAsia"/>
          <w:bCs/>
          <w:sz w:val="32"/>
          <w:szCs w:val="32"/>
        </w:rPr>
        <w:t>100%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完成指标要求</w:t>
      </w:r>
      <w:r>
        <w:rPr>
          <w:rFonts w:ascii="仿宋_GB2312" w:eastAsia="仿宋_GB2312" w:hAnsi="黑体" w:cs="黑体" w:hint="eastAsia"/>
          <w:bCs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>
        <w:rPr>
          <w:rFonts w:ascii="仿宋_GB2312" w:eastAsia="仿宋_GB2312" w:hAnsi="黑体" w:cs="黑体" w:hint="eastAsia"/>
          <w:bCs/>
          <w:sz w:val="32"/>
          <w:szCs w:val="32"/>
        </w:rPr>
        <w:t>3</w:t>
      </w:r>
      <w:r>
        <w:rPr>
          <w:rFonts w:ascii="仿宋_GB2312" w:eastAsia="仿宋_GB2312" w:hAnsi="黑体" w:cs="黑体" w:hint="eastAsia"/>
          <w:bCs/>
          <w:sz w:val="32"/>
          <w:szCs w:val="32"/>
        </w:rPr>
        <w:t>）时效指标：三级指标为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>“项目完成时间”，年度指标值为</w:t>
      </w:r>
      <w:r w:rsidR="004A7607">
        <w:rPr>
          <w:rFonts w:ascii="仿宋_GB2312" w:eastAsia="仿宋_GB2312" w:hAnsi="黑体" w:cs="黑体" w:hint="eastAsia"/>
          <w:bCs/>
          <w:sz w:val="32"/>
          <w:szCs w:val="32"/>
        </w:rPr>
        <w:t>2025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年底，全年实际完成时间为</w:t>
      </w:r>
      <w:r>
        <w:rPr>
          <w:rFonts w:ascii="仿宋_GB2312" w:eastAsia="仿宋_GB2312" w:hAnsi="黑体" w:cs="黑体" w:hint="eastAsia"/>
          <w:bCs/>
          <w:sz w:val="32"/>
          <w:szCs w:val="32"/>
        </w:rPr>
        <w:t>2025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年</w:t>
      </w:r>
      <w:r w:rsidR="004A7607">
        <w:rPr>
          <w:rFonts w:ascii="仿宋_GB2312" w:eastAsia="仿宋_GB2312" w:hAnsi="黑体" w:cs="黑体" w:hint="eastAsia"/>
          <w:bCs/>
          <w:sz w:val="32"/>
          <w:szCs w:val="32"/>
        </w:rPr>
        <w:t>12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月</w:t>
      </w:r>
      <w:r w:rsidR="004A7607">
        <w:rPr>
          <w:rFonts w:ascii="仿宋_GB2312" w:eastAsia="仿宋_GB2312" w:hAnsi="黑体" w:cs="黑体" w:hint="eastAsia"/>
          <w:bCs/>
          <w:sz w:val="32"/>
          <w:szCs w:val="32"/>
        </w:rPr>
        <w:t>31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日，在年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度要求时限内全面完成项目实施，</w:t>
      </w:r>
      <w:r w:rsidR="004A7607">
        <w:rPr>
          <w:rFonts w:ascii="仿宋_GB2312" w:eastAsia="仿宋_GB2312" w:hAnsi="黑体" w:cs="黑体" w:hint="eastAsia"/>
          <w:bCs/>
          <w:sz w:val="32"/>
          <w:szCs w:val="32"/>
        </w:rPr>
        <w:t>100%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完成指标要求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成本指标。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</w:t>
      </w:r>
      <w:r>
        <w:rPr>
          <w:rFonts w:ascii="仿宋_GB2312" w:eastAsia="仿宋_GB2312" w:hint="eastAsia"/>
          <w:bCs/>
          <w:sz w:val="32"/>
          <w:szCs w:val="32"/>
        </w:rPr>
        <w:t>1</w:t>
      </w:r>
      <w:r>
        <w:rPr>
          <w:rFonts w:ascii="仿宋_GB2312" w:eastAsia="仿宋_GB2312" w:hint="eastAsia"/>
          <w:bCs/>
          <w:sz w:val="32"/>
          <w:szCs w:val="32"/>
        </w:rPr>
        <w:t>）经济成本指标：三级指标为</w:t>
      </w:r>
      <w:r>
        <w:rPr>
          <w:rFonts w:ascii="仿宋_GB2312" w:eastAsia="仿宋_GB2312" w:hint="eastAsia"/>
          <w:bCs/>
          <w:sz w:val="32"/>
          <w:szCs w:val="32"/>
        </w:rPr>
        <w:t>“项目总资金”，年度指标值为</w:t>
      </w:r>
      <w:r w:rsidR="004A7607">
        <w:rPr>
          <w:rFonts w:ascii="仿宋_GB2312" w:eastAsia="仿宋_GB2312" w:hint="eastAsia"/>
          <w:bCs/>
          <w:sz w:val="32"/>
          <w:szCs w:val="32"/>
        </w:rPr>
        <w:t>2500.00</w:t>
      </w:r>
      <w:r>
        <w:rPr>
          <w:rFonts w:ascii="仿宋_GB2312" w:eastAsia="仿宋_GB2312" w:hint="eastAsia"/>
          <w:bCs/>
          <w:sz w:val="32"/>
          <w:szCs w:val="32"/>
        </w:rPr>
        <w:t>万元，全年实际完成值为</w:t>
      </w:r>
      <w:r>
        <w:rPr>
          <w:rFonts w:ascii="仿宋_GB2312" w:eastAsia="仿宋_GB2312" w:hint="eastAsia"/>
          <w:bCs/>
          <w:sz w:val="32"/>
          <w:szCs w:val="32"/>
        </w:rPr>
        <w:t>2500</w:t>
      </w:r>
      <w:bookmarkStart w:id="0" w:name="_GoBack"/>
      <w:bookmarkEnd w:id="0"/>
      <w:r w:rsidR="004A7607">
        <w:rPr>
          <w:rFonts w:ascii="仿宋_GB2312" w:eastAsia="仿宋_GB2312" w:hint="eastAsia"/>
          <w:bCs/>
          <w:sz w:val="32"/>
          <w:szCs w:val="32"/>
        </w:rPr>
        <w:t>.00</w:t>
      </w:r>
      <w:r>
        <w:rPr>
          <w:rFonts w:ascii="仿宋_GB2312" w:eastAsia="仿宋_GB2312" w:hint="eastAsia"/>
          <w:bCs/>
          <w:sz w:val="32"/>
          <w:szCs w:val="32"/>
        </w:rPr>
        <w:t>万元，项目资金严格控制在预算范围内，无超支情况，</w:t>
      </w:r>
      <w:r w:rsidR="004A7607">
        <w:rPr>
          <w:rFonts w:ascii="仿宋_GB2312" w:eastAsia="仿宋_GB2312" w:hint="eastAsia"/>
          <w:bCs/>
          <w:sz w:val="32"/>
          <w:szCs w:val="32"/>
        </w:rPr>
        <w:t>100%</w:t>
      </w:r>
      <w:r>
        <w:rPr>
          <w:rFonts w:ascii="仿宋_GB2312" w:eastAsia="仿宋_GB2312" w:hint="eastAsia"/>
          <w:bCs/>
          <w:sz w:val="32"/>
          <w:szCs w:val="32"/>
        </w:rPr>
        <w:t>完成成本控制目标</w:t>
      </w:r>
      <w:r>
        <w:rPr>
          <w:rFonts w:ascii="仿宋_GB2312" w:eastAsia="仿宋_GB2312" w:hint="eastAsia"/>
          <w:bCs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</w:t>
      </w:r>
      <w:r>
        <w:rPr>
          <w:rFonts w:ascii="仿宋_GB2312" w:eastAsia="仿宋_GB2312" w:hint="eastAsia"/>
          <w:bCs/>
          <w:sz w:val="32"/>
          <w:szCs w:val="32"/>
        </w:rPr>
        <w:t>2</w:t>
      </w:r>
      <w:r>
        <w:rPr>
          <w:rFonts w:ascii="仿宋_GB2312" w:eastAsia="仿宋_GB2312" w:hint="eastAsia"/>
          <w:bCs/>
          <w:sz w:val="32"/>
          <w:szCs w:val="32"/>
        </w:rPr>
        <w:t>）社会成本指标：本项目无相关社会成本指标，无额外社会成本支出。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</w:t>
      </w:r>
      <w:r>
        <w:rPr>
          <w:rFonts w:ascii="仿宋_GB2312" w:eastAsia="仿宋_GB2312" w:hint="eastAsia"/>
          <w:bCs/>
          <w:sz w:val="32"/>
          <w:szCs w:val="32"/>
        </w:rPr>
        <w:t>3</w:t>
      </w:r>
      <w:r>
        <w:rPr>
          <w:rFonts w:ascii="仿宋_GB2312" w:eastAsia="仿宋_GB2312" w:hint="eastAsia"/>
          <w:bCs/>
          <w:sz w:val="32"/>
          <w:szCs w:val="32"/>
        </w:rPr>
        <w:t>）生态环境成本指标：本项目无相关生态环境成本指标，无生态环境相关成本支出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效益指标完成情况分析。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）经</w:t>
      </w:r>
      <w:r>
        <w:rPr>
          <w:rFonts w:ascii="仿宋_GB2312" w:eastAsia="仿宋_GB2312" w:hint="eastAsia"/>
          <w:sz w:val="32"/>
          <w:szCs w:val="32"/>
        </w:rPr>
        <w:t>济效益：本项目为产业引导基金出资项目，核心效益为产业引导带动效应，通过基金投资撬动社会资本参与区域重点产业发展，助力区域产业结构优化升级，为区域经济高质量发展注入长期动力。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）社会效益：三级指标为</w:t>
      </w:r>
      <w:r>
        <w:rPr>
          <w:rFonts w:ascii="仿宋_GB2312" w:eastAsia="仿宋_GB2312" w:hint="eastAsia"/>
          <w:sz w:val="32"/>
          <w:szCs w:val="32"/>
        </w:rPr>
        <w:t>“满足京西产业引导基金资金需求”，年度指标值为</w:t>
      </w:r>
      <w:r>
        <w:rPr>
          <w:rFonts w:ascii="仿宋_GB2312" w:eastAsia="仿宋_GB2312" w:hint="eastAsia"/>
          <w:sz w:val="32"/>
          <w:szCs w:val="32"/>
        </w:rPr>
        <w:t>“满足京西产业引导基金资金需求”，全年实际完成值为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“满足”，通过本次实缴出资，足额保障了京西产</w:t>
      </w:r>
      <w:r>
        <w:rPr>
          <w:rFonts w:ascii="仿宋_GB2312" w:eastAsia="仿宋_GB2312" w:hint="eastAsia"/>
          <w:sz w:val="32"/>
          <w:szCs w:val="32"/>
        </w:rPr>
        <w:lastRenderedPageBreak/>
        <w:t>业引导基金的投资运营资金需求，有效支撑了基金对区域重点产业、优质企业的投资布局，助力区域产业培育、就业岗位创造，实现了良好的社会效益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）生态</w:t>
      </w:r>
      <w:r>
        <w:rPr>
          <w:rFonts w:ascii="仿宋_GB2312" w:eastAsia="仿宋_GB2312" w:hint="eastAsia"/>
          <w:sz w:val="32"/>
          <w:szCs w:val="32"/>
        </w:rPr>
        <w:t>效益：本项目无相关生态效益指标，无生态环境相关影响。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）可持续影响：本项目通过持续向京西产业引导基金出资，不断壮大基金投资规模，完善区域产业投资体系，为区域重点产业发展提供长期、稳定的资本支持，助力区域构建现代化产业体系，实现经济社会可持续高质量发展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满意度指标完成情况分析。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三级指标为</w:t>
      </w:r>
      <w:r>
        <w:rPr>
          <w:rFonts w:ascii="仿宋_GB2312" w:eastAsia="仿宋_GB2312" w:hint="eastAsia"/>
          <w:sz w:val="32"/>
          <w:szCs w:val="32"/>
        </w:rPr>
        <w:t>“服务对象满意度”，年度指标值为≥</w:t>
      </w:r>
      <w:r>
        <w:rPr>
          <w:rFonts w:ascii="仿宋_GB2312" w:eastAsia="仿宋_GB2312" w:hint="eastAsia"/>
          <w:sz w:val="32"/>
          <w:szCs w:val="32"/>
        </w:rPr>
        <w:t>95%</w:t>
      </w:r>
      <w:r w:rsidR="004A7607">
        <w:rPr>
          <w:rFonts w:ascii="仿宋_GB2312" w:eastAsia="仿宋_GB2312" w:hint="eastAsia"/>
          <w:sz w:val="32"/>
          <w:szCs w:val="32"/>
        </w:rPr>
        <w:t>，全年实际完成值达标，服务对象满意度符合年度指标要求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四、发现的主要问题和改进措施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21F09" w:rsidRDefault="00501E14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五、有关</w:t>
      </w:r>
      <w:r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其他需要说明的情况</w:t>
      </w:r>
    </w:p>
    <w:p w:rsidR="00721F09" w:rsidRDefault="00501E14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</w:p>
    <w:p w:rsidR="00721F09" w:rsidRDefault="00721F09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21F09" w:rsidRDefault="00501E14">
      <w:pPr>
        <w:spacing w:line="520" w:lineRule="exact"/>
        <w:ind w:leftChars="200" w:left="6660" w:hangingChars="1950" w:hanging="62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                     </w:t>
      </w:r>
    </w:p>
    <w:sectPr w:rsidR="00721F09" w:rsidSect="00721F09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E14" w:rsidRDefault="00501E14" w:rsidP="00542406">
      <w:r>
        <w:separator/>
      </w:r>
    </w:p>
  </w:endnote>
  <w:endnote w:type="continuationSeparator" w:id="0">
    <w:p w:rsidR="00501E14" w:rsidRDefault="00501E14" w:rsidP="00542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SI黑体-GB2312">
    <w:altName w:val="Arial Unicode MS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E14" w:rsidRDefault="00501E14" w:rsidP="00542406">
      <w:r>
        <w:separator/>
      </w:r>
    </w:p>
  </w:footnote>
  <w:footnote w:type="continuationSeparator" w:id="0">
    <w:p w:rsidR="00501E14" w:rsidRDefault="00501E14" w:rsidP="005424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74DC6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A7607"/>
    <w:rsid w:val="004B7FE1"/>
    <w:rsid w:val="004F49B9"/>
    <w:rsid w:val="004F7834"/>
    <w:rsid w:val="00501E14"/>
    <w:rsid w:val="00504BA3"/>
    <w:rsid w:val="00542406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1F09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23581095"/>
    <w:rsid w:val="49F9606C"/>
    <w:rsid w:val="5BAA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0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21F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21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21F0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21F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290</Words>
  <Characters>1658</Characters>
  <Application>Microsoft Office Word</Application>
  <DocSecurity>0</DocSecurity>
  <Lines>13</Lines>
  <Paragraphs>3</Paragraphs>
  <ScaleCrop>false</ScaleCrop>
  <Company>Microsoft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井文胜</dc:creator>
  <cp:lastModifiedBy>a</cp:lastModifiedBy>
  <cp:revision>5</cp:revision>
  <dcterms:created xsi:type="dcterms:W3CDTF">2026-04-24T06:59:00Z</dcterms:created>
  <dcterms:modified xsi:type="dcterms:W3CDTF">2026-04-30T08:50:00Z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eyJoZGlkIjoiY2I5ZGFmZjBhMzVkMDJmNTc3MzM2OWZmMWQ3Nzk4ODMiLCJ1c2VySWQiOiIxNDUxODk3MDg0In0=</vt:lpwstr>
  </property>
  <property fmtid="{D5CDD505-2E9C-101B-9397-08002B2CF9AE}" pid="3" name="KSOProductBuildVer">
    <vt:lpwstr>2052-12.1.0.25865</vt:lpwstr>
  </property>
  <property fmtid="{D5CDD505-2E9C-101B-9397-08002B2CF9AE}" pid="4" name="ICV">
    <vt:lpwstr>84639965BCCC4EBAB63F4156ABE87665_13</vt:lpwstr>
  </property>
</Properties>
</file>