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仿宋_GB2312" w:eastAsia="仿宋_GB2312"/>
          <w:b/>
          <w:sz w:val="32"/>
          <w:szCs w:val="32"/>
        </w:rPr>
      </w:pPr>
    </w:p>
    <w:p>
      <w:pPr>
        <w:jc w:val="center"/>
        <w:rPr>
          <w:rFonts w:ascii="黑体" w:eastAsia="黑体"/>
          <w:sz w:val="72"/>
          <w:szCs w:val="72"/>
        </w:rPr>
      </w:pPr>
    </w:p>
    <w:p>
      <w:pPr>
        <w:jc w:val="center"/>
        <w:rPr>
          <w:rFonts w:ascii="黑体" w:eastAsia="黑体"/>
          <w:sz w:val="72"/>
          <w:szCs w:val="72"/>
        </w:rPr>
      </w:pPr>
    </w:p>
    <w:p>
      <w:pPr>
        <w:jc w:val="center"/>
        <w:rPr>
          <w:rFonts w:ascii="黑体" w:eastAsia="黑体"/>
          <w:sz w:val="72"/>
          <w:szCs w:val="72"/>
        </w:rPr>
      </w:pPr>
    </w:p>
    <w:p>
      <w:pPr>
        <w:jc w:val="center"/>
        <w:rPr>
          <w:rFonts w:ascii="黑体" w:eastAsia="黑体"/>
          <w:sz w:val="72"/>
          <w:szCs w:val="72"/>
        </w:rPr>
      </w:pPr>
    </w:p>
    <w:p>
      <w:pPr>
        <w:jc w:val="center"/>
        <w:rPr>
          <w:rFonts w:ascii="黑体" w:eastAsia="黑体"/>
          <w:sz w:val="72"/>
          <w:szCs w:val="72"/>
        </w:rPr>
      </w:pPr>
      <w:r>
        <w:rPr>
          <w:rFonts w:hint="eastAsia" w:ascii="黑体" w:eastAsia="黑体"/>
          <w:sz w:val="72"/>
          <w:szCs w:val="72"/>
        </w:rPr>
        <w:t>2025年度门头沟区司法局部门决算（公开</w:t>
      </w:r>
      <w:r>
        <w:rPr>
          <w:rFonts w:ascii="黑体" w:eastAsia="黑体"/>
          <w:sz w:val="72"/>
          <w:szCs w:val="72"/>
        </w:rPr>
        <w:t>）</w:t>
      </w:r>
    </w:p>
    <w:p>
      <w:pPr>
        <w:jc w:val="center"/>
        <w:rPr>
          <w:rFonts w:ascii="黑体" w:eastAsia="黑体"/>
          <w:sz w:val="52"/>
          <w:szCs w:val="52"/>
        </w:rPr>
      </w:pPr>
    </w:p>
    <w:p>
      <w:pPr>
        <w:jc w:val="center"/>
        <w:rPr>
          <w:rFonts w:ascii="黑体" w:eastAsia="黑体"/>
          <w:sz w:val="52"/>
          <w:szCs w:val="52"/>
        </w:rPr>
      </w:pPr>
    </w:p>
    <w:p>
      <w:pPr>
        <w:jc w:val="center"/>
        <w:rPr>
          <w:rFonts w:ascii="黑体" w:eastAsia="黑体"/>
          <w:sz w:val="52"/>
          <w:szCs w:val="52"/>
        </w:rPr>
      </w:pPr>
    </w:p>
    <w:p>
      <w:pPr>
        <w:jc w:val="center"/>
        <w:rPr>
          <w:rFonts w:ascii="黑体" w:eastAsia="黑体"/>
          <w:sz w:val="52"/>
          <w:szCs w:val="52"/>
        </w:rPr>
      </w:pPr>
    </w:p>
    <w:p>
      <w:pPr>
        <w:jc w:val="center"/>
        <w:rPr>
          <w:rFonts w:ascii="黑体" w:eastAsia="黑体"/>
          <w:sz w:val="32"/>
          <w:szCs w:val="32"/>
        </w:rPr>
      </w:pPr>
    </w:p>
    <w:p>
      <w:pPr>
        <w:spacing w:line="500" w:lineRule="exact"/>
        <w:ind w:firstLine="645"/>
        <w:jc w:val="center"/>
        <w:rPr>
          <w:rFonts w:ascii="宋体" w:hAnsi="宋体" w:cs="宋体"/>
          <w:b/>
          <w:bCs/>
          <w:kern w:val="0"/>
          <w:sz w:val="44"/>
          <w:szCs w:val="36"/>
        </w:rPr>
      </w:pPr>
      <w:r>
        <w:rPr>
          <w:rFonts w:hint="eastAsia" w:ascii="宋体" w:hAnsi="宋体" w:cs="宋体"/>
          <w:b/>
          <w:bCs/>
          <w:kern w:val="0"/>
          <w:sz w:val="44"/>
          <w:szCs w:val="36"/>
        </w:rPr>
        <w:t>目    录</w:t>
      </w:r>
    </w:p>
    <w:p>
      <w:pPr>
        <w:spacing w:line="500" w:lineRule="exact"/>
        <w:ind w:firstLine="645"/>
        <w:jc w:val="center"/>
        <w:rPr>
          <w:rFonts w:ascii="宋体" w:hAnsi="宋体" w:cs="宋体"/>
          <w:b/>
          <w:bCs/>
          <w:kern w:val="0"/>
          <w:sz w:val="36"/>
          <w:szCs w:val="36"/>
        </w:rPr>
      </w:pPr>
    </w:p>
    <w:p>
      <w:pPr>
        <w:tabs>
          <w:tab w:val="center" w:pos="6979"/>
        </w:tabs>
        <w:spacing w:line="500" w:lineRule="exact"/>
        <w:ind w:firstLine="1600" w:firstLineChars="400"/>
        <w:jc w:val="left"/>
        <w:rPr>
          <w:rFonts w:ascii="宋体" w:hAnsi="宋体" w:cs="宋体"/>
          <w:bCs/>
          <w:spacing w:val="40"/>
          <w:kern w:val="0"/>
          <w:sz w:val="32"/>
          <w:szCs w:val="32"/>
        </w:rPr>
      </w:pPr>
      <w:r>
        <w:rPr>
          <w:rFonts w:hint="eastAsia" w:ascii="宋体" w:hAnsi="宋体" w:cs="宋体"/>
          <w:bCs/>
          <w:spacing w:val="40"/>
          <w:kern w:val="0"/>
          <w:sz w:val="32"/>
          <w:szCs w:val="32"/>
        </w:rPr>
        <w:t>第一部分 2025年度部门决算报表</w:t>
      </w:r>
    </w:p>
    <w:p>
      <w:pPr>
        <w:tabs>
          <w:tab w:val="center" w:pos="6979"/>
        </w:tabs>
        <w:spacing w:line="500" w:lineRule="exact"/>
        <w:ind w:firstLine="2400" w:firstLineChars="600"/>
        <w:jc w:val="left"/>
        <w:rPr>
          <w:rFonts w:ascii="仿宋_GB2312" w:hAnsi="仿宋" w:eastAsia="仿宋_GB2312"/>
          <w:spacing w:val="40"/>
          <w:sz w:val="32"/>
          <w:szCs w:val="32"/>
        </w:rPr>
      </w:pPr>
      <w:r>
        <w:rPr>
          <w:rFonts w:hint="eastAsia" w:ascii="仿宋_GB2312" w:hAnsi="仿宋" w:eastAsia="仿宋_GB2312" w:cs="宋体"/>
          <w:bCs/>
          <w:spacing w:val="40"/>
          <w:kern w:val="0"/>
          <w:sz w:val="32"/>
          <w:szCs w:val="32"/>
        </w:rPr>
        <w:t>一、收入支出决算总表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二、收入决算表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三、支出决算表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四、财政拨款收入支出决算总表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五、一般公共预算财政拨款支出决算表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六、一般公共预算财政拨款</w:t>
      </w:r>
      <w:r>
        <w:rPr>
          <w:rFonts w:ascii="仿宋_GB2312" w:hAnsi="仿宋" w:eastAsia="仿宋_GB2312" w:cs="宋体"/>
          <w:bCs/>
          <w:spacing w:val="40"/>
          <w:kern w:val="0"/>
          <w:sz w:val="32"/>
          <w:szCs w:val="32"/>
        </w:rPr>
        <w:t>基本支出决算表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七</w:t>
      </w:r>
      <w:r>
        <w:rPr>
          <w:rFonts w:ascii="仿宋_GB2312" w:hAnsi="仿宋" w:eastAsia="仿宋_GB2312" w:cs="宋体"/>
          <w:bCs/>
          <w:spacing w:val="40"/>
          <w:kern w:val="0"/>
          <w:sz w:val="32"/>
          <w:szCs w:val="32"/>
        </w:rPr>
        <w:t>、</w:t>
      </w:r>
      <w:r>
        <w:rPr>
          <w:rFonts w:hint="eastAsia" w:ascii="仿宋_GB2312" w:hAnsi="仿宋" w:eastAsia="仿宋_GB2312" w:cs="宋体"/>
          <w:bCs/>
          <w:spacing w:val="40"/>
          <w:kern w:val="0"/>
          <w:sz w:val="32"/>
          <w:szCs w:val="32"/>
        </w:rPr>
        <w:t>政府性基金预算财政拨款收入支出决算表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八、</w:t>
      </w:r>
      <w:r>
        <w:rPr>
          <w:rFonts w:ascii="仿宋_GB2312" w:hAnsi="仿宋" w:eastAsia="仿宋_GB2312" w:cs="宋体"/>
          <w:bCs/>
          <w:spacing w:val="40"/>
          <w:kern w:val="0"/>
          <w:sz w:val="32"/>
          <w:szCs w:val="32"/>
        </w:rPr>
        <w:t>政府性基金</w:t>
      </w:r>
      <w:r>
        <w:rPr>
          <w:rFonts w:hint="eastAsia" w:ascii="仿宋_GB2312" w:hAnsi="仿宋" w:eastAsia="仿宋_GB2312" w:cs="宋体"/>
          <w:bCs/>
          <w:spacing w:val="40"/>
          <w:kern w:val="0"/>
          <w:sz w:val="32"/>
          <w:szCs w:val="32"/>
        </w:rPr>
        <w:t>预算</w:t>
      </w:r>
      <w:r>
        <w:rPr>
          <w:rFonts w:ascii="仿宋_GB2312" w:hAnsi="仿宋" w:eastAsia="仿宋_GB2312" w:cs="宋体"/>
          <w:bCs/>
          <w:spacing w:val="40"/>
          <w:kern w:val="0"/>
          <w:sz w:val="32"/>
          <w:szCs w:val="32"/>
        </w:rPr>
        <w:t>财政拨款基本支出决算表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九、国有资本经营预算财政拨款支出决算表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十、财政拨款“三公”经费支出决算表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十一、政府采购情况表</w:t>
      </w:r>
    </w:p>
    <w:p>
      <w:pPr>
        <w:tabs>
          <w:tab w:val="center" w:pos="6979"/>
        </w:tabs>
        <w:spacing w:line="500" w:lineRule="exact"/>
        <w:ind w:firstLine="1600" w:firstLineChars="400"/>
        <w:jc w:val="left"/>
        <w:rPr>
          <w:rFonts w:ascii="宋体" w:hAnsi="宋体" w:cs="宋体"/>
          <w:bCs/>
          <w:spacing w:val="40"/>
          <w:kern w:val="0"/>
          <w:sz w:val="32"/>
          <w:szCs w:val="32"/>
        </w:rPr>
      </w:pPr>
      <w:r>
        <w:rPr>
          <w:rFonts w:hint="eastAsia" w:ascii="宋体" w:hAnsi="宋体" w:cs="宋体"/>
          <w:bCs/>
          <w:spacing w:val="40"/>
          <w:kern w:val="0"/>
          <w:sz w:val="32"/>
          <w:szCs w:val="32"/>
        </w:rPr>
        <w:t xml:space="preserve">第二部分 </w:t>
      </w:r>
      <w:r>
        <w:rPr>
          <w:rFonts w:hint="eastAsia" w:ascii="宋体" w:hAnsi="宋体"/>
          <w:spacing w:val="40"/>
          <w:sz w:val="32"/>
          <w:szCs w:val="32"/>
        </w:rPr>
        <w:t>2025年度部门决算说明</w:t>
      </w:r>
    </w:p>
    <w:p>
      <w:pPr>
        <w:tabs>
          <w:tab w:val="center" w:pos="6979"/>
        </w:tabs>
        <w:spacing w:line="500" w:lineRule="exact"/>
        <w:ind w:firstLine="1600" w:firstLineChars="400"/>
        <w:jc w:val="left"/>
        <w:rPr>
          <w:rFonts w:ascii="宋体" w:hAnsi="宋体" w:cs="宋体"/>
          <w:spacing w:val="40"/>
          <w:kern w:val="0"/>
          <w:sz w:val="32"/>
          <w:szCs w:val="32"/>
        </w:rPr>
      </w:pPr>
      <w:r>
        <w:rPr>
          <w:rFonts w:hint="eastAsia" w:ascii="宋体" w:hAnsi="宋体" w:cs="宋体"/>
          <w:bCs/>
          <w:spacing w:val="40"/>
          <w:kern w:val="0"/>
          <w:sz w:val="32"/>
          <w:szCs w:val="32"/>
        </w:rPr>
        <w:t xml:space="preserve">第三部分 </w:t>
      </w:r>
      <w:r>
        <w:rPr>
          <w:rFonts w:hint="eastAsia" w:ascii="宋体" w:hAnsi="宋体"/>
          <w:spacing w:val="40"/>
          <w:sz w:val="32"/>
          <w:szCs w:val="32"/>
        </w:rPr>
        <w:t>2025年度</w:t>
      </w:r>
      <w:r>
        <w:rPr>
          <w:rFonts w:hint="eastAsia" w:ascii="宋体" w:hAnsi="宋体" w:cs="宋体"/>
          <w:spacing w:val="40"/>
          <w:kern w:val="0"/>
          <w:sz w:val="32"/>
          <w:szCs w:val="32"/>
        </w:rPr>
        <w:t>其他重要事项的情况说明</w:t>
      </w:r>
    </w:p>
    <w:p>
      <w:pPr>
        <w:tabs>
          <w:tab w:val="center" w:pos="6979"/>
        </w:tabs>
        <w:spacing w:line="500" w:lineRule="exact"/>
        <w:ind w:firstLine="1600" w:firstLineChars="400"/>
        <w:jc w:val="left"/>
        <w:rPr>
          <w:rFonts w:ascii="宋体" w:hAnsi="宋体" w:cs="宋体"/>
          <w:spacing w:val="40"/>
          <w:kern w:val="0"/>
          <w:sz w:val="36"/>
          <w:szCs w:val="32"/>
        </w:rPr>
      </w:pPr>
      <w:r>
        <w:rPr>
          <w:rFonts w:hint="eastAsia" w:ascii="宋体" w:hAnsi="宋体" w:cs="宋体"/>
          <w:spacing w:val="40"/>
          <w:kern w:val="0"/>
          <w:sz w:val="32"/>
          <w:szCs w:val="32"/>
        </w:rPr>
        <w:t>第四部分 2025年度部门绩效评价情况</w:t>
      </w: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r>
        <w:rPr>
          <w:rFonts w:hint="eastAsia" w:ascii="宋体" w:hAnsi="宋体" w:cs="宋体"/>
          <w:b/>
          <w:bCs/>
          <w:spacing w:val="40"/>
          <w:kern w:val="0"/>
          <w:sz w:val="44"/>
          <w:szCs w:val="44"/>
        </w:rPr>
        <w:t>第一部分 2025年度部门决算报表</w:t>
      </w:r>
    </w:p>
    <w:p>
      <w:pPr>
        <w:pStyle w:val="3"/>
        <w:rPr>
          <w:b w:val="0"/>
          <w:bCs w:val="0"/>
        </w:rPr>
        <w:sectPr>
          <w:footerReference r:id="rId3" w:type="default"/>
          <w:pgSz w:w="16838" w:h="11906" w:orient="landscape"/>
          <w:pgMar w:top="1134" w:right="1134" w:bottom="1134" w:left="1134" w:header="851" w:footer="992" w:gutter="0"/>
          <w:cols w:space="720" w:num="1"/>
          <w:docGrid w:type="linesAndChars" w:linePitch="312" w:charSpace="0"/>
        </w:sectPr>
      </w:pPr>
      <w:r>
        <w:rPr>
          <w:rFonts w:hint="eastAsia" w:ascii="仿宋_GB2312" w:eastAsia="仿宋_GB2312"/>
          <w:sz w:val="28"/>
          <w:szCs w:val="28"/>
        </w:rPr>
        <w:t xml:space="preserve">   </w:t>
      </w:r>
      <w:r>
        <w:rPr>
          <w:rFonts w:hint="eastAsia" w:ascii="仿宋_GB2312" w:eastAsia="仿宋_GB2312"/>
          <w:b w:val="0"/>
          <w:bCs w:val="0"/>
          <w:sz w:val="28"/>
          <w:szCs w:val="28"/>
        </w:rPr>
        <w:t>报表详见附件。</w:t>
      </w:r>
    </w:p>
    <w:p>
      <w:pPr>
        <w:tabs>
          <w:tab w:val="center" w:pos="6979"/>
        </w:tabs>
        <w:spacing w:before="156" w:beforeLines="50" w:after="156" w:afterLines="50"/>
        <w:jc w:val="center"/>
        <w:rPr>
          <w:rFonts w:ascii="宋体" w:hAnsi="宋体"/>
          <w:b/>
          <w:sz w:val="32"/>
          <w:szCs w:val="32"/>
        </w:rPr>
      </w:pPr>
      <w:r>
        <w:rPr>
          <w:rFonts w:hint="eastAsia" w:ascii="宋体" w:hAnsi="宋体" w:cs="宋体"/>
          <w:b/>
          <w:bCs/>
          <w:spacing w:val="40"/>
          <w:kern w:val="0"/>
          <w:sz w:val="32"/>
          <w:szCs w:val="32"/>
        </w:rPr>
        <w:t xml:space="preserve">第二部分 </w:t>
      </w:r>
      <w:r>
        <w:rPr>
          <w:rFonts w:hint="eastAsia" w:ascii="宋体" w:hAnsi="宋体"/>
          <w:b/>
          <w:spacing w:val="40"/>
          <w:sz w:val="32"/>
          <w:szCs w:val="32"/>
        </w:rPr>
        <w:t>2025年度部门决算说明</w:t>
      </w:r>
    </w:p>
    <w:p>
      <w:pPr>
        <w:tabs>
          <w:tab w:val="center" w:pos="6979"/>
        </w:tabs>
        <w:spacing w:line="580" w:lineRule="exact"/>
        <w:ind w:firstLine="548" w:firstLineChars="196"/>
        <w:rPr>
          <w:rFonts w:ascii="黑体" w:eastAsia="黑体"/>
          <w:b/>
          <w:sz w:val="28"/>
          <w:szCs w:val="28"/>
        </w:rPr>
      </w:pPr>
      <w:r>
        <w:rPr>
          <w:rFonts w:hint="eastAsia" w:ascii="黑体" w:eastAsia="黑体"/>
          <w:b/>
          <w:sz w:val="28"/>
          <w:szCs w:val="28"/>
        </w:rPr>
        <w:t>一、部门/单位基本情况</w:t>
      </w:r>
    </w:p>
    <w:p>
      <w:pPr>
        <w:tabs>
          <w:tab w:val="center" w:pos="6979"/>
        </w:tabs>
        <w:spacing w:line="580" w:lineRule="exact"/>
        <w:ind w:firstLine="700" w:firstLineChars="250"/>
        <w:rPr>
          <w:rFonts w:hint="eastAsia" w:ascii="仿宋_GB2312" w:eastAsia="仿宋_GB2312"/>
          <w:sz w:val="28"/>
          <w:szCs w:val="28"/>
        </w:rPr>
      </w:pPr>
      <w:r>
        <w:rPr>
          <w:rFonts w:hint="eastAsia" w:ascii="仿宋_GB2312" w:eastAsia="仿宋_GB2312"/>
          <w:sz w:val="28"/>
          <w:szCs w:val="28"/>
        </w:rPr>
        <w:t>（一</w:t>
      </w:r>
      <w:r>
        <w:rPr>
          <w:rFonts w:ascii="仿宋_GB2312" w:eastAsia="仿宋_GB2312"/>
          <w:sz w:val="28"/>
          <w:szCs w:val="28"/>
        </w:rPr>
        <w:t>）</w:t>
      </w:r>
      <w:r>
        <w:rPr>
          <w:rFonts w:hint="eastAsia" w:ascii="仿宋_GB2312" w:eastAsia="仿宋_GB2312"/>
          <w:sz w:val="28"/>
          <w:szCs w:val="28"/>
        </w:rPr>
        <w:t>本部门职责情况</w:t>
      </w:r>
    </w:p>
    <w:p>
      <w:pPr>
        <w:tabs>
          <w:tab w:val="center" w:pos="6979"/>
        </w:tabs>
        <w:spacing w:line="580" w:lineRule="exact"/>
        <w:ind w:firstLine="560" w:firstLineChars="200"/>
        <w:rPr>
          <w:rFonts w:hint="eastAsia" w:ascii="仿宋_GB2312" w:eastAsia="仿宋_GB2312"/>
          <w:sz w:val="28"/>
          <w:szCs w:val="28"/>
          <w:lang w:val="en-US" w:eastAsia="zh-CN"/>
        </w:rPr>
      </w:pPr>
      <w:r>
        <w:rPr>
          <w:rFonts w:hint="eastAsia" w:ascii="仿宋_GB2312" w:eastAsia="仿宋_GB2312"/>
          <w:sz w:val="28"/>
          <w:szCs w:val="28"/>
          <w:lang w:val="en-US" w:eastAsia="zh-CN"/>
        </w:rPr>
        <w:t>1.承担全面依法治区重大问题的政策研究，协调有关方面提出全面依法治区中长期规划建议，负责有关重大决策部署督察工作。</w:t>
      </w:r>
    </w:p>
    <w:p>
      <w:pPr>
        <w:tabs>
          <w:tab w:val="center" w:pos="6979"/>
        </w:tabs>
        <w:spacing w:line="580" w:lineRule="exact"/>
        <w:ind w:firstLine="560" w:firstLineChars="200"/>
        <w:rPr>
          <w:rFonts w:hint="eastAsia" w:ascii="仿宋_GB2312" w:eastAsia="仿宋_GB2312"/>
          <w:sz w:val="28"/>
          <w:szCs w:val="28"/>
          <w:lang w:val="en-US" w:eastAsia="zh-CN"/>
        </w:rPr>
      </w:pPr>
      <w:r>
        <w:rPr>
          <w:rFonts w:hint="eastAsia" w:ascii="仿宋_GB2312" w:eastAsia="仿宋_GB2312"/>
          <w:sz w:val="28"/>
          <w:szCs w:val="28"/>
          <w:lang w:val="en-US" w:eastAsia="zh-CN"/>
        </w:rPr>
        <w:t>2.承担以区政府或者区政府办名义执法的规范性文件、报请区政府会议审议和区政府审批的涉及法律问题的有关文件或者事项的合法性审核工作。协助市级部门做好区政府和区政府办公室制定的规范性文件的备案审查工作。</w:t>
      </w:r>
    </w:p>
    <w:p>
      <w:pPr>
        <w:tabs>
          <w:tab w:val="center" w:pos="6979"/>
        </w:tabs>
        <w:spacing w:line="580" w:lineRule="exact"/>
        <w:ind w:firstLine="560" w:firstLineChars="200"/>
        <w:rPr>
          <w:rFonts w:hint="eastAsia" w:ascii="仿宋_GB2312" w:eastAsia="仿宋_GB2312"/>
          <w:sz w:val="28"/>
          <w:szCs w:val="28"/>
          <w:lang w:val="en-US" w:eastAsia="zh-CN"/>
        </w:rPr>
      </w:pPr>
      <w:r>
        <w:rPr>
          <w:rFonts w:hint="eastAsia" w:ascii="仿宋_GB2312" w:eastAsia="仿宋_GB2312"/>
          <w:sz w:val="28"/>
          <w:szCs w:val="28"/>
          <w:lang w:val="en-US" w:eastAsia="zh-CN"/>
        </w:rPr>
        <w:t>3.承担统筹推进本区法治政府建设的责任。指导、监督区政府各部门和乡镇政府依法行政工作。负责综合协调行政执法，承担推进行政执法体制改革有关工作，推进严格规范公正文明执法。指导、监督全区行政复议和行政应诉工作，负责行政复议、行政赔偿案件办理工作。承办区政府行政诉讼的应诉代理工作。承办由市政府裁决的区政府行政复议案件的有关工作。</w:t>
      </w:r>
    </w:p>
    <w:p>
      <w:pPr>
        <w:tabs>
          <w:tab w:val="center" w:pos="6979"/>
        </w:tabs>
        <w:spacing w:line="580" w:lineRule="exact"/>
        <w:ind w:firstLine="560" w:firstLineChars="200"/>
        <w:rPr>
          <w:rFonts w:hint="eastAsia" w:ascii="仿宋_GB2312" w:eastAsia="仿宋_GB2312"/>
          <w:sz w:val="28"/>
          <w:szCs w:val="28"/>
          <w:lang w:val="en-US" w:eastAsia="zh-CN"/>
        </w:rPr>
      </w:pPr>
      <w:r>
        <w:rPr>
          <w:rFonts w:hint="eastAsia" w:ascii="仿宋_GB2312" w:eastAsia="仿宋_GB2312"/>
          <w:sz w:val="28"/>
          <w:szCs w:val="28"/>
          <w:lang w:val="en-US" w:eastAsia="zh-CN"/>
        </w:rPr>
        <w:t>4.承担统筹规划本区法治社会建设的责任。负责拟定法治宣传教育规划，组织实施普法宣传工作。推动人民参与和促进法治建设。指导依法治理和法治创建工作。指导调解工作和人民陪审员、人民监督员选任管理工作，推进司法所建设。</w:t>
      </w:r>
    </w:p>
    <w:p>
      <w:pPr>
        <w:tabs>
          <w:tab w:val="center" w:pos="6979"/>
        </w:tabs>
        <w:spacing w:line="580" w:lineRule="exact"/>
        <w:ind w:firstLine="560" w:firstLineChars="200"/>
        <w:rPr>
          <w:rFonts w:hint="eastAsia" w:ascii="仿宋_GB2312" w:eastAsia="仿宋_GB2312"/>
          <w:sz w:val="28"/>
          <w:szCs w:val="28"/>
          <w:lang w:val="en-US" w:eastAsia="zh-CN"/>
        </w:rPr>
      </w:pPr>
      <w:r>
        <w:rPr>
          <w:rFonts w:hint="eastAsia" w:ascii="仿宋_GB2312" w:eastAsia="仿宋_GB2312"/>
          <w:sz w:val="28"/>
          <w:szCs w:val="28"/>
          <w:lang w:val="en-US" w:eastAsia="zh-CN"/>
        </w:rPr>
        <w:t>5.指导、监督本区社区矫正工作和刑满释放人员安置帮教工作。</w:t>
      </w:r>
    </w:p>
    <w:p>
      <w:pPr>
        <w:tabs>
          <w:tab w:val="center" w:pos="6979"/>
        </w:tabs>
        <w:spacing w:line="580" w:lineRule="exact"/>
        <w:ind w:firstLine="560" w:firstLineChars="200"/>
        <w:rPr>
          <w:rFonts w:hint="eastAsia" w:ascii="仿宋_GB2312" w:eastAsia="仿宋_GB2312"/>
          <w:sz w:val="28"/>
          <w:szCs w:val="28"/>
          <w:lang w:val="en-US" w:eastAsia="zh-CN"/>
        </w:rPr>
      </w:pPr>
      <w:r>
        <w:rPr>
          <w:rFonts w:hint="eastAsia" w:ascii="仿宋_GB2312" w:eastAsia="仿宋_GB2312"/>
          <w:sz w:val="28"/>
          <w:szCs w:val="28"/>
          <w:lang w:val="en-US" w:eastAsia="zh-CN"/>
        </w:rPr>
        <w:t>6.负责拟订本区公共法律服务体系建设规划并组织实施，统筹和布局城乡、区域法律服务资源。指导、监督律师、法律援助、司法鉴定、公证和基层法律服务管理工作。</w:t>
      </w:r>
    </w:p>
    <w:p>
      <w:pPr>
        <w:tabs>
          <w:tab w:val="center" w:pos="6979"/>
        </w:tabs>
        <w:spacing w:line="580" w:lineRule="exact"/>
        <w:ind w:firstLine="560" w:firstLineChars="200"/>
        <w:rPr>
          <w:rFonts w:hint="eastAsia" w:ascii="仿宋_GB2312" w:eastAsia="仿宋_GB2312"/>
          <w:sz w:val="28"/>
          <w:szCs w:val="28"/>
          <w:lang w:val="en-US" w:eastAsia="zh-CN"/>
        </w:rPr>
      </w:pPr>
      <w:r>
        <w:rPr>
          <w:rFonts w:hint="eastAsia" w:ascii="仿宋_GB2312" w:eastAsia="仿宋_GB2312"/>
          <w:sz w:val="28"/>
          <w:szCs w:val="28"/>
          <w:lang w:val="en-US" w:eastAsia="zh-CN"/>
        </w:rPr>
        <w:t>7.负责组织本区国家统一法律资格考试的考务等工作。</w:t>
      </w:r>
    </w:p>
    <w:p>
      <w:pPr>
        <w:tabs>
          <w:tab w:val="center" w:pos="6979"/>
        </w:tabs>
        <w:spacing w:line="580" w:lineRule="exact"/>
        <w:ind w:firstLine="560" w:firstLineChars="200"/>
        <w:rPr>
          <w:rFonts w:hint="eastAsia" w:ascii="仿宋_GB2312" w:eastAsia="仿宋_GB2312"/>
          <w:sz w:val="28"/>
          <w:szCs w:val="28"/>
          <w:lang w:val="en-US" w:eastAsia="zh-CN"/>
        </w:rPr>
      </w:pPr>
      <w:r>
        <w:rPr>
          <w:rFonts w:hint="eastAsia" w:ascii="仿宋_GB2312" w:eastAsia="仿宋_GB2312"/>
          <w:sz w:val="28"/>
          <w:szCs w:val="28"/>
          <w:lang w:val="en-US" w:eastAsia="zh-CN"/>
        </w:rPr>
        <w:t>8.规划、协调、指导本区法治人才队伍建设相关工作，指导、监督本系统队伍建设。</w:t>
      </w:r>
    </w:p>
    <w:p>
      <w:pPr>
        <w:tabs>
          <w:tab w:val="center" w:pos="6979"/>
        </w:tabs>
        <w:spacing w:line="580" w:lineRule="exact"/>
        <w:ind w:firstLine="560" w:firstLineChars="200"/>
        <w:rPr>
          <w:rFonts w:hint="eastAsia" w:ascii="仿宋_GB2312" w:eastAsia="仿宋_GB2312"/>
          <w:sz w:val="28"/>
          <w:szCs w:val="28"/>
        </w:rPr>
      </w:pPr>
      <w:r>
        <w:rPr>
          <w:rFonts w:hint="eastAsia" w:ascii="仿宋_GB2312" w:eastAsia="仿宋_GB2312"/>
          <w:sz w:val="28"/>
          <w:szCs w:val="28"/>
          <w:lang w:val="en-US" w:eastAsia="zh-CN"/>
        </w:rPr>
        <w:t>9.完成区委、区政府交办的其他任务。</w:t>
      </w:r>
    </w:p>
    <w:p>
      <w:pPr>
        <w:tabs>
          <w:tab w:val="center" w:pos="6979"/>
        </w:tabs>
        <w:spacing w:line="580" w:lineRule="exact"/>
        <w:ind w:firstLine="700" w:firstLineChars="250"/>
        <w:rPr>
          <w:rFonts w:hint="eastAsia" w:ascii="仿宋_GB2312" w:eastAsia="仿宋_GB2312"/>
          <w:sz w:val="28"/>
          <w:szCs w:val="28"/>
        </w:rPr>
      </w:pPr>
      <w:r>
        <w:rPr>
          <w:rFonts w:hint="eastAsia" w:ascii="仿宋_GB2312" w:eastAsia="仿宋_GB2312"/>
          <w:sz w:val="28"/>
          <w:szCs w:val="28"/>
        </w:rPr>
        <w:t>（二）机构</w:t>
      </w:r>
      <w:r>
        <w:rPr>
          <w:rFonts w:ascii="仿宋_GB2312" w:eastAsia="仿宋_GB2312"/>
          <w:sz w:val="28"/>
          <w:szCs w:val="28"/>
        </w:rPr>
        <w:t>设置</w:t>
      </w:r>
      <w:r>
        <w:rPr>
          <w:rFonts w:hint="eastAsia" w:ascii="仿宋_GB2312" w:eastAsia="仿宋_GB2312"/>
          <w:sz w:val="28"/>
          <w:szCs w:val="28"/>
        </w:rPr>
        <w:t>情况</w:t>
      </w:r>
    </w:p>
    <w:p>
      <w:pPr>
        <w:tabs>
          <w:tab w:val="center" w:pos="6979"/>
        </w:tabs>
        <w:spacing w:line="580" w:lineRule="exact"/>
        <w:ind w:firstLine="570"/>
        <w:rPr>
          <w:rFonts w:hint="eastAsia" w:ascii="仿宋_GB2312" w:eastAsia="仿宋_GB2312"/>
          <w:sz w:val="28"/>
          <w:szCs w:val="28"/>
        </w:rPr>
      </w:pPr>
      <w:r>
        <w:rPr>
          <w:rFonts w:hint="eastAsia" w:ascii="仿宋_GB2312" w:eastAsia="仿宋_GB2312"/>
          <w:sz w:val="28"/>
          <w:szCs w:val="28"/>
          <w:lang w:val="en-US" w:eastAsia="zh-CN"/>
        </w:rPr>
        <w:t xml:space="preserve">本部门共设8个内设机构和3个全额拨款事业单位，8个内设机构分别为：办公室、行政复议应诉科、法治审核监督科、基层建设和矫正帮教科、普法和公共法律服务科、法律服务监督管理科、依法治区办秘书科、政工科。3个全额拨款事业单位分别为：北京市门头沟区阳光中途之家、北京市门头沟区法律援助中心、北京市门头沟区法治促进中心。 </w:t>
      </w:r>
    </w:p>
    <w:p>
      <w:pPr>
        <w:pStyle w:val="2"/>
      </w:pPr>
    </w:p>
    <w:p>
      <w:pPr>
        <w:tabs>
          <w:tab w:val="center" w:pos="6979"/>
        </w:tabs>
        <w:spacing w:line="580" w:lineRule="exact"/>
        <w:rPr>
          <w:rFonts w:ascii="黑体" w:eastAsia="黑体"/>
          <w:b/>
          <w:sz w:val="28"/>
          <w:szCs w:val="28"/>
        </w:rPr>
      </w:pPr>
      <w:r>
        <w:rPr>
          <w:rFonts w:hint="eastAsia" w:ascii="仿宋_GB2312" w:eastAsia="仿宋_GB2312"/>
          <w:b/>
          <w:sz w:val="32"/>
          <w:szCs w:val="32"/>
        </w:rPr>
        <w:t xml:space="preserve">   </w:t>
      </w:r>
      <w:r>
        <w:rPr>
          <w:rFonts w:hint="eastAsia" w:ascii="黑体" w:eastAsia="黑体"/>
          <w:b/>
          <w:sz w:val="28"/>
          <w:szCs w:val="28"/>
        </w:rPr>
        <w:t>二、收入支出决算总体情况说明</w:t>
      </w:r>
    </w:p>
    <w:p>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2025年度收、</w:t>
      </w:r>
      <w:r>
        <w:rPr>
          <w:rFonts w:ascii="仿宋_GB2312" w:eastAsia="仿宋_GB2312"/>
          <w:sz w:val="28"/>
          <w:szCs w:val="28"/>
        </w:rPr>
        <w:t>支</w:t>
      </w:r>
      <w:r>
        <w:rPr>
          <w:rFonts w:hint="eastAsia" w:ascii="仿宋_GB2312" w:eastAsia="仿宋_GB2312"/>
          <w:sz w:val="28"/>
          <w:szCs w:val="28"/>
        </w:rPr>
        <w:t>总计</w:t>
      </w:r>
      <w:r>
        <w:rPr>
          <w:rFonts w:ascii="仿宋_GB2312" w:eastAsia="仿宋_GB2312"/>
          <w:sz w:val="28"/>
          <w:szCs w:val="28"/>
        </w:rPr>
        <w:t>28</w:t>
      </w:r>
      <w:r>
        <w:rPr>
          <w:rFonts w:hint="eastAsia" w:ascii="仿宋_GB2312" w:eastAsia="仿宋_GB2312"/>
          <w:sz w:val="28"/>
          <w:szCs w:val="28"/>
          <w:lang w:val="en-US" w:eastAsia="zh-CN"/>
        </w:rPr>
        <w:t>,</w:t>
      </w:r>
      <w:r>
        <w:rPr>
          <w:rFonts w:ascii="仿宋_GB2312" w:eastAsia="仿宋_GB2312"/>
          <w:sz w:val="28"/>
          <w:szCs w:val="28"/>
        </w:rPr>
        <w:t>697</w:t>
      </w:r>
      <w:r>
        <w:rPr>
          <w:rFonts w:hint="eastAsia" w:ascii="仿宋_GB2312" w:eastAsia="仿宋_GB2312"/>
          <w:sz w:val="28"/>
          <w:szCs w:val="28"/>
          <w:lang w:val="en-US" w:eastAsia="zh-CN"/>
        </w:rPr>
        <w:t>,</w:t>
      </w:r>
      <w:r>
        <w:rPr>
          <w:rFonts w:ascii="仿宋_GB2312" w:eastAsia="仿宋_GB2312"/>
          <w:sz w:val="28"/>
          <w:szCs w:val="28"/>
        </w:rPr>
        <w:t>910.88</w:t>
      </w:r>
      <w:r>
        <w:rPr>
          <w:rFonts w:hint="eastAsia" w:ascii="仿宋_GB2312" w:eastAsia="仿宋_GB2312"/>
          <w:sz w:val="28"/>
          <w:szCs w:val="28"/>
        </w:rPr>
        <w:t>元，</w:t>
      </w:r>
      <w:r>
        <w:rPr>
          <w:rFonts w:ascii="仿宋_GB2312" w:eastAsia="仿宋_GB2312"/>
          <w:sz w:val="28"/>
          <w:szCs w:val="28"/>
        </w:rPr>
        <w:t>比上年增加</w:t>
      </w:r>
      <w:r>
        <w:rPr>
          <w:rFonts w:hint="eastAsia" w:ascii="仿宋_GB2312" w:eastAsia="仿宋_GB2312"/>
          <w:sz w:val="28"/>
          <w:szCs w:val="28"/>
          <w:lang w:val="en-US" w:eastAsia="zh-CN"/>
        </w:rPr>
        <w:t>1,031,130.87</w:t>
      </w:r>
      <w:r>
        <w:rPr>
          <w:rFonts w:hint="eastAsia" w:ascii="仿宋_GB2312" w:eastAsia="仿宋_GB2312"/>
          <w:sz w:val="28"/>
          <w:szCs w:val="28"/>
        </w:rPr>
        <w:t>元，增长</w:t>
      </w:r>
      <w:r>
        <w:rPr>
          <w:rFonts w:hint="eastAsia" w:ascii="仿宋_GB2312" w:eastAsia="仿宋_GB2312"/>
          <w:sz w:val="28"/>
          <w:szCs w:val="28"/>
          <w:lang w:val="en-US" w:eastAsia="zh-CN"/>
        </w:rPr>
        <w:t>3.6</w:t>
      </w:r>
      <w:r>
        <w:rPr>
          <w:rFonts w:hint="eastAsia" w:ascii="仿宋_GB2312" w:eastAsia="仿宋_GB2312"/>
          <w:sz w:val="28"/>
          <w:szCs w:val="28"/>
        </w:rPr>
        <w:t>%。</w:t>
      </w:r>
    </w:p>
    <w:p>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（一</w:t>
      </w:r>
      <w:r>
        <w:rPr>
          <w:rFonts w:ascii="仿宋_GB2312" w:eastAsia="仿宋_GB2312"/>
          <w:sz w:val="28"/>
          <w:szCs w:val="28"/>
        </w:rPr>
        <w:t>）</w:t>
      </w:r>
      <w:r>
        <w:rPr>
          <w:rFonts w:hint="eastAsia" w:ascii="仿宋_GB2312" w:eastAsia="仿宋_GB2312"/>
          <w:sz w:val="28"/>
          <w:szCs w:val="28"/>
        </w:rPr>
        <w:t>收入决算</w:t>
      </w:r>
      <w:r>
        <w:rPr>
          <w:rFonts w:ascii="仿宋_GB2312" w:eastAsia="仿宋_GB2312"/>
          <w:sz w:val="28"/>
          <w:szCs w:val="28"/>
        </w:rPr>
        <w:t>说明</w:t>
      </w:r>
    </w:p>
    <w:p>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2025年度本年收入合计</w:t>
      </w:r>
      <w:r>
        <w:rPr>
          <w:rFonts w:ascii="仿宋_GB2312" w:eastAsia="仿宋_GB2312"/>
          <w:sz w:val="28"/>
          <w:szCs w:val="28"/>
        </w:rPr>
        <w:t>28</w:t>
      </w:r>
      <w:r>
        <w:rPr>
          <w:rFonts w:hint="eastAsia" w:ascii="仿宋_GB2312" w:eastAsia="仿宋_GB2312"/>
          <w:sz w:val="28"/>
          <w:szCs w:val="28"/>
          <w:lang w:val="en-US" w:eastAsia="zh-CN"/>
        </w:rPr>
        <w:t>,</w:t>
      </w:r>
      <w:r>
        <w:rPr>
          <w:rFonts w:ascii="仿宋_GB2312" w:eastAsia="仿宋_GB2312"/>
          <w:sz w:val="28"/>
          <w:szCs w:val="28"/>
        </w:rPr>
        <w:t>697</w:t>
      </w:r>
      <w:r>
        <w:rPr>
          <w:rFonts w:hint="eastAsia" w:ascii="仿宋_GB2312" w:eastAsia="仿宋_GB2312"/>
          <w:sz w:val="28"/>
          <w:szCs w:val="28"/>
          <w:lang w:val="en-US" w:eastAsia="zh-CN"/>
        </w:rPr>
        <w:t>,</w:t>
      </w:r>
      <w:r>
        <w:rPr>
          <w:rFonts w:ascii="仿宋_GB2312" w:eastAsia="仿宋_GB2312"/>
          <w:sz w:val="28"/>
          <w:szCs w:val="28"/>
        </w:rPr>
        <w:t>910.88</w:t>
      </w:r>
      <w:r>
        <w:rPr>
          <w:rFonts w:hint="eastAsia" w:ascii="仿宋_GB2312" w:eastAsia="仿宋_GB2312"/>
          <w:sz w:val="28"/>
          <w:szCs w:val="28"/>
        </w:rPr>
        <w:t>元，</w:t>
      </w:r>
      <w:r>
        <w:rPr>
          <w:rFonts w:ascii="仿宋_GB2312" w:eastAsia="仿宋_GB2312"/>
          <w:sz w:val="28"/>
          <w:szCs w:val="28"/>
        </w:rPr>
        <w:t>比上年增加</w:t>
      </w:r>
      <w:r>
        <w:rPr>
          <w:rFonts w:hint="eastAsia" w:ascii="仿宋_GB2312" w:eastAsia="仿宋_GB2312"/>
          <w:sz w:val="28"/>
          <w:szCs w:val="28"/>
          <w:lang w:val="en-US" w:eastAsia="zh-CN"/>
        </w:rPr>
        <w:t>1,031,130.87</w:t>
      </w:r>
      <w:r>
        <w:rPr>
          <w:rFonts w:hint="eastAsia" w:ascii="仿宋_GB2312" w:eastAsia="仿宋_GB2312"/>
          <w:sz w:val="28"/>
          <w:szCs w:val="28"/>
        </w:rPr>
        <w:t>元，增长</w:t>
      </w:r>
      <w:r>
        <w:rPr>
          <w:rFonts w:hint="eastAsia" w:ascii="仿宋_GB2312" w:eastAsia="仿宋_GB2312"/>
          <w:sz w:val="28"/>
          <w:szCs w:val="28"/>
          <w:lang w:val="en-US" w:eastAsia="zh-CN"/>
        </w:rPr>
        <w:t>3.6</w:t>
      </w:r>
      <w:r>
        <w:rPr>
          <w:rFonts w:hint="eastAsia" w:ascii="仿宋_GB2312" w:eastAsia="仿宋_GB2312"/>
          <w:sz w:val="28"/>
          <w:szCs w:val="28"/>
        </w:rPr>
        <w:t>%。</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1.财政拨款收入</w:t>
      </w:r>
      <w:r>
        <w:rPr>
          <w:rFonts w:ascii="仿宋_GB2312" w:eastAsia="仿宋_GB2312"/>
          <w:sz w:val="28"/>
          <w:szCs w:val="28"/>
        </w:rPr>
        <w:t>28</w:t>
      </w:r>
      <w:r>
        <w:rPr>
          <w:rFonts w:hint="eastAsia" w:ascii="仿宋_GB2312" w:eastAsia="仿宋_GB2312"/>
          <w:sz w:val="28"/>
          <w:szCs w:val="28"/>
          <w:lang w:val="en-US" w:eastAsia="zh-CN"/>
        </w:rPr>
        <w:t>,</w:t>
      </w:r>
      <w:r>
        <w:rPr>
          <w:rFonts w:ascii="仿宋_GB2312" w:eastAsia="仿宋_GB2312"/>
          <w:sz w:val="28"/>
          <w:szCs w:val="28"/>
        </w:rPr>
        <w:t>697</w:t>
      </w:r>
      <w:r>
        <w:rPr>
          <w:rFonts w:hint="eastAsia" w:ascii="仿宋_GB2312" w:eastAsia="仿宋_GB2312"/>
          <w:sz w:val="28"/>
          <w:szCs w:val="28"/>
          <w:lang w:val="en-US" w:eastAsia="zh-CN"/>
        </w:rPr>
        <w:t>,</w:t>
      </w:r>
      <w:r>
        <w:rPr>
          <w:rFonts w:ascii="仿宋_GB2312" w:eastAsia="仿宋_GB2312"/>
          <w:sz w:val="28"/>
          <w:szCs w:val="28"/>
        </w:rPr>
        <w:t>910.88</w:t>
      </w:r>
      <w:r>
        <w:rPr>
          <w:rFonts w:hint="eastAsia" w:ascii="仿宋_GB2312" w:eastAsia="仿宋_GB2312"/>
          <w:sz w:val="28"/>
          <w:szCs w:val="28"/>
        </w:rPr>
        <w:t>元，占收入合计的100%。其中：一般公共预算财政拨款收入</w:t>
      </w:r>
      <w:r>
        <w:rPr>
          <w:rFonts w:ascii="仿宋_GB2312" w:eastAsia="仿宋_GB2312"/>
          <w:sz w:val="28"/>
          <w:szCs w:val="28"/>
        </w:rPr>
        <w:t>28</w:t>
      </w:r>
      <w:r>
        <w:rPr>
          <w:rFonts w:hint="eastAsia" w:ascii="仿宋_GB2312" w:eastAsia="仿宋_GB2312"/>
          <w:sz w:val="28"/>
          <w:szCs w:val="28"/>
          <w:lang w:val="en-US" w:eastAsia="zh-CN"/>
        </w:rPr>
        <w:t>,</w:t>
      </w:r>
      <w:r>
        <w:rPr>
          <w:rFonts w:ascii="仿宋_GB2312" w:eastAsia="仿宋_GB2312"/>
          <w:sz w:val="28"/>
          <w:szCs w:val="28"/>
        </w:rPr>
        <w:t>697</w:t>
      </w:r>
      <w:r>
        <w:rPr>
          <w:rFonts w:hint="eastAsia" w:ascii="仿宋_GB2312" w:eastAsia="仿宋_GB2312"/>
          <w:sz w:val="28"/>
          <w:szCs w:val="28"/>
          <w:lang w:val="en-US" w:eastAsia="zh-CN"/>
        </w:rPr>
        <w:t>,</w:t>
      </w:r>
      <w:r>
        <w:rPr>
          <w:rFonts w:ascii="仿宋_GB2312" w:eastAsia="仿宋_GB2312"/>
          <w:sz w:val="28"/>
          <w:szCs w:val="28"/>
        </w:rPr>
        <w:t>910.88</w:t>
      </w:r>
      <w:r>
        <w:rPr>
          <w:rFonts w:hint="eastAsia" w:ascii="仿宋_GB2312" w:eastAsia="仿宋_GB2312"/>
          <w:sz w:val="28"/>
          <w:szCs w:val="28"/>
        </w:rPr>
        <w:t>元，占收入合计的100%；政府性基金预算财政拨款收入</w:t>
      </w:r>
      <w:r>
        <w:rPr>
          <w:rFonts w:ascii="仿宋_GB2312" w:eastAsia="仿宋_GB2312"/>
          <w:sz w:val="28"/>
          <w:szCs w:val="28"/>
        </w:rPr>
        <w:t>0</w:t>
      </w:r>
      <w:r>
        <w:rPr>
          <w:rFonts w:hint="eastAsia" w:ascii="仿宋_GB2312" w:eastAsia="仿宋_GB2312"/>
          <w:sz w:val="28"/>
          <w:szCs w:val="28"/>
        </w:rPr>
        <w:t>元，占收入合计的0%；国有资本经营预算财政拨款收入</w:t>
      </w:r>
      <w:r>
        <w:rPr>
          <w:rFonts w:ascii="仿宋_GB2312" w:eastAsia="仿宋_GB2312"/>
          <w:sz w:val="28"/>
          <w:szCs w:val="28"/>
        </w:rPr>
        <w:t>0</w:t>
      </w:r>
      <w:r>
        <w:rPr>
          <w:rFonts w:hint="eastAsia" w:ascii="仿宋_GB2312" w:eastAsia="仿宋_GB2312"/>
          <w:sz w:val="28"/>
          <w:szCs w:val="28"/>
        </w:rPr>
        <w:t>元，占收入合计的0%；</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2.上级补助收入</w:t>
      </w:r>
      <w:r>
        <w:rPr>
          <w:rFonts w:ascii="仿宋_GB2312" w:eastAsia="仿宋_GB2312"/>
          <w:sz w:val="28"/>
          <w:szCs w:val="28"/>
        </w:rPr>
        <w:t>0</w:t>
      </w:r>
      <w:r>
        <w:rPr>
          <w:rFonts w:hint="eastAsia" w:ascii="仿宋_GB2312" w:eastAsia="仿宋_GB2312"/>
          <w:sz w:val="28"/>
          <w:szCs w:val="28"/>
        </w:rPr>
        <w:t>元，占收入合计的0%；</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3.事业收入</w:t>
      </w:r>
      <w:r>
        <w:rPr>
          <w:rFonts w:ascii="仿宋_GB2312" w:eastAsia="仿宋_GB2312"/>
          <w:sz w:val="28"/>
          <w:szCs w:val="28"/>
        </w:rPr>
        <w:t>0</w:t>
      </w:r>
      <w:r>
        <w:rPr>
          <w:rFonts w:hint="eastAsia" w:ascii="仿宋_GB2312" w:eastAsia="仿宋_GB2312"/>
          <w:sz w:val="28"/>
          <w:szCs w:val="28"/>
        </w:rPr>
        <w:t>元，占收入合计的0%；</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4.经营收入</w:t>
      </w:r>
      <w:r>
        <w:rPr>
          <w:rFonts w:ascii="仿宋_GB2312" w:eastAsia="仿宋_GB2312"/>
          <w:sz w:val="28"/>
          <w:szCs w:val="28"/>
        </w:rPr>
        <w:t>0</w:t>
      </w:r>
      <w:r>
        <w:rPr>
          <w:rFonts w:hint="eastAsia" w:ascii="仿宋_GB2312" w:eastAsia="仿宋_GB2312"/>
          <w:sz w:val="28"/>
          <w:szCs w:val="28"/>
        </w:rPr>
        <w:t>元，占收入合计的0%；</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5.附属单位上缴收入</w:t>
      </w:r>
      <w:r>
        <w:rPr>
          <w:rFonts w:ascii="仿宋_GB2312" w:eastAsia="仿宋_GB2312"/>
          <w:sz w:val="28"/>
          <w:szCs w:val="28"/>
        </w:rPr>
        <w:t>0</w:t>
      </w:r>
      <w:r>
        <w:rPr>
          <w:rFonts w:hint="eastAsia" w:ascii="仿宋_GB2312" w:eastAsia="仿宋_GB2312"/>
          <w:sz w:val="28"/>
          <w:szCs w:val="28"/>
        </w:rPr>
        <w:t>元，占收入合计的0%；</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6.其他收入</w:t>
      </w:r>
      <w:r>
        <w:rPr>
          <w:rFonts w:ascii="仿宋_GB2312" w:eastAsia="仿宋_GB2312"/>
          <w:sz w:val="28"/>
          <w:szCs w:val="28"/>
        </w:rPr>
        <w:t>0</w:t>
      </w:r>
      <w:r>
        <w:rPr>
          <w:rFonts w:hint="eastAsia" w:ascii="仿宋_GB2312" w:eastAsia="仿宋_GB2312"/>
          <w:sz w:val="28"/>
          <w:szCs w:val="28"/>
        </w:rPr>
        <w:t>元，占收入合计的0%。</w:t>
      </w:r>
    </w:p>
    <w:p>
      <w:pPr>
        <w:pStyle w:val="3"/>
        <w:jc w:val="center"/>
      </w:pPr>
      <w:r>
        <w:rPr>
          <w:rFonts w:hint="eastAsia" w:ascii="仿宋_GB2312" w:eastAsia="仿宋_GB2312"/>
          <w:color w:val="000000"/>
          <w:sz w:val="32"/>
        </w:rPr>
        <w:t>图1：收入决算</w:t>
      </w:r>
    </w:p>
    <w:p>
      <w:pPr>
        <w:pStyle w:val="4"/>
        <w:ind w:firstLine="420"/>
        <w:jc w:val="center"/>
      </w:pPr>
      <w:r>
        <w:drawing>
          <wp:inline distT="0" distB="0" distL="0" distR="0">
            <wp:extent cx="4036695" cy="2328545"/>
            <wp:effectExtent l="0" t="0" r="20955" b="14605"/>
            <wp:docPr id="3" name="图表 3" title="{{pieChart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（二</w:t>
      </w:r>
      <w:r>
        <w:rPr>
          <w:rFonts w:ascii="仿宋_GB2312" w:eastAsia="仿宋_GB2312"/>
          <w:sz w:val="28"/>
          <w:szCs w:val="28"/>
        </w:rPr>
        <w:t>）</w:t>
      </w:r>
      <w:r>
        <w:rPr>
          <w:rFonts w:hint="eastAsia" w:ascii="仿宋_GB2312" w:eastAsia="仿宋_GB2312"/>
          <w:sz w:val="28"/>
          <w:szCs w:val="28"/>
        </w:rPr>
        <w:t>支出决算</w:t>
      </w:r>
      <w:r>
        <w:rPr>
          <w:rFonts w:ascii="仿宋_GB2312" w:eastAsia="仿宋_GB2312"/>
          <w:sz w:val="28"/>
          <w:szCs w:val="28"/>
        </w:rPr>
        <w:t>说明</w:t>
      </w:r>
    </w:p>
    <w:p>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2025年度本年支出合计</w:t>
      </w:r>
      <w:r>
        <w:rPr>
          <w:rFonts w:ascii="仿宋_GB2312" w:eastAsia="仿宋_GB2312"/>
          <w:sz w:val="28"/>
          <w:szCs w:val="28"/>
        </w:rPr>
        <w:t>228</w:t>
      </w:r>
      <w:r>
        <w:rPr>
          <w:rFonts w:hint="eastAsia" w:ascii="仿宋_GB2312" w:eastAsia="仿宋_GB2312"/>
          <w:sz w:val="28"/>
          <w:szCs w:val="28"/>
          <w:lang w:val="en-US" w:eastAsia="zh-CN"/>
        </w:rPr>
        <w:t>,</w:t>
      </w:r>
      <w:r>
        <w:rPr>
          <w:rFonts w:ascii="仿宋_GB2312" w:eastAsia="仿宋_GB2312"/>
          <w:sz w:val="28"/>
          <w:szCs w:val="28"/>
        </w:rPr>
        <w:t>697</w:t>
      </w:r>
      <w:r>
        <w:rPr>
          <w:rFonts w:hint="eastAsia" w:ascii="仿宋_GB2312" w:eastAsia="仿宋_GB2312"/>
          <w:sz w:val="28"/>
          <w:szCs w:val="28"/>
          <w:lang w:val="en-US" w:eastAsia="zh-CN"/>
        </w:rPr>
        <w:t>,</w:t>
      </w:r>
      <w:r>
        <w:rPr>
          <w:rFonts w:ascii="仿宋_GB2312" w:eastAsia="仿宋_GB2312"/>
          <w:sz w:val="28"/>
          <w:szCs w:val="28"/>
        </w:rPr>
        <w:t>910.88</w:t>
      </w:r>
      <w:r>
        <w:rPr>
          <w:rFonts w:hint="eastAsia" w:ascii="仿宋_GB2312" w:eastAsia="仿宋_GB2312"/>
          <w:sz w:val="28"/>
          <w:szCs w:val="28"/>
        </w:rPr>
        <w:t>元，</w:t>
      </w:r>
      <w:r>
        <w:rPr>
          <w:rFonts w:ascii="仿宋_GB2312" w:eastAsia="仿宋_GB2312"/>
          <w:sz w:val="28"/>
          <w:szCs w:val="28"/>
        </w:rPr>
        <w:t>比上年增加</w:t>
      </w:r>
      <w:r>
        <w:rPr>
          <w:rFonts w:hint="eastAsia" w:ascii="仿宋_GB2312" w:eastAsia="仿宋_GB2312"/>
          <w:sz w:val="28"/>
          <w:szCs w:val="28"/>
          <w:lang w:val="en-US" w:eastAsia="zh-CN"/>
        </w:rPr>
        <w:t>1,031,130.8</w:t>
      </w:r>
      <w:r>
        <w:rPr>
          <w:rFonts w:hint="eastAsia" w:ascii="仿宋_GB2312" w:eastAsia="仿宋_GB2312"/>
          <w:sz w:val="28"/>
          <w:szCs w:val="28"/>
        </w:rPr>
        <w:t>元，增长</w:t>
      </w:r>
      <w:r>
        <w:rPr>
          <w:rFonts w:hint="eastAsia" w:ascii="仿宋_GB2312" w:eastAsia="仿宋_GB2312"/>
          <w:sz w:val="28"/>
          <w:szCs w:val="28"/>
          <w:lang w:val="en-US" w:eastAsia="zh-CN"/>
        </w:rPr>
        <w:t>3.6</w:t>
      </w:r>
      <w:r>
        <w:rPr>
          <w:rFonts w:hint="eastAsia" w:ascii="仿宋_GB2312" w:eastAsia="仿宋_GB2312"/>
          <w:sz w:val="28"/>
          <w:szCs w:val="28"/>
        </w:rPr>
        <w:t>%，其中：基本支出</w:t>
      </w:r>
      <w:r>
        <w:rPr>
          <w:rFonts w:ascii="仿宋_GB2312" w:eastAsia="仿宋_GB2312"/>
          <w:sz w:val="28"/>
          <w:szCs w:val="28"/>
        </w:rPr>
        <w:t>22</w:t>
      </w:r>
      <w:r>
        <w:rPr>
          <w:rFonts w:hint="eastAsia" w:ascii="仿宋_GB2312" w:eastAsia="仿宋_GB2312"/>
          <w:sz w:val="28"/>
          <w:szCs w:val="28"/>
          <w:lang w:val="en-US" w:eastAsia="zh-CN"/>
        </w:rPr>
        <w:t>,</w:t>
      </w:r>
      <w:r>
        <w:rPr>
          <w:rFonts w:ascii="仿宋_GB2312" w:eastAsia="仿宋_GB2312"/>
          <w:sz w:val="28"/>
          <w:szCs w:val="28"/>
        </w:rPr>
        <w:t>255</w:t>
      </w:r>
      <w:r>
        <w:rPr>
          <w:rFonts w:hint="eastAsia" w:ascii="仿宋_GB2312" w:eastAsia="仿宋_GB2312"/>
          <w:sz w:val="28"/>
          <w:szCs w:val="28"/>
          <w:lang w:val="en-US" w:eastAsia="zh-CN"/>
        </w:rPr>
        <w:t>,</w:t>
      </w:r>
      <w:r>
        <w:rPr>
          <w:rFonts w:ascii="仿宋_GB2312" w:eastAsia="仿宋_GB2312"/>
          <w:sz w:val="28"/>
          <w:szCs w:val="28"/>
        </w:rPr>
        <w:t>133.47</w:t>
      </w:r>
      <w:r>
        <w:rPr>
          <w:rFonts w:hint="eastAsia" w:ascii="仿宋_GB2312" w:eastAsia="仿宋_GB2312"/>
          <w:sz w:val="28"/>
          <w:szCs w:val="28"/>
        </w:rPr>
        <w:t>元，占支出合计的77.</w:t>
      </w:r>
      <w:r>
        <w:rPr>
          <w:rFonts w:hint="eastAsia" w:ascii="仿宋_GB2312" w:eastAsia="仿宋_GB2312"/>
          <w:sz w:val="28"/>
          <w:szCs w:val="28"/>
          <w:lang w:val="en-US" w:eastAsia="zh-CN"/>
        </w:rPr>
        <w:t>6</w:t>
      </w:r>
      <w:r>
        <w:rPr>
          <w:rFonts w:hint="eastAsia" w:ascii="仿宋_GB2312" w:eastAsia="仿宋_GB2312"/>
          <w:sz w:val="28"/>
          <w:szCs w:val="28"/>
        </w:rPr>
        <w:t>%；项目支出</w:t>
      </w:r>
      <w:r>
        <w:rPr>
          <w:rFonts w:ascii="仿宋_GB2312" w:eastAsia="仿宋_GB2312"/>
          <w:sz w:val="28"/>
          <w:szCs w:val="28"/>
        </w:rPr>
        <w:t>6</w:t>
      </w:r>
      <w:r>
        <w:rPr>
          <w:rFonts w:hint="eastAsia" w:ascii="仿宋_GB2312" w:eastAsia="仿宋_GB2312"/>
          <w:sz w:val="28"/>
          <w:szCs w:val="28"/>
          <w:lang w:val="en-US" w:eastAsia="zh-CN"/>
        </w:rPr>
        <w:t>,</w:t>
      </w:r>
      <w:r>
        <w:rPr>
          <w:rFonts w:ascii="仿宋_GB2312" w:eastAsia="仿宋_GB2312"/>
          <w:sz w:val="28"/>
          <w:szCs w:val="28"/>
        </w:rPr>
        <w:t>442</w:t>
      </w:r>
      <w:r>
        <w:rPr>
          <w:rFonts w:hint="eastAsia" w:ascii="仿宋_GB2312" w:eastAsia="仿宋_GB2312"/>
          <w:sz w:val="28"/>
          <w:szCs w:val="28"/>
          <w:lang w:val="en-US" w:eastAsia="zh-CN"/>
        </w:rPr>
        <w:t>,</w:t>
      </w:r>
      <w:r>
        <w:rPr>
          <w:rFonts w:ascii="仿宋_GB2312" w:eastAsia="仿宋_GB2312"/>
          <w:sz w:val="28"/>
          <w:szCs w:val="28"/>
        </w:rPr>
        <w:t>777.41</w:t>
      </w:r>
      <w:r>
        <w:rPr>
          <w:rFonts w:hint="eastAsia" w:ascii="仿宋_GB2312" w:eastAsia="仿宋_GB2312"/>
          <w:sz w:val="28"/>
          <w:szCs w:val="28"/>
        </w:rPr>
        <w:t>元，占支出合计的22.</w:t>
      </w:r>
      <w:r>
        <w:rPr>
          <w:rFonts w:hint="eastAsia" w:ascii="仿宋_GB2312" w:eastAsia="仿宋_GB2312"/>
          <w:sz w:val="28"/>
          <w:szCs w:val="28"/>
          <w:lang w:val="en-US" w:eastAsia="zh-CN"/>
        </w:rPr>
        <w:t>5</w:t>
      </w:r>
      <w:r>
        <w:rPr>
          <w:rFonts w:hint="eastAsia" w:ascii="仿宋_GB2312" w:eastAsia="仿宋_GB2312"/>
          <w:sz w:val="28"/>
          <w:szCs w:val="28"/>
        </w:rPr>
        <w:t>%;上缴上级支出</w:t>
      </w:r>
      <w:r>
        <w:rPr>
          <w:rFonts w:ascii="仿宋_GB2312" w:eastAsia="仿宋_GB2312"/>
          <w:sz w:val="28"/>
          <w:szCs w:val="28"/>
        </w:rPr>
        <w:t>0</w:t>
      </w:r>
      <w:r>
        <w:rPr>
          <w:rFonts w:hint="eastAsia" w:ascii="仿宋_GB2312" w:eastAsia="仿宋_GB2312"/>
          <w:sz w:val="28"/>
          <w:szCs w:val="28"/>
        </w:rPr>
        <w:t>元，占支出合计的0%；经营支出</w:t>
      </w:r>
      <w:r>
        <w:rPr>
          <w:rFonts w:ascii="仿宋_GB2312" w:eastAsia="仿宋_GB2312"/>
          <w:sz w:val="28"/>
          <w:szCs w:val="28"/>
        </w:rPr>
        <w:t>0</w:t>
      </w:r>
      <w:r>
        <w:rPr>
          <w:rFonts w:hint="eastAsia" w:ascii="仿宋_GB2312" w:eastAsia="仿宋_GB2312"/>
          <w:sz w:val="28"/>
          <w:szCs w:val="28"/>
        </w:rPr>
        <w:t>元，占支出合计的0%；对附属单位补助支出</w:t>
      </w:r>
      <w:r>
        <w:rPr>
          <w:rFonts w:ascii="仿宋_GB2312" w:eastAsia="仿宋_GB2312"/>
          <w:sz w:val="28"/>
          <w:szCs w:val="28"/>
        </w:rPr>
        <w:t>0</w:t>
      </w:r>
      <w:r>
        <w:rPr>
          <w:rFonts w:hint="eastAsia" w:ascii="仿宋_GB2312" w:eastAsia="仿宋_GB2312"/>
          <w:sz w:val="28"/>
          <w:szCs w:val="28"/>
        </w:rPr>
        <w:t>元，占支出合计的0%。</w:t>
      </w:r>
    </w:p>
    <w:p>
      <w:pPr>
        <w:pStyle w:val="3"/>
        <w:ind w:firstLine="5772" w:firstLineChars="1804"/>
        <w:rPr>
          <w:rFonts w:ascii="仿宋_GB2312" w:eastAsia="仿宋_GB2312"/>
          <w:color w:val="000000"/>
          <w:sz w:val="32"/>
        </w:rPr>
      </w:pPr>
      <w:r>
        <w:rPr>
          <w:rFonts w:hint="eastAsia" w:ascii="仿宋_GB2312" w:eastAsia="仿宋_GB2312"/>
          <w:color w:val="000000"/>
          <w:sz w:val="32"/>
        </w:rPr>
        <w:t>图2：支出决算</w:t>
      </w:r>
    </w:p>
    <w:p>
      <w:pPr>
        <w:jc w:val="center"/>
        <w:rPr>
          <w:rFonts w:ascii="黑体" w:eastAsia="黑体"/>
          <w:b/>
          <w:sz w:val="28"/>
          <w:szCs w:val="28"/>
        </w:rPr>
      </w:pPr>
      <w:r>
        <w:drawing>
          <wp:inline distT="0" distB="0" distL="114300" distR="114300">
            <wp:extent cx="4572000" cy="2743200"/>
            <wp:effectExtent l="4445" t="4445" r="14605" b="14605"/>
            <wp:docPr id="1" name="图表 3" title="{{pieChart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pPr>
        <w:tabs>
          <w:tab w:val="center" w:pos="6979"/>
        </w:tabs>
        <w:spacing w:line="580" w:lineRule="exact"/>
        <w:ind w:firstLine="548" w:firstLineChars="196"/>
        <w:rPr>
          <w:rFonts w:ascii="黑体" w:eastAsia="黑体"/>
          <w:b/>
          <w:sz w:val="28"/>
          <w:szCs w:val="28"/>
        </w:rPr>
      </w:pPr>
      <w:r>
        <w:rPr>
          <w:rFonts w:hint="eastAsia" w:ascii="黑体" w:eastAsia="黑体"/>
          <w:b/>
          <w:sz w:val="28"/>
          <w:szCs w:val="28"/>
        </w:rPr>
        <w:t>三</w:t>
      </w:r>
      <w:r>
        <w:rPr>
          <w:rFonts w:ascii="黑体" w:eastAsia="黑体"/>
          <w:b/>
          <w:sz w:val="28"/>
          <w:szCs w:val="28"/>
        </w:rPr>
        <w:t>、财政拨款</w:t>
      </w:r>
      <w:r>
        <w:rPr>
          <w:rFonts w:hint="eastAsia" w:ascii="黑体" w:eastAsia="黑体"/>
          <w:b/>
          <w:sz w:val="28"/>
          <w:szCs w:val="28"/>
        </w:rPr>
        <w:t>收入支出决算</w:t>
      </w:r>
      <w:r>
        <w:rPr>
          <w:rFonts w:ascii="黑体" w:eastAsia="黑体"/>
          <w:b/>
          <w:sz w:val="28"/>
          <w:szCs w:val="28"/>
        </w:rPr>
        <w:t>总体情况说明</w:t>
      </w:r>
    </w:p>
    <w:p>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2025年度财政拨款收、</w:t>
      </w:r>
      <w:r>
        <w:rPr>
          <w:rFonts w:ascii="仿宋_GB2312" w:eastAsia="仿宋_GB2312"/>
          <w:sz w:val="28"/>
          <w:szCs w:val="28"/>
        </w:rPr>
        <w:t>支</w:t>
      </w:r>
      <w:r>
        <w:rPr>
          <w:rFonts w:hint="eastAsia" w:ascii="仿宋_GB2312" w:eastAsia="仿宋_GB2312"/>
          <w:sz w:val="28"/>
          <w:szCs w:val="28"/>
        </w:rPr>
        <w:t>总计</w:t>
      </w:r>
      <w:r>
        <w:rPr>
          <w:rFonts w:ascii="仿宋_GB2312" w:eastAsia="仿宋_GB2312"/>
          <w:sz w:val="28"/>
          <w:szCs w:val="28"/>
        </w:rPr>
        <w:t>28</w:t>
      </w:r>
      <w:r>
        <w:rPr>
          <w:rFonts w:hint="eastAsia" w:ascii="仿宋_GB2312" w:eastAsia="仿宋_GB2312"/>
          <w:sz w:val="28"/>
          <w:szCs w:val="28"/>
          <w:lang w:val="en-US" w:eastAsia="zh-CN"/>
        </w:rPr>
        <w:t>,</w:t>
      </w:r>
      <w:r>
        <w:rPr>
          <w:rFonts w:ascii="仿宋_GB2312" w:eastAsia="仿宋_GB2312"/>
          <w:sz w:val="28"/>
          <w:szCs w:val="28"/>
        </w:rPr>
        <w:t>697</w:t>
      </w:r>
      <w:r>
        <w:rPr>
          <w:rFonts w:hint="eastAsia" w:ascii="仿宋_GB2312" w:eastAsia="仿宋_GB2312"/>
          <w:sz w:val="28"/>
          <w:szCs w:val="28"/>
          <w:lang w:val="en-US" w:eastAsia="zh-CN"/>
        </w:rPr>
        <w:t>,</w:t>
      </w:r>
      <w:r>
        <w:rPr>
          <w:rFonts w:ascii="仿宋_GB2312" w:eastAsia="仿宋_GB2312"/>
          <w:sz w:val="28"/>
          <w:szCs w:val="28"/>
        </w:rPr>
        <w:t>910.88</w:t>
      </w:r>
      <w:r>
        <w:rPr>
          <w:rFonts w:hint="eastAsia" w:ascii="仿宋_GB2312" w:eastAsia="仿宋_GB2312"/>
          <w:sz w:val="28"/>
          <w:szCs w:val="28"/>
        </w:rPr>
        <w:t>元，比上年</w:t>
      </w:r>
      <w:r>
        <w:rPr>
          <w:rFonts w:ascii="仿宋_GB2312" w:eastAsia="仿宋_GB2312"/>
          <w:sz w:val="28"/>
          <w:szCs w:val="28"/>
        </w:rPr>
        <w:t>增加</w:t>
      </w:r>
      <w:r>
        <w:rPr>
          <w:rFonts w:hint="eastAsia" w:ascii="仿宋_GB2312" w:eastAsia="仿宋_GB2312"/>
          <w:sz w:val="28"/>
          <w:szCs w:val="28"/>
          <w:lang w:val="en-US" w:eastAsia="zh-CN"/>
        </w:rPr>
        <w:t>1,031,130.87</w:t>
      </w:r>
      <w:r>
        <w:rPr>
          <w:rFonts w:hint="eastAsia" w:ascii="仿宋_GB2312" w:eastAsia="仿宋_GB2312"/>
          <w:sz w:val="28"/>
          <w:szCs w:val="28"/>
        </w:rPr>
        <w:t>元，增长</w:t>
      </w:r>
      <w:r>
        <w:rPr>
          <w:rFonts w:hint="eastAsia" w:ascii="仿宋_GB2312" w:eastAsia="仿宋_GB2312"/>
          <w:sz w:val="28"/>
          <w:szCs w:val="28"/>
          <w:lang w:val="en-US" w:eastAsia="zh-CN"/>
        </w:rPr>
        <w:t>3.6</w:t>
      </w:r>
      <w:r>
        <w:rPr>
          <w:rFonts w:hint="eastAsia" w:ascii="仿宋_GB2312" w:eastAsia="仿宋_GB2312"/>
          <w:sz w:val="28"/>
          <w:szCs w:val="28"/>
        </w:rPr>
        <w:t>%。主要原因：</w:t>
      </w:r>
      <w:r>
        <w:rPr>
          <w:rFonts w:hint="eastAsia" w:ascii="仿宋_GB2312" w:eastAsia="仿宋_GB2312"/>
          <w:sz w:val="28"/>
          <w:szCs w:val="28"/>
          <w:lang w:val="en-US" w:eastAsia="zh-CN"/>
        </w:rPr>
        <w:t>一是人员经费增加。2025年新招录公务员1人，事业人员3人，转入公务员1人，事业人员1人；2025年1月补发了2024年7月—2025年1月基本工资调整金额；2025年7月，社会保险及公积金基数调整。二是普法和公共法律服务项目中法律援助项目支出金额增加，该项目按照实际发生金额支出。</w:t>
      </w:r>
    </w:p>
    <w:p>
      <w:pPr>
        <w:tabs>
          <w:tab w:val="center" w:pos="6979"/>
        </w:tabs>
        <w:spacing w:line="580" w:lineRule="exact"/>
        <w:ind w:firstLine="548" w:firstLineChars="196"/>
        <w:rPr>
          <w:rFonts w:ascii="黑体" w:eastAsia="黑体"/>
          <w:b/>
          <w:sz w:val="28"/>
          <w:szCs w:val="28"/>
        </w:rPr>
      </w:pPr>
      <w:r>
        <w:rPr>
          <w:rFonts w:hint="eastAsia" w:ascii="黑体" w:eastAsia="黑体"/>
          <w:b/>
          <w:sz w:val="28"/>
          <w:szCs w:val="28"/>
        </w:rPr>
        <w:t>四、一般公共预算财政拨款支出决算情况说明</w:t>
      </w:r>
    </w:p>
    <w:p>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（一）一般公共预算财政拨款支出决算总体情况</w:t>
      </w:r>
    </w:p>
    <w:p>
      <w:pPr>
        <w:tabs>
          <w:tab w:val="center" w:pos="6979"/>
        </w:tabs>
        <w:spacing w:line="580" w:lineRule="exact"/>
        <w:ind w:firstLine="560" w:firstLineChars="200"/>
        <w:rPr>
          <w:rFonts w:hint="eastAsia" w:ascii="仿宋_GB2312" w:eastAsia="仿宋_GB2312"/>
          <w:sz w:val="28"/>
          <w:szCs w:val="28"/>
          <w:shd w:val="clear"/>
        </w:rPr>
      </w:pPr>
      <w:r>
        <w:rPr>
          <w:rFonts w:hint="eastAsia" w:ascii="仿宋_GB2312" w:eastAsia="仿宋_GB2312"/>
          <w:sz w:val="28"/>
          <w:szCs w:val="28"/>
        </w:rPr>
        <w:t>2025年度一般公共预算财政拨款支出</w:t>
      </w:r>
      <w:r>
        <w:rPr>
          <w:rFonts w:ascii="仿宋_GB2312" w:eastAsia="仿宋_GB2312"/>
          <w:sz w:val="28"/>
          <w:szCs w:val="28"/>
        </w:rPr>
        <w:t>28</w:t>
      </w:r>
      <w:r>
        <w:rPr>
          <w:rFonts w:hint="eastAsia" w:ascii="仿宋_GB2312" w:eastAsia="仿宋_GB2312"/>
          <w:sz w:val="28"/>
          <w:szCs w:val="28"/>
          <w:lang w:val="en-US" w:eastAsia="zh-CN"/>
        </w:rPr>
        <w:t>,</w:t>
      </w:r>
      <w:r>
        <w:rPr>
          <w:rFonts w:ascii="仿宋_GB2312" w:eastAsia="仿宋_GB2312"/>
          <w:sz w:val="28"/>
          <w:szCs w:val="28"/>
        </w:rPr>
        <w:t>697</w:t>
      </w:r>
      <w:r>
        <w:rPr>
          <w:rFonts w:hint="eastAsia" w:ascii="仿宋_GB2312" w:eastAsia="仿宋_GB2312"/>
          <w:sz w:val="28"/>
          <w:szCs w:val="28"/>
          <w:lang w:val="en-US" w:eastAsia="zh-CN"/>
        </w:rPr>
        <w:t>,</w:t>
      </w:r>
      <w:r>
        <w:rPr>
          <w:rFonts w:ascii="仿宋_GB2312" w:eastAsia="仿宋_GB2312"/>
          <w:sz w:val="28"/>
          <w:szCs w:val="28"/>
        </w:rPr>
        <w:t>910.88</w:t>
      </w:r>
      <w:r>
        <w:rPr>
          <w:rFonts w:hint="eastAsia" w:ascii="仿宋_GB2312" w:eastAsia="仿宋_GB2312"/>
          <w:sz w:val="28"/>
          <w:szCs w:val="28"/>
        </w:rPr>
        <w:t>元，主要用于以下方面：</w:t>
      </w:r>
      <w:r>
        <w:rPr>
          <w:rFonts w:hint="eastAsia" w:ascii="仿宋_GB2312" w:eastAsia="仿宋_GB2312"/>
          <w:color w:val="auto"/>
          <w:sz w:val="28"/>
          <w:szCs w:val="28"/>
          <w:shd w:val="clear" w:color="auto"/>
        </w:rPr>
        <w:t>公共</w:t>
      </w:r>
      <w:r>
        <w:rPr>
          <w:rFonts w:hint="eastAsia" w:ascii="仿宋_GB2312" w:eastAsia="仿宋_GB2312"/>
          <w:color w:val="auto"/>
          <w:sz w:val="28"/>
          <w:szCs w:val="28"/>
          <w:shd w:val="clear" w:color="auto"/>
          <w:lang w:eastAsia="zh-CN"/>
        </w:rPr>
        <w:t>安全</w:t>
      </w:r>
      <w:r>
        <w:rPr>
          <w:rFonts w:hint="eastAsia" w:ascii="仿宋_GB2312" w:eastAsia="仿宋_GB2312"/>
          <w:color w:val="auto"/>
          <w:sz w:val="28"/>
          <w:szCs w:val="28"/>
          <w:shd w:val="clear" w:color="auto"/>
        </w:rPr>
        <w:t>服务支出</w:t>
      </w:r>
      <w:r>
        <w:rPr>
          <w:rFonts w:hint="eastAsia" w:ascii="仿宋_GB2312" w:eastAsia="仿宋_GB2312"/>
          <w:color w:val="auto"/>
          <w:sz w:val="28"/>
          <w:szCs w:val="28"/>
          <w:shd w:val="clear" w:color="auto"/>
          <w:lang w:val="en-US" w:eastAsia="zh-CN"/>
        </w:rPr>
        <w:t>27,994,405.28</w:t>
      </w:r>
      <w:r>
        <w:rPr>
          <w:rFonts w:hint="eastAsia" w:ascii="仿宋_GB2312" w:eastAsia="仿宋_GB2312"/>
          <w:color w:val="auto"/>
          <w:sz w:val="28"/>
          <w:szCs w:val="28"/>
          <w:shd w:val="clear" w:color="auto"/>
        </w:rPr>
        <w:t>元</w:t>
      </w:r>
      <w:r>
        <w:rPr>
          <w:rFonts w:hint="eastAsia" w:ascii="仿宋_GB2312" w:eastAsia="仿宋_GB2312"/>
          <w:sz w:val="28"/>
          <w:szCs w:val="28"/>
          <w:shd w:val="clear"/>
        </w:rPr>
        <w:t>，占本年财政拨款支出</w:t>
      </w:r>
      <w:r>
        <w:rPr>
          <w:rFonts w:hint="eastAsia" w:ascii="仿宋_GB2312" w:eastAsia="仿宋_GB2312"/>
          <w:sz w:val="28"/>
          <w:szCs w:val="28"/>
          <w:shd w:val="clear"/>
          <w:lang w:val="en-US" w:eastAsia="zh-CN"/>
        </w:rPr>
        <w:t>97.5</w:t>
      </w:r>
      <w:r>
        <w:rPr>
          <w:rFonts w:hint="eastAsia" w:ascii="仿宋_GB2312" w:eastAsia="仿宋_GB2312"/>
          <w:sz w:val="28"/>
          <w:szCs w:val="28"/>
          <w:shd w:val="clear"/>
        </w:rPr>
        <w:t>%。</w:t>
      </w:r>
    </w:p>
    <w:p>
      <w:pPr>
        <w:tabs>
          <w:tab w:val="center" w:pos="6979"/>
        </w:tabs>
        <w:spacing w:line="580" w:lineRule="exact"/>
        <w:ind w:firstLine="560" w:firstLineChars="200"/>
      </w:pPr>
      <w:r>
        <w:rPr>
          <w:rFonts w:hint="eastAsia" w:ascii="仿宋_GB2312" w:eastAsia="仿宋_GB2312" w:cs="Times New Roman"/>
          <w:sz w:val="28"/>
          <w:szCs w:val="28"/>
          <w:lang w:val="en-US" w:eastAsia="zh-CN"/>
        </w:rPr>
        <w:t>2025年度社会保障和就业支出703,505.60万元，占本年财政拨款支出的2.5%</w:t>
      </w:r>
      <w:r>
        <w:rPr>
          <w:rFonts w:hint="eastAsia" w:ascii="仿宋_GB2312" w:eastAsia="仿宋_GB2312" w:cs="Times New Roman"/>
          <w:sz w:val="28"/>
          <w:szCs w:val="28"/>
        </w:rPr>
        <w:t>。</w:t>
      </w:r>
    </w:p>
    <w:p>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（二）一般公共预算财政拨款支出决算具体情况</w:t>
      </w:r>
    </w:p>
    <w:p>
      <w:pPr>
        <w:spacing w:line="580" w:lineRule="exact"/>
        <w:ind w:firstLine="560" w:firstLineChars="200"/>
        <w:rPr>
          <w:rFonts w:hint="eastAsia" w:ascii="仿宋_GB2312" w:eastAsia="仿宋_GB2312"/>
          <w:color w:val="auto"/>
          <w:sz w:val="28"/>
          <w:szCs w:val="28"/>
          <w:shd w:val="clear" w:color="auto"/>
        </w:rPr>
      </w:pPr>
      <w:r>
        <w:rPr>
          <w:rFonts w:hint="eastAsia" w:ascii="仿宋_GB2312" w:eastAsia="仿宋_GB2312"/>
          <w:sz w:val="28"/>
          <w:szCs w:val="28"/>
        </w:rPr>
        <w:t>1、</w:t>
      </w:r>
      <w:r>
        <w:rPr>
          <w:rFonts w:hint="eastAsia" w:ascii="仿宋_GB2312" w:eastAsia="仿宋_GB2312"/>
          <w:color w:val="auto"/>
          <w:sz w:val="28"/>
          <w:szCs w:val="28"/>
          <w:shd w:val="clear" w:color="auto"/>
        </w:rPr>
        <w:t>“</w:t>
      </w:r>
      <w:r>
        <w:rPr>
          <w:rFonts w:hint="eastAsia" w:ascii="仿宋_GB2312" w:eastAsia="仿宋_GB2312"/>
          <w:color w:val="auto"/>
          <w:sz w:val="28"/>
          <w:szCs w:val="28"/>
          <w:shd w:val="clear" w:color="auto"/>
          <w:lang w:val="en-US" w:eastAsia="zh-CN"/>
        </w:rPr>
        <w:t>公共安全</w:t>
      </w:r>
      <w:r>
        <w:rPr>
          <w:rFonts w:hint="eastAsia" w:ascii="仿宋_GB2312" w:eastAsia="仿宋_GB2312"/>
          <w:color w:val="auto"/>
          <w:sz w:val="28"/>
          <w:szCs w:val="28"/>
          <w:shd w:val="clear" w:color="auto"/>
        </w:rPr>
        <w:t>支出”（类）2025年度年初预算</w:t>
      </w:r>
      <w:r>
        <w:rPr>
          <w:rFonts w:hint="eastAsia" w:ascii="仿宋_GB2312" w:eastAsia="仿宋_GB2312"/>
          <w:color w:val="auto"/>
          <w:sz w:val="28"/>
          <w:szCs w:val="28"/>
          <w:shd w:val="clear" w:color="auto"/>
          <w:lang w:val="en-US" w:eastAsia="zh-CN"/>
        </w:rPr>
        <w:t>26,864,090.46</w:t>
      </w:r>
      <w:r>
        <w:rPr>
          <w:rFonts w:hint="eastAsia" w:ascii="仿宋_GB2312" w:eastAsia="仿宋_GB2312"/>
          <w:color w:val="auto"/>
          <w:sz w:val="28"/>
          <w:szCs w:val="28"/>
          <w:shd w:val="clear" w:color="auto"/>
        </w:rPr>
        <w:t>元，2025年度决算</w:t>
      </w:r>
      <w:r>
        <w:rPr>
          <w:rFonts w:hint="eastAsia" w:ascii="仿宋_GB2312" w:eastAsia="仿宋_GB2312"/>
          <w:color w:val="auto"/>
          <w:sz w:val="28"/>
          <w:szCs w:val="28"/>
          <w:shd w:val="clear" w:color="auto"/>
          <w:lang w:val="en-US" w:eastAsia="zh-CN"/>
        </w:rPr>
        <w:t>27,994,405.28</w:t>
      </w:r>
      <w:r>
        <w:rPr>
          <w:rFonts w:hint="eastAsia" w:ascii="仿宋_GB2312" w:eastAsia="仿宋_GB2312"/>
          <w:color w:val="auto"/>
          <w:sz w:val="28"/>
          <w:szCs w:val="28"/>
          <w:shd w:val="clear" w:color="auto"/>
        </w:rPr>
        <w:t>万元，完成年初预算的</w:t>
      </w:r>
      <w:r>
        <w:rPr>
          <w:rFonts w:hint="eastAsia" w:ascii="仿宋_GB2312" w:eastAsia="仿宋_GB2312"/>
          <w:color w:val="auto"/>
          <w:sz w:val="28"/>
          <w:szCs w:val="28"/>
          <w:shd w:val="clear" w:color="auto"/>
          <w:lang w:val="en-US" w:eastAsia="zh-CN"/>
        </w:rPr>
        <w:t>104.2</w:t>
      </w:r>
      <w:r>
        <w:rPr>
          <w:rFonts w:hint="eastAsia" w:ascii="仿宋_GB2312" w:eastAsia="仿宋_GB2312"/>
          <w:color w:val="auto"/>
          <w:sz w:val="28"/>
          <w:szCs w:val="28"/>
          <w:shd w:val="clear" w:color="auto"/>
        </w:rPr>
        <w:t>%。其中：</w:t>
      </w:r>
    </w:p>
    <w:p>
      <w:pPr>
        <w:spacing w:line="580" w:lineRule="exact"/>
        <w:ind w:firstLine="560" w:firstLineChars="200"/>
        <w:rPr>
          <w:rFonts w:hint="eastAsia" w:ascii="仿宋_GB2312" w:eastAsia="仿宋_GB2312"/>
          <w:color w:val="auto"/>
          <w:sz w:val="28"/>
          <w:szCs w:val="28"/>
          <w:shd w:val="clear" w:color="auto"/>
        </w:rPr>
      </w:pPr>
      <w:r>
        <w:rPr>
          <w:rFonts w:hint="eastAsia" w:ascii="仿宋_GB2312" w:eastAsia="仿宋_GB2312"/>
          <w:color w:val="auto"/>
          <w:sz w:val="28"/>
          <w:szCs w:val="28"/>
          <w:shd w:val="clear" w:color="auto"/>
        </w:rPr>
        <w:t>“</w:t>
      </w:r>
      <w:r>
        <w:rPr>
          <w:rFonts w:hint="eastAsia" w:ascii="仿宋_GB2312" w:eastAsia="仿宋_GB2312"/>
          <w:color w:val="auto"/>
          <w:sz w:val="28"/>
          <w:szCs w:val="28"/>
          <w:shd w:val="clear" w:color="auto"/>
          <w:lang w:eastAsia="zh-CN"/>
        </w:rPr>
        <w:t>司法</w:t>
      </w:r>
      <w:r>
        <w:rPr>
          <w:rFonts w:hint="eastAsia" w:ascii="仿宋_GB2312" w:eastAsia="仿宋_GB2312"/>
          <w:color w:val="auto"/>
          <w:sz w:val="28"/>
          <w:szCs w:val="28"/>
          <w:shd w:val="clear" w:color="auto"/>
        </w:rPr>
        <w:t>”（款，下同）202</w:t>
      </w:r>
      <w:r>
        <w:rPr>
          <w:rFonts w:hint="eastAsia" w:ascii="仿宋_GB2312" w:eastAsia="仿宋_GB2312"/>
          <w:color w:val="auto"/>
          <w:sz w:val="28"/>
          <w:szCs w:val="28"/>
          <w:shd w:val="clear" w:color="auto"/>
          <w:lang w:val="en-US" w:eastAsia="zh-CN"/>
        </w:rPr>
        <w:t>5年</w:t>
      </w:r>
      <w:r>
        <w:rPr>
          <w:rFonts w:hint="eastAsia" w:ascii="仿宋_GB2312" w:eastAsia="仿宋_GB2312"/>
          <w:color w:val="auto"/>
          <w:sz w:val="28"/>
          <w:szCs w:val="28"/>
          <w:shd w:val="clear" w:color="auto"/>
        </w:rPr>
        <w:t>年度决算</w:t>
      </w:r>
      <w:r>
        <w:rPr>
          <w:rFonts w:hint="eastAsia" w:ascii="仿宋_GB2312" w:eastAsia="仿宋_GB2312"/>
          <w:color w:val="auto"/>
          <w:sz w:val="28"/>
          <w:szCs w:val="28"/>
          <w:shd w:val="clear" w:color="auto"/>
          <w:lang w:val="en-US" w:eastAsia="zh-CN"/>
        </w:rPr>
        <w:t>27,651,305.28</w:t>
      </w:r>
      <w:r>
        <w:rPr>
          <w:rFonts w:hint="eastAsia" w:ascii="仿宋_GB2312" w:eastAsia="仿宋_GB2312"/>
          <w:color w:val="auto"/>
          <w:sz w:val="28"/>
          <w:szCs w:val="28"/>
          <w:shd w:val="clear" w:color="auto"/>
        </w:rPr>
        <w:t>元，比202</w:t>
      </w:r>
      <w:r>
        <w:rPr>
          <w:rFonts w:hint="eastAsia" w:ascii="仿宋_GB2312" w:eastAsia="仿宋_GB2312"/>
          <w:color w:val="auto"/>
          <w:sz w:val="28"/>
          <w:szCs w:val="28"/>
          <w:shd w:val="clear" w:color="auto"/>
          <w:lang w:val="en-US" w:eastAsia="zh-CN"/>
        </w:rPr>
        <w:t>5</w:t>
      </w:r>
      <w:r>
        <w:rPr>
          <w:rFonts w:hint="eastAsia" w:ascii="仿宋_GB2312" w:eastAsia="仿宋_GB2312"/>
          <w:color w:val="auto"/>
          <w:sz w:val="28"/>
          <w:szCs w:val="28"/>
          <w:shd w:val="clear" w:color="auto"/>
        </w:rPr>
        <w:t>年年初预算</w:t>
      </w:r>
      <w:r>
        <w:rPr>
          <w:rFonts w:hint="eastAsia" w:ascii="仿宋_GB2312" w:eastAsia="仿宋_GB2312"/>
          <w:color w:val="auto"/>
          <w:sz w:val="28"/>
          <w:szCs w:val="28"/>
          <w:shd w:val="clear" w:color="auto"/>
          <w:lang w:val="en-US" w:eastAsia="zh-CN"/>
        </w:rPr>
        <w:t>增加787214.82万</w:t>
      </w:r>
      <w:r>
        <w:rPr>
          <w:rFonts w:hint="eastAsia" w:ascii="仿宋_GB2312" w:eastAsia="仿宋_GB2312"/>
          <w:color w:val="auto"/>
          <w:sz w:val="28"/>
          <w:szCs w:val="28"/>
          <w:shd w:val="clear" w:color="auto"/>
        </w:rPr>
        <w:t>元，</w:t>
      </w:r>
      <w:r>
        <w:rPr>
          <w:rFonts w:hint="eastAsia" w:ascii="仿宋_GB2312" w:eastAsia="仿宋_GB2312"/>
          <w:color w:val="auto"/>
          <w:sz w:val="28"/>
          <w:szCs w:val="28"/>
          <w:shd w:val="clear" w:color="auto"/>
          <w:lang w:val="en-US" w:eastAsia="zh-CN"/>
        </w:rPr>
        <w:t>增加2.9</w:t>
      </w:r>
      <w:r>
        <w:rPr>
          <w:rFonts w:hint="eastAsia" w:ascii="仿宋_GB2312" w:eastAsia="仿宋_GB2312"/>
          <w:color w:val="auto"/>
          <w:sz w:val="28"/>
          <w:szCs w:val="28"/>
          <w:shd w:val="clear" w:color="auto"/>
        </w:rPr>
        <w:t>%。主要原因：</w:t>
      </w:r>
      <w:r>
        <w:rPr>
          <w:rFonts w:hint="eastAsia" w:ascii="仿宋_GB2312" w:eastAsia="仿宋_GB2312"/>
          <w:color w:val="auto"/>
          <w:sz w:val="28"/>
          <w:szCs w:val="28"/>
          <w:shd w:val="clear" w:color="auto"/>
          <w:lang w:val="en-US" w:eastAsia="zh-CN"/>
        </w:rPr>
        <w:t>一是人员经费增加，2025年新招录公务员1人，事业人员3人，转入公务员1人，事业人员1人；2025年1月补发了2024年7月—2025年1月基本工资调整金额；2025年7月，社会保险及公积金基数调整。二是普法和公共法律服务项目中法律援助项目支出金额增加，该项目按照实际发生金额支出。</w:t>
      </w:r>
      <w:r>
        <w:rPr>
          <w:rFonts w:hint="eastAsia" w:ascii="仿宋_GB2312" w:eastAsia="仿宋_GB2312"/>
          <w:color w:val="auto"/>
          <w:sz w:val="28"/>
          <w:szCs w:val="28"/>
          <w:shd w:val="clear" w:color="auto"/>
        </w:rPr>
        <w:t>“</w:t>
      </w:r>
      <w:r>
        <w:rPr>
          <w:rFonts w:hint="eastAsia" w:ascii="仿宋_GB2312" w:eastAsia="仿宋_GB2312"/>
          <w:color w:val="auto"/>
          <w:sz w:val="28"/>
          <w:szCs w:val="28"/>
          <w:shd w:val="clear" w:color="auto"/>
          <w:lang w:val="en-US" w:eastAsia="zh-CN"/>
        </w:rPr>
        <w:t>公安</w:t>
      </w:r>
      <w:r>
        <w:rPr>
          <w:rFonts w:hint="eastAsia" w:ascii="仿宋_GB2312" w:eastAsia="仿宋_GB2312"/>
          <w:color w:val="auto"/>
          <w:sz w:val="28"/>
          <w:szCs w:val="28"/>
          <w:shd w:val="clear" w:color="auto"/>
        </w:rPr>
        <w:t>”（款）202</w:t>
      </w:r>
      <w:r>
        <w:rPr>
          <w:rFonts w:hint="eastAsia" w:ascii="仿宋_GB2312" w:eastAsia="仿宋_GB2312"/>
          <w:color w:val="auto"/>
          <w:sz w:val="28"/>
          <w:szCs w:val="28"/>
          <w:shd w:val="clear" w:color="auto"/>
          <w:lang w:val="en-US" w:eastAsia="zh-CN"/>
        </w:rPr>
        <w:t>5年</w:t>
      </w:r>
      <w:r>
        <w:rPr>
          <w:rFonts w:hint="eastAsia" w:ascii="仿宋_GB2312" w:eastAsia="仿宋_GB2312"/>
          <w:color w:val="auto"/>
          <w:sz w:val="28"/>
          <w:szCs w:val="28"/>
          <w:shd w:val="clear" w:color="auto"/>
        </w:rPr>
        <w:t>年度决算</w:t>
      </w:r>
      <w:r>
        <w:rPr>
          <w:rFonts w:hint="eastAsia" w:ascii="仿宋_GB2312" w:eastAsia="仿宋_GB2312"/>
          <w:color w:val="auto"/>
          <w:sz w:val="28"/>
          <w:szCs w:val="28"/>
          <w:shd w:val="clear" w:color="auto"/>
          <w:lang w:val="en-US" w:eastAsia="zh-CN"/>
        </w:rPr>
        <w:t>343,100.00</w:t>
      </w:r>
      <w:r>
        <w:rPr>
          <w:rFonts w:hint="eastAsia" w:ascii="仿宋_GB2312" w:eastAsia="仿宋_GB2312"/>
          <w:color w:val="auto"/>
          <w:sz w:val="28"/>
          <w:szCs w:val="28"/>
          <w:shd w:val="clear" w:color="auto"/>
        </w:rPr>
        <w:t>元，</w:t>
      </w:r>
      <w:r>
        <w:rPr>
          <w:rFonts w:hint="eastAsia" w:ascii="仿宋_GB2312" w:eastAsia="仿宋_GB2312"/>
          <w:color w:val="auto"/>
          <w:sz w:val="28"/>
          <w:szCs w:val="28"/>
          <w:shd w:val="clear" w:color="auto"/>
          <w:lang w:val="en-US" w:eastAsia="zh-CN"/>
        </w:rPr>
        <w:t>为行政复议、社区矫正业务用房租金支出。</w:t>
      </w:r>
    </w:p>
    <w:p>
      <w:pPr>
        <w:numPr>
          <w:ilvl w:val="0"/>
          <w:numId w:val="1"/>
        </w:num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w:t>
      </w:r>
      <w:r>
        <w:rPr>
          <w:rFonts w:hint="eastAsia" w:ascii="仿宋_GB2312" w:eastAsia="仿宋_GB2312"/>
          <w:sz w:val="28"/>
          <w:szCs w:val="28"/>
          <w:lang w:val="en-US" w:eastAsia="zh-CN"/>
        </w:rPr>
        <w:t>社会保障和就业支出</w:t>
      </w:r>
      <w:r>
        <w:rPr>
          <w:rFonts w:hint="eastAsia" w:ascii="仿宋_GB2312" w:eastAsia="仿宋_GB2312"/>
          <w:sz w:val="28"/>
          <w:szCs w:val="28"/>
        </w:rPr>
        <w:t>”(类)202</w:t>
      </w:r>
      <w:r>
        <w:rPr>
          <w:rFonts w:hint="eastAsia" w:ascii="仿宋_GB2312" w:eastAsia="仿宋_GB2312"/>
          <w:sz w:val="28"/>
          <w:szCs w:val="28"/>
          <w:lang w:val="en-US" w:eastAsia="zh-CN"/>
        </w:rPr>
        <w:t>5</w:t>
      </w:r>
      <w:r>
        <w:rPr>
          <w:rFonts w:hint="eastAsia" w:ascii="仿宋_GB2312" w:eastAsia="仿宋_GB2312"/>
          <w:sz w:val="28"/>
          <w:szCs w:val="28"/>
        </w:rPr>
        <w:t>年度决算</w:t>
      </w:r>
      <w:r>
        <w:rPr>
          <w:rFonts w:hint="eastAsia" w:ascii="仿宋_GB2312" w:eastAsia="仿宋_GB2312"/>
          <w:sz w:val="28"/>
          <w:szCs w:val="28"/>
          <w:lang w:val="en-US" w:eastAsia="zh-CN"/>
        </w:rPr>
        <w:t>703,505.60</w:t>
      </w:r>
      <w:r>
        <w:rPr>
          <w:rFonts w:hint="eastAsia" w:ascii="仿宋_GB2312" w:eastAsia="仿宋_GB2312"/>
          <w:sz w:val="28"/>
          <w:szCs w:val="28"/>
        </w:rPr>
        <w:t>元，比202</w:t>
      </w:r>
      <w:r>
        <w:rPr>
          <w:rFonts w:hint="eastAsia" w:ascii="仿宋_GB2312" w:eastAsia="仿宋_GB2312"/>
          <w:sz w:val="28"/>
          <w:szCs w:val="28"/>
          <w:lang w:val="en-US" w:eastAsia="zh-CN"/>
        </w:rPr>
        <w:t>5</w:t>
      </w:r>
      <w:r>
        <w:rPr>
          <w:rFonts w:hint="eastAsia" w:ascii="仿宋_GB2312" w:eastAsia="仿宋_GB2312"/>
          <w:sz w:val="28"/>
          <w:szCs w:val="28"/>
        </w:rPr>
        <w:t>年年初预算</w:t>
      </w:r>
      <w:r>
        <w:rPr>
          <w:rFonts w:hint="eastAsia" w:ascii="仿宋_GB2312" w:eastAsia="仿宋_GB2312"/>
          <w:sz w:val="28"/>
          <w:szCs w:val="28"/>
          <w:lang w:eastAsia="zh-CN"/>
        </w:rPr>
        <w:t>增加</w:t>
      </w:r>
      <w:r>
        <w:rPr>
          <w:rFonts w:hint="eastAsia" w:ascii="仿宋_GB2312" w:eastAsia="仿宋_GB2312"/>
          <w:sz w:val="28"/>
          <w:szCs w:val="28"/>
          <w:shd w:val="clear"/>
          <w:lang w:val="en-US" w:eastAsia="zh-CN"/>
        </w:rPr>
        <w:t>10,929.4万元</w:t>
      </w:r>
      <w:r>
        <w:rPr>
          <w:rFonts w:hint="eastAsia" w:ascii="仿宋_GB2312" w:eastAsia="仿宋_GB2312"/>
          <w:sz w:val="28"/>
          <w:szCs w:val="28"/>
          <w:shd w:val="clear"/>
        </w:rPr>
        <w:t>，</w:t>
      </w:r>
      <w:r>
        <w:rPr>
          <w:rFonts w:hint="eastAsia" w:ascii="仿宋_GB2312" w:eastAsia="仿宋_GB2312"/>
          <w:sz w:val="28"/>
          <w:szCs w:val="28"/>
          <w:shd w:val="clear"/>
          <w:lang w:val="en-US" w:eastAsia="zh-CN"/>
        </w:rPr>
        <w:t>增加18.4</w:t>
      </w:r>
      <w:r>
        <w:rPr>
          <w:rFonts w:hint="eastAsia" w:ascii="仿宋_GB2312" w:eastAsia="仿宋_GB2312"/>
          <w:sz w:val="28"/>
          <w:szCs w:val="28"/>
          <w:shd w:val="clear"/>
        </w:rPr>
        <w:t>%。</w:t>
      </w:r>
      <w:r>
        <w:rPr>
          <w:rFonts w:hint="eastAsia" w:ascii="仿宋_GB2312" w:eastAsia="仿宋_GB2312"/>
          <w:sz w:val="28"/>
          <w:szCs w:val="28"/>
        </w:rPr>
        <w:t>其中：</w:t>
      </w:r>
    </w:p>
    <w:p>
      <w:pPr>
        <w:spacing w:line="580" w:lineRule="exact"/>
        <w:ind w:firstLine="560" w:firstLineChars="200"/>
        <w:rPr>
          <w:rFonts w:ascii="仿宋_GB2312" w:eastAsia="仿宋_GB2312"/>
          <w:sz w:val="28"/>
          <w:szCs w:val="28"/>
        </w:rPr>
      </w:pPr>
      <w:r>
        <w:rPr>
          <w:rFonts w:hint="eastAsia" w:ascii="仿宋_GB2312" w:eastAsia="仿宋_GB2312"/>
          <w:sz w:val="28"/>
          <w:szCs w:val="28"/>
        </w:rPr>
        <w:t>“</w:t>
      </w:r>
      <w:r>
        <w:rPr>
          <w:rFonts w:hint="eastAsia" w:ascii="仿宋_GB2312" w:eastAsia="仿宋_GB2312"/>
          <w:sz w:val="28"/>
          <w:szCs w:val="28"/>
          <w:lang w:val="en-US" w:eastAsia="zh-CN"/>
        </w:rPr>
        <w:t>行政单位离退休</w:t>
      </w:r>
      <w:r>
        <w:rPr>
          <w:rFonts w:hint="eastAsia" w:ascii="仿宋_GB2312" w:eastAsia="仿宋_GB2312"/>
          <w:sz w:val="28"/>
          <w:szCs w:val="28"/>
        </w:rPr>
        <w:t>”（款）202</w:t>
      </w:r>
      <w:r>
        <w:rPr>
          <w:rFonts w:hint="eastAsia" w:ascii="仿宋_GB2312" w:eastAsia="仿宋_GB2312"/>
          <w:sz w:val="28"/>
          <w:szCs w:val="28"/>
          <w:lang w:val="en-US" w:eastAsia="zh-CN"/>
        </w:rPr>
        <w:t>5</w:t>
      </w:r>
      <w:r>
        <w:rPr>
          <w:rFonts w:hint="eastAsia" w:ascii="仿宋_GB2312" w:eastAsia="仿宋_GB2312"/>
          <w:sz w:val="28"/>
          <w:szCs w:val="28"/>
        </w:rPr>
        <w:t>年度决算</w:t>
      </w:r>
      <w:r>
        <w:rPr>
          <w:rFonts w:hint="eastAsia" w:ascii="仿宋_GB2312" w:eastAsia="仿宋_GB2312"/>
          <w:sz w:val="28"/>
          <w:szCs w:val="28"/>
          <w:lang w:val="en-US" w:eastAsia="zh-CN"/>
        </w:rPr>
        <w:t>703,505.60</w:t>
      </w:r>
      <w:r>
        <w:rPr>
          <w:rFonts w:hint="eastAsia" w:ascii="仿宋_GB2312" w:eastAsia="仿宋_GB2312"/>
          <w:sz w:val="28"/>
          <w:szCs w:val="28"/>
        </w:rPr>
        <w:t>元，比202</w:t>
      </w:r>
      <w:r>
        <w:rPr>
          <w:rFonts w:hint="eastAsia" w:ascii="仿宋_GB2312" w:eastAsia="仿宋_GB2312"/>
          <w:sz w:val="28"/>
          <w:szCs w:val="28"/>
          <w:lang w:val="en-US" w:eastAsia="zh-CN"/>
        </w:rPr>
        <w:t>5</w:t>
      </w:r>
      <w:r>
        <w:rPr>
          <w:rFonts w:hint="eastAsia" w:ascii="仿宋_GB2312" w:eastAsia="仿宋_GB2312"/>
          <w:sz w:val="28"/>
          <w:szCs w:val="28"/>
        </w:rPr>
        <w:t>年年初预算</w:t>
      </w:r>
      <w:r>
        <w:rPr>
          <w:rFonts w:hint="eastAsia" w:ascii="仿宋_GB2312" w:eastAsia="仿宋_GB2312"/>
          <w:sz w:val="28"/>
          <w:szCs w:val="28"/>
          <w:lang w:eastAsia="zh-CN"/>
        </w:rPr>
        <w:t>增加</w:t>
      </w:r>
      <w:r>
        <w:rPr>
          <w:rFonts w:hint="eastAsia" w:ascii="仿宋_GB2312" w:eastAsia="仿宋_GB2312"/>
          <w:sz w:val="28"/>
          <w:szCs w:val="28"/>
          <w:shd w:val="clear"/>
          <w:lang w:val="en-US" w:eastAsia="zh-CN"/>
        </w:rPr>
        <w:t>10,929.4万元</w:t>
      </w:r>
      <w:r>
        <w:rPr>
          <w:rFonts w:hint="eastAsia" w:ascii="仿宋_GB2312" w:eastAsia="仿宋_GB2312"/>
          <w:sz w:val="28"/>
          <w:szCs w:val="28"/>
          <w:shd w:val="clear"/>
        </w:rPr>
        <w:t>，</w:t>
      </w:r>
      <w:r>
        <w:rPr>
          <w:rFonts w:hint="eastAsia" w:ascii="仿宋_GB2312" w:eastAsia="仿宋_GB2312"/>
          <w:sz w:val="28"/>
          <w:szCs w:val="28"/>
          <w:shd w:val="clear"/>
          <w:lang w:val="en-US" w:eastAsia="zh-CN"/>
        </w:rPr>
        <w:t>增加18.4</w:t>
      </w:r>
      <w:r>
        <w:rPr>
          <w:rFonts w:hint="eastAsia" w:ascii="仿宋_GB2312" w:eastAsia="仿宋_GB2312"/>
          <w:sz w:val="28"/>
          <w:szCs w:val="28"/>
          <w:shd w:val="clear"/>
        </w:rPr>
        <w:t>%。</w:t>
      </w:r>
      <w:r>
        <w:rPr>
          <w:rFonts w:hint="eastAsia" w:ascii="仿宋_GB2312" w:eastAsia="仿宋_GB2312"/>
          <w:sz w:val="28"/>
          <w:szCs w:val="28"/>
        </w:rPr>
        <w:t>主要原因：</w:t>
      </w:r>
      <w:r>
        <w:rPr>
          <w:rFonts w:hint="eastAsia" w:ascii="仿宋_GB2312" w:eastAsia="仿宋_GB2312"/>
          <w:sz w:val="28"/>
          <w:szCs w:val="28"/>
          <w:lang w:val="en-US" w:eastAsia="zh-CN"/>
        </w:rPr>
        <w:t>追加离退休人员取暖补贴，该项补贴不包含在年初预算内。</w:t>
      </w:r>
    </w:p>
    <w:p>
      <w:pPr>
        <w:spacing w:line="580" w:lineRule="exact"/>
        <w:ind w:firstLine="560" w:firstLineChars="200"/>
        <w:rPr>
          <w:rFonts w:ascii="仿宋_GB2312" w:eastAsia="仿宋_GB2312"/>
          <w:sz w:val="28"/>
          <w:szCs w:val="28"/>
        </w:rPr>
      </w:pPr>
      <w:r>
        <w:rPr>
          <w:rFonts w:hint="eastAsia" w:ascii="黑体" w:eastAsia="黑体"/>
          <w:b/>
          <w:sz w:val="28"/>
          <w:szCs w:val="28"/>
        </w:rPr>
        <w:t>五、政府性基金预算财政拨款支出决算情况说明</w:t>
      </w:r>
    </w:p>
    <w:p>
      <w:pPr>
        <w:spacing w:line="580" w:lineRule="exact"/>
        <w:ind w:firstLine="560" w:firstLineChars="200"/>
        <w:rPr>
          <w:rFonts w:ascii="仿宋_GB2312" w:eastAsia="仿宋_GB2312"/>
          <w:sz w:val="28"/>
          <w:szCs w:val="28"/>
        </w:rPr>
      </w:pPr>
      <w:r>
        <w:rPr>
          <w:rFonts w:hint="eastAsia" w:ascii="仿宋_GB2312" w:eastAsia="仿宋_GB2312"/>
          <w:sz w:val="28"/>
          <w:szCs w:val="28"/>
        </w:rPr>
        <w:t>本单位无此项经费支出。</w:t>
      </w:r>
    </w:p>
    <w:p>
      <w:pPr>
        <w:spacing w:line="580" w:lineRule="exact"/>
        <w:ind w:firstLine="560" w:firstLineChars="200"/>
        <w:rPr>
          <w:rFonts w:ascii="黑体" w:eastAsia="黑体"/>
          <w:b/>
          <w:sz w:val="28"/>
          <w:szCs w:val="28"/>
        </w:rPr>
      </w:pPr>
      <w:r>
        <w:rPr>
          <w:rFonts w:hint="eastAsia" w:ascii="黑体" w:eastAsia="黑体"/>
          <w:b/>
          <w:sz w:val="28"/>
          <w:szCs w:val="28"/>
        </w:rPr>
        <w:t>六、国有资本经营预算财</w:t>
      </w:r>
      <w:r>
        <w:rPr>
          <w:rFonts w:ascii="黑体" w:eastAsia="黑体"/>
          <w:b/>
          <w:sz w:val="28"/>
          <w:szCs w:val="28"/>
        </w:rPr>
        <w:t>政拨款</w:t>
      </w:r>
      <w:r>
        <w:rPr>
          <w:rFonts w:hint="eastAsia" w:ascii="黑体" w:eastAsia="黑体"/>
          <w:b/>
          <w:sz w:val="28"/>
          <w:szCs w:val="28"/>
        </w:rPr>
        <w:t>收支情况</w:t>
      </w:r>
    </w:p>
    <w:p>
      <w:pPr>
        <w:ind w:firstLine="537" w:firstLineChars="192"/>
        <w:rPr>
          <w:rFonts w:ascii="仿宋_GB2312" w:eastAsia="仿宋_GB2312"/>
          <w:sz w:val="28"/>
          <w:szCs w:val="28"/>
        </w:rPr>
      </w:pPr>
      <w:r>
        <w:rPr>
          <w:rFonts w:hint="eastAsia" w:ascii="仿宋_GB2312" w:eastAsia="仿宋_GB2312"/>
          <w:sz w:val="28"/>
          <w:szCs w:val="28"/>
        </w:rPr>
        <w:t>本单位无此项经费支出。</w:t>
      </w:r>
    </w:p>
    <w:p>
      <w:pPr>
        <w:spacing w:line="580" w:lineRule="exact"/>
        <w:ind w:firstLine="548" w:firstLineChars="196"/>
        <w:rPr>
          <w:rFonts w:ascii="黑体" w:eastAsia="黑体"/>
          <w:sz w:val="28"/>
          <w:szCs w:val="28"/>
        </w:rPr>
      </w:pPr>
      <w:r>
        <w:rPr>
          <w:rFonts w:hint="eastAsia" w:ascii="黑体" w:eastAsia="黑体"/>
          <w:b/>
          <w:sz w:val="28"/>
          <w:szCs w:val="28"/>
        </w:rPr>
        <w:t>七、财政拨款基本支出决算情况说明</w:t>
      </w:r>
    </w:p>
    <w:p>
      <w:pPr>
        <w:tabs>
          <w:tab w:val="center" w:pos="6979"/>
        </w:tabs>
        <w:spacing w:line="580" w:lineRule="exact"/>
        <w:ind w:firstLine="548" w:firstLineChars="196"/>
        <w:rPr>
          <w:rFonts w:hint="eastAsia" w:ascii="仿宋_GB2312" w:eastAsia="仿宋_GB2312"/>
          <w:sz w:val="28"/>
          <w:szCs w:val="28"/>
          <w:lang w:eastAsia="zh-CN"/>
        </w:rPr>
      </w:pPr>
      <w:r>
        <w:rPr>
          <w:rFonts w:hint="eastAsia" w:ascii="仿宋_GB2312" w:eastAsia="仿宋_GB2312"/>
          <w:sz w:val="28"/>
          <w:szCs w:val="28"/>
        </w:rPr>
        <w:t>2025年度使用一般公共预算财政拨款安排基本支出</w:t>
      </w:r>
      <w:r>
        <w:rPr>
          <w:rFonts w:ascii="仿宋_GB2312" w:eastAsia="仿宋_GB2312"/>
          <w:sz w:val="28"/>
          <w:szCs w:val="28"/>
        </w:rPr>
        <w:t>22</w:t>
      </w:r>
      <w:r>
        <w:rPr>
          <w:rFonts w:hint="eastAsia" w:ascii="仿宋_GB2312" w:eastAsia="仿宋_GB2312"/>
          <w:sz w:val="28"/>
          <w:szCs w:val="28"/>
          <w:lang w:val="en-US" w:eastAsia="zh-CN"/>
        </w:rPr>
        <w:t>,</w:t>
      </w:r>
      <w:r>
        <w:rPr>
          <w:rFonts w:ascii="仿宋_GB2312" w:eastAsia="仿宋_GB2312"/>
          <w:sz w:val="28"/>
          <w:szCs w:val="28"/>
        </w:rPr>
        <w:t>255</w:t>
      </w:r>
      <w:r>
        <w:rPr>
          <w:rFonts w:hint="eastAsia" w:ascii="仿宋_GB2312" w:eastAsia="仿宋_GB2312"/>
          <w:sz w:val="28"/>
          <w:szCs w:val="28"/>
          <w:lang w:val="en-US" w:eastAsia="zh-CN"/>
        </w:rPr>
        <w:t>,</w:t>
      </w:r>
      <w:r>
        <w:rPr>
          <w:rFonts w:ascii="仿宋_GB2312" w:eastAsia="仿宋_GB2312"/>
          <w:sz w:val="28"/>
          <w:szCs w:val="28"/>
        </w:rPr>
        <w:t>133.47</w:t>
      </w:r>
      <w:r>
        <w:rPr>
          <w:rFonts w:hint="eastAsia" w:ascii="仿宋_GB2312" w:eastAsia="仿宋_GB2312"/>
          <w:sz w:val="28"/>
          <w:szCs w:val="28"/>
        </w:rPr>
        <w:t>元，使用政府性基金财政拨款安排基本支出</w:t>
      </w:r>
      <w:r>
        <w:rPr>
          <w:rFonts w:ascii="仿宋_GB2312" w:eastAsia="仿宋_GB2312"/>
          <w:sz w:val="28"/>
          <w:szCs w:val="28"/>
        </w:rPr>
        <w:t>0</w:t>
      </w:r>
      <w:r>
        <w:rPr>
          <w:rFonts w:hint="eastAsia" w:ascii="仿宋_GB2312" w:eastAsia="仿宋_GB2312"/>
          <w:sz w:val="28"/>
          <w:szCs w:val="28"/>
        </w:rPr>
        <w:t>元，（1）工资福利支出包括基本工资、津贴补贴、奖金、伙食补助费、绩效工资、其他社会保障缴费、其他工资福利等支出</w:t>
      </w:r>
      <w:r>
        <w:rPr>
          <w:rFonts w:hint="eastAsia" w:ascii="仿宋_GB2312" w:eastAsia="仿宋_GB2312"/>
          <w:sz w:val="28"/>
          <w:szCs w:val="28"/>
          <w:lang w:val="en-US" w:eastAsia="zh-CN"/>
        </w:rPr>
        <w:t>19,510,154.11元，年初预算数</w:t>
      </w:r>
      <w:r>
        <w:rPr>
          <w:rFonts w:hint="eastAsia" w:ascii="仿宋_GB2312" w:eastAsia="仿宋_GB2312"/>
          <w:sz w:val="28"/>
          <w:szCs w:val="28"/>
          <w:shd w:val="clear"/>
          <w:lang w:val="en-US" w:eastAsia="zh-CN"/>
        </w:rPr>
        <w:t>19483841.06元，增加26,313.05元</w:t>
      </w:r>
      <w:r>
        <w:rPr>
          <w:rFonts w:hint="eastAsia" w:ascii="仿宋_GB2312" w:eastAsia="仿宋_GB2312"/>
          <w:sz w:val="28"/>
          <w:szCs w:val="28"/>
          <w:lang w:val="en-US" w:eastAsia="zh-CN"/>
        </w:rPr>
        <w:t>，主要原因为一是人员经费增加，2025年新招录公务员1人，事业人员3人，转入公务员1人，事业人员1人；2025年1月补发了2024年7月—2025年1月基本工资调整金额；2025年7月，社会保险及公积金基数调整</w:t>
      </w:r>
      <w:r>
        <w:rPr>
          <w:rFonts w:hint="eastAsia" w:ascii="仿宋_GB2312" w:eastAsia="仿宋_GB2312"/>
          <w:sz w:val="28"/>
          <w:szCs w:val="28"/>
        </w:rPr>
        <w:t>；（2）商品和服务支出包括办公费、印刷费、咨询费、手续费、水费、电费、邮电费、取暖费、物业管理费、差旅费、因公出国（境）费、维修（护）费、租赁费、会议费、培训费、公务接待费、专用材料费、劳务费、委托业务费、工会经费、福利费、公务用车运行维护费、其他交通费、其他商品和服务等支出</w:t>
      </w:r>
      <w:r>
        <w:rPr>
          <w:rFonts w:hint="eastAsia" w:ascii="仿宋_GB2312" w:eastAsia="仿宋_GB2312"/>
          <w:sz w:val="28"/>
          <w:szCs w:val="28"/>
          <w:lang w:val="en-US" w:eastAsia="zh-CN"/>
        </w:rPr>
        <w:t>2,044,738.46元，</w:t>
      </w:r>
      <w:r>
        <w:rPr>
          <w:rFonts w:hint="eastAsia" w:ascii="仿宋_GB2312" w:eastAsia="仿宋_GB2312"/>
          <w:sz w:val="28"/>
          <w:szCs w:val="28"/>
          <w:shd w:val="clear"/>
          <w:lang w:val="en-US" w:eastAsia="zh-CN"/>
        </w:rPr>
        <w:t>比2025年年初预算1683881.4元，增加360,857.06元，</w:t>
      </w:r>
      <w:r>
        <w:rPr>
          <w:rFonts w:hint="eastAsia" w:ascii="仿宋_GB2312" w:eastAsia="仿宋_GB2312"/>
          <w:sz w:val="28"/>
          <w:szCs w:val="28"/>
          <w:lang w:val="en-US" w:eastAsia="zh-CN"/>
        </w:rPr>
        <w:t>主要原因为：公务员工资中“公务交通补贴和上下班交通补贴”在记账时计入“商品和服务支出”中的“其他交通费用”科目</w:t>
      </w:r>
      <w:r>
        <w:rPr>
          <w:rFonts w:hint="eastAsia" w:ascii="仿宋_GB2312" w:eastAsia="仿宋_GB2312"/>
          <w:sz w:val="28"/>
          <w:szCs w:val="28"/>
        </w:rPr>
        <w:t>；（3）对个人和家庭补助支出包括离休费、退休费、抚恤金、生活补助、救济费、医疗费补助、助学金、奖励金、其他对个人和家庭的补助等支出</w:t>
      </w:r>
      <w:r>
        <w:rPr>
          <w:rFonts w:hint="eastAsia" w:ascii="仿宋_GB2312" w:eastAsia="仿宋_GB2312"/>
          <w:sz w:val="28"/>
          <w:szCs w:val="28"/>
          <w:lang w:val="en-US" w:eastAsia="zh-CN"/>
        </w:rPr>
        <w:t>700,240.90元，</w:t>
      </w:r>
      <w:r>
        <w:rPr>
          <w:rFonts w:hint="eastAsia" w:ascii="仿宋_GB2312" w:eastAsia="仿宋_GB2312"/>
          <w:sz w:val="28"/>
          <w:szCs w:val="28"/>
          <w:shd w:val="clear"/>
          <w:lang w:val="en-US" w:eastAsia="zh-CN"/>
        </w:rPr>
        <w:t>比2025年年初预算562851.20元，增加137,389.7元</w:t>
      </w:r>
      <w:r>
        <w:rPr>
          <w:rFonts w:hint="eastAsia" w:ascii="仿宋_GB2312" w:eastAsia="仿宋_GB2312"/>
          <w:sz w:val="28"/>
          <w:szCs w:val="28"/>
          <w:lang w:val="en-US" w:eastAsia="zh-CN"/>
        </w:rPr>
        <w:t>，主要原因为：追加离退休人员取暖补贴。</w:t>
      </w:r>
      <w:r>
        <w:rPr>
          <w:rFonts w:hint="eastAsia" w:ascii="仿宋_GB2312" w:eastAsia="仿宋_GB2312"/>
          <w:sz w:val="28"/>
          <w:szCs w:val="28"/>
        </w:rPr>
        <w:t>（4）其他资本性支出：包括办公设备购置、专用设备购置等</w:t>
      </w:r>
      <w:r>
        <w:rPr>
          <w:rFonts w:hint="eastAsia" w:ascii="仿宋_GB2312" w:eastAsia="仿宋_GB2312"/>
          <w:sz w:val="28"/>
          <w:szCs w:val="28"/>
          <w:lang w:val="en-US" w:eastAsia="zh-CN"/>
        </w:rPr>
        <w:t>0.00万</w:t>
      </w:r>
      <w:r>
        <w:rPr>
          <w:rFonts w:hint="eastAsia" w:ascii="仿宋_GB2312" w:eastAsia="仿宋_GB2312"/>
          <w:sz w:val="28"/>
          <w:szCs w:val="28"/>
        </w:rPr>
        <w:t>元，年初预算</w:t>
      </w:r>
      <w:r>
        <w:rPr>
          <w:rFonts w:hint="eastAsia" w:ascii="仿宋_GB2312" w:eastAsia="仿宋_GB2312"/>
          <w:sz w:val="28"/>
          <w:szCs w:val="28"/>
          <w:lang w:val="en-US" w:eastAsia="zh-CN"/>
        </w:rPr>
        <w:t>0.00万</w:t>
      </w:r>
      <w:r>
        <w:rPr>
          <w:rFonts w:hint="eastAsia" w:ascii="仿宋_GB2312" w:eastAsia="仿宋_GB2312"/>
          <w:sz w:val="28"/>
          <w:szCs w:val="28"/>
        </w:rPr>
        <w:t>元，增加</w:t>
      </w:r>
      <w:r>
        <w:rPr>
          <w:rFonts w:hint="eastAsia" w:ascii="仿宋_GB2312" w:eastAsia="仿宋_GB2312"/>
          <w:sz w:val="28"/>
          <w:szCs w:val="28"/>
          <w:lang w:val="en-US" w:eastAsia="zh-CN"/>
        </w:rPr>
        <w:t>0.00</w:t>
      </w:r>
      <w:r>
        <w:rPr>
          <w:rFonts w:hint="eastAsia" w:ascii="仿宋_GB2312" w:eastAsia="仿宋_GB2312"/>
          <w:sz w:val="28"/>
          <w:szCs w:val="28"/>
        </w:rPr>
        <w:t>元, 主要原因</w:t>
      </w:r>
      <w:r>
        <w:rPr>
          <w:rFonts w:hint="eastAsia" w:ascii="仿宋_GB2312" w:eastAsia="仿宋_GB2312"/>
          <w:sz w:val="28"/>
          <w:szCs w:val="28"/>
          <w:lang w:val="en-US" w:eastAsia="zh-CN"/>
        </w:rPr>
        <w:t>本年度无此项支出</w:t>
      </w:r>
      <w:r>
        <w:rPr>
          <w:rFonts w:hint="eastAsia" w:ascii="仿宋_GB2312" w:eastAsia="仿宋_GB2312"/>
          <w:sz w:val="28"/>
          <w:szCs w:val="28"/>
          <w:lang w:eastAsia="zh-CN"/>
        </w:rPr>
        <w:t>。</w:t>
      </w:r>
    </w:p>
    <w:p>
      <w:pPr>
        <w:tabs>
          <w:tab w:val="center" w:pos="6979"/>
        </w:tabs>
        <w:spacing w:line="580" w:lineRule="exact"/>
        <w:ind w:firstLine="548" w:firstLineChars="196"/>
        <w:rPr>
          <w:rFonts w:ascii="黑体" w:eastAsia="黑体"/>
          <w:b/>
          <w:sz w:val="28"/>
          <w:szCs w:val="28"/>
        </w:rPr>
      </w:pPr>
    </w:p>
    <w:p>
      <w:pPr>
        <w:autoSpaceDE w:val="0"/>
        <w:autoSpaceDN w:val="0"/>
        <w:adjustRightInd w:val="0"/>
        <w:spacing w:line="580" w:lineRule="exact"/>
        <w:rPr>
          <w:rFonts w:ascii="宋体" w:hAnsi="宋体"/>
          <w:b/>
          <w:spacing w:val="40"/>
          <w:sz w:val="32"/>
          <w:szCs w:val="32"/>
        </w:rPr>
      </w:pPr>
      <w:r>
        <w:rPr>
          <w:rFonts w:ascii="仿宋_GB2312" w:eastAsia="仿宋_GB2312"/>
          <w:b/>
          <w:sz w:val="32"/>
          <w:szCs w:val="32"/>
        </w:rPr>
        <w:tab/>
      </w:r>
    </w:p>
    <w:p>
      <w:pPr>
        <w:tabs>
          <w:tab w:val="center" w:pos="6979"/>
        </w:tabs>
        <w:jc w:val="center"/>
        <w:rPr>
          <w:rFonts w:ascii="宋体" w:hAnsi="宋体" w:cs="宋体"/>
          <w:b/>
          <w:spacing w:val="40"/>
          <w:kern w:val="0"/>
          <w:sz w:val="32"/>
          <w:szCs w:val="32"/>
        </w:rPr>
      </w:pPr>
      <w:r>
        <w:rPr>
          <w:rFonts w:hint="eastAsia" w:ascii="宋体" w:hAnsi="宋体" w:cs="宋体"/>
          <w:b/>
          <w:bCs/>
          <w:spacing w:val="40"/>
          <w:kern w:val="0"/>
          <w:sz w:val="32"/>
          <w:szCs w:val="32"/>
        </w:rPr>
        <w:t>第三部分</w:t>
      </w:r>
      <w:r>
        <w:rPr>
          <w:rFonts w:hint="eastAsia" w:ascii="宋体" w:hAnsi="宋体"/>
          <w:b/>
          <w:spacing w:val="40"/>
          <w:sz w:val="32"/>
          <w:szCs w:val="32"/>
        </w:rPr>
        <w:t>2025年度</w:t>
      </w:r>
      <w:r>
        <w:rPr>
          <w:rFonts w:hint="eastAsia" w:ascii="宋体" w:hAnsi="宋体" w:cs="宋体"/>
          <w:b/>
          <w:spacing w:val="40"/>
          <w:kern w:val="0"/>
          <w:sz w:val="32"/>
          <w:szCs w:val="32"/>
        </w:rPr>
        <w:t>其他重要事项的情况说明</w:t>
      </w:r>
    </w:p>
    <w:p>
      <w:pPr>
        <w:spacing w:line="560" w:lineRule="exact"/>
        <w:ind w:firstLine="560" w:firstLineChars="200"/>
        <w:rPr>
          <w:rFonts w:ascii="黑体" w:eastAsia="黑体"/>
          <w:sz w:val="28"/>
          <w:szCs w:val="28"/>
        </w:rPr>
      </w:pPr>
      <w:r>
        <w:rPr>
          <w:rFonts w:hint="eastAsia" w:ascii="黑体" w:eastAsia="黑体"/>
          <w:sz w:val="28"/>
          <w:szCs w:val="28"/>
        </w:rPr>
        <w:t>一、“三公”经费财政拨款决算情况</w:t>
      </w:r>
    </w:p>
    <w:p>
      <w:pPr>
        <w:spacing w:line="560" w:lineRule="exact"/>
        <w:ind w:firstLine="600"/>
        <w:rPr>
          <w:rFonts w:ascii="仿宋_GB2312" w:eastAsia="仿宋_GB2312"/>
          <w:sz w:val="28"/>
          <w:szCs w:val="28"/>
        </w:rPr>
      </w:pPr>
      <w:r>
        <w:rPr>
          <w:rFonts w:hint="eastAsia" w:ascii="仿宋_GB2312" w:eastAsia="仿宋_GB2312"/>
          <w:sz w:val="28"/>
          <w:szCs w:val="28"/>
        </w:rPr>
        <w:t>2025年度“三公”经费财政拨款决算数</w:t>
      </w:r>
      <w:r>
        <w:rPr>
          <w:rFonts w:ascii="仿宋_GB2312" w:eastAsia="仿宋_GB2312"/>
          <w:sz w:val="28"/>
          <w:szCs w:val="28"/>
        </w:rPr>
        <w:t>68</w:t>
      </w:r>
      <w:r>
        <w:rPr>
          <w:rFonts w:hint="eastAsia" w:ascii="仿宋_GB2312" w:eastAsia="仿宋_GB2312"/>
          <w:sz w:val="28"/>
          <w:szCs w:val="28"/>
          <w:lang w:val="en-US" w:eastAsia="zh-CN"/>
        </w:rPr>
        <w:t>,</w:t>
      </w:r>
      <w:r>
        <w:rPr>
          <w:rFonts w:ascii="仿宋_GB2312" w:eastAsia="仿宋_GB2312"/>
          <w:sz w:val="28"/>
          <w:szCs w:val="28"/>
        </w:rPr>
        <w:t>270.06</w:t>
      </w:r>
      <w:r>
        <w:rPr>
          <w:rFonts w:hint="eastAsia" w:ascii="仿宋_GB2312" w:eastAsia="仿宋_GB2312"/>
          <w:sz w:val="28"/>
          <w:szCs w:val="28"/>
        </w:rPr>
        <w:t>元，比2025年度“三公”经费财政拨款年初预算</w:t>
      </w:r>
      <w:r>
        <w:rPr>
          <w:rFonts w:ascii="仿宋_GB2312" w:eastAsia="仿宋_GB2312"/>
          <w:sz w:val="28"/>
          <w:szCs w:val="28"/>
        </w:rPr>
        <w:t>313</w:t>
      </w:r>
      <w:r>
        <w:rPr>
          <w:rFonts w:hint="eastAsia" w:ascii="仿宋_GB2312" w:eastAsia="仿宋_GB2312"/>
          <w:sz w:val="28"/>
          <w:szCs w:val="28"/>
          <w:lang w:val="en-US" w:eastAsia="zh-CN"/>
        </w:rPr>
        <w:t>,</w:t>
      </w:r>
      <w:r>
        <w:rPr>
          <w:rFonts w:ascii="仿宋_GB2312" w:eastAsia="仿宋_GB2312"/>
          <w:sz w:val="28"/>
          <w:szCs w:val="28"/>
        </w:rPr>
        <w:t>440</w:t>
      </w:r>
      <w:r>
        <w:rPr>
          <w:rFonts w:hint="eastAsia" w:ascii="仿宋_GB2312" w:eastAsia="仿宋_GB2312"/>
          <w:sz w:val="28"/>
          <w:szCs w:val="28"/>
          <w:lang w:val="en-US" w:eastAsia="zh-CN"/>
        </w:rPr>
        <w:t>.00</w:t>
      </w:r>
      <w:r>
        <w:rPr>
          <w:rFonts w:hint="eastAsia" w:ascii="仿宋_GB2312" w:eastAsia="仿宋_GB2312"/>
          <w:sz w:val="28"/>
          <w:szCs w:val="28"/>
        </w:rPr>
        <w:t>元减少</w:t>
      </w:r>
      <w:r>
        <w:rPr>
          <w:rFonts w:ascii="仿宋_GB2312" w:eastAsia="仿宋_GB2312"/>
          <w:sz w:val="28"/>
          <w:szCs w:val="28"/>
        </w:rPr>
        <w:t>245</w:t>
      </w:r>
      <w:r>
        <w:rPr>
          <w:rFonts w:hint="eastAsia" w:ascii="仿宋_GB2312" w:eastAsia="仿宋_GB2312"/>
          <w:sz w:val="28"/>
          <w:szCs w:val="28"/>
          <w:lang w:val="en-US" w:eastAsia="zh-CN"/>
        </w:rPr>
        <w:t>,</w:t>
      </w:r>
      <w:r>
        <w:rPr>
          <w:rFonts w:ascii="仿宋_GB2312" w:eastAsia="仿宋_GB2312"/>
          <w:sz w:val="28"/>
          <w:szCs w:val="28"/>
        </w:rPr>
        <w:t>169.94</w:t>
      </w:r>
      <w:r>
        <w:rPr>
          <w:rFonts w:hint="eastAsia" w:ascii="仿宋_GB2312" w:eastAsia="仿宋_GB2312"/>
          <w:sz w:val="28"/>
          <w:szCs w:val="28"/>
        </w:rPr>
        <w:t>元。其中：</w:t>
      </w:r>
    </w:p>
    <w:p>
      <w:pPr>
        <w:spacing w:line="560" w:lineRule="exact"/>
        <w:ind w:firstLine="600"/>
        <w:rPr>
          <w:rFonts w:ascii="仿宋_GB2312" w:eastAsia="仿宋_GB2312"/>
          <w:sz w:val="28"/>
          <w:szCs w:val="28"/>
        </w:rPr>
      </w:pPr>
      <w:r>
        <w:rPr>
          <w:rFonts w:hint="eastAsia" w:ascii="仿宋_GB2312" w:eastAsia="仿宋_GB2312"/>
          <w:sz w:val="28"/>
          <w:szCs w:val="28"/>
        </w:rPr>
        <w:t>1.因公出国（境）费用。2025年度决算数</w:t>
      </w:r>
      <w:r>
        <w:rPr>
          <w:rFonts w:ascii="仿宋_GB2312" w:eastAsia="仿宋_GB2312"/>
          <w:sz w:val="28"/>
          <w:szCs w:val="28"/>
        </w:rPr>
        <w:t>0</w:t>
      </w:r>
      <w:r>
        <w:rPr>
          <w:rFonts w:hint="eastAsia" w:ascii="仿宋_GB2312" w:eastAsia="仿宋_GB2312"/>
          <w:sz w:val="28"/>
          <w:szCs w:val="28"/>
        </w:rPr>
        <w:t>元，比2025年度年初预算数</w:t>
      </w:r>
      <w:r>
        <w:rPr>
          <w:rFonts w:ascii="仿宋_GB2312" w:eastAsia="仿宋_GB2312"/>
          <w:sz w:val="28"/>
          <w:szCs w:val="28"/>
        </w:rPr>
        <w:t>0</w:t>
      </w:r>
      <w:r>
        <w:rPr>
          <w:rFonts w:hint="eastAsia" w:ascii="仿宋_GB2312" w:eastAsia="仿宋_GB2312"/>
          <w:sz w:val="28"/>
          <w:szCs w:val="28"/>
        </w:rPr>
        <w:t>元增加</w:t>
      </w:r>
      <w:r>
        <w:rPr>
          <w:rFonts w:ascii="仿宋_GB2312" w:eastAsia="仿宋_GB2312"/>
          <w:sz w:val="28"/>
          <w:szCs w:val="28"/>
        </w:rPr>
        <w:t>0</w:t>
      </w:r>
      <w:r>
        <w:rPr>
          <w:rFonts w:hint="eastAsia" w:ascii="仿宋_GB2312" w:eastAsia="仿宋_GB2312"/>
          <w:sz w:val="28"/>
          <w:szCs w:val="28"/>
        </w:rPr>
        <w:t>元。主要原因：</w:t>
      </w:r>
      <w:r>
        <w:rPr>
          <w:rFonts w:hint="eastAsia" w:ascii="仿宋_GB2312" w:eastAsia="仿宋_GB2312"/>
          <w:sz w:val="28"/>
          <w:szCs w:val="28"/>
          <w:lang w:val="en-US" w:eastAsia="zh-CN"/>
        </w:rPr>
        <w:t>本部门本年度无此项支出</w:t>
      </w:r>
      <w:r>
        <w:rPr>
          <w:rFonts w:hint="eastAsia" w:ascii="仿宋_GB2312" w:eastAsia="仿宋_GB2312"/>
          <w:sz w:val="28"/>
          <w:szCs w:val="28"/>
        </w:rPr>
        <w:t>；</w:t>
      </w:r>
    </w:p>
    <w:p>
      <w:pPr>
        <w:spacing w:line="560" w:lineRule="exact"/>
        <w:ind w:firstLine="600"/>
        <w:rPr>
          <w:rFonts w:ascii="仿宋_GB2312" w:eastAsia="仿宋_GB2312"/>
          <w:sz w:val="28"/>
          <w:szCs w:val="28"/>
        </w:rPr>
      </w:pPr>
      <w:r>
        <w:rPr>
          <w:rFonts w:hint="eastAsia" w:ascii="仿宋_GB2312" w:eastAsia="仿宋_GB2312"/>
          <w:sz w:val="28"/>
          <w:szCs w:val="28"/>
        </w:rPr>
        <w:t>2.公务接待费。2025年度决算数</w:t>
      </w:r>
      <w:r>
        <w:rPr>
          <w:rFonts w:ascii="仿宋_GB2312" w:eastAsia="仿宋_GB2312"/>
          <w:sz w:val="28"/>
          <w:szCs w:val="28"/>
        </w:rPr>
        <w:t>0</w:t>
      </w:r>
      <w:r>
        <w:rPr>
          <w:rFonts w:hint="eastAsia" w:ascii="仿宋_GB2312" w:eastAsia="仿宋_GB2312"/>
          <w:sz w:val="28"/>
          <w:szCs w:val="28"/>
        </w:rPr>
        <w:t>元，比2025年度年初预算数</w:t>
      </w:r>
      <w:r>
        <w:rPr>
          <w:rFonts w:ascii="仿宋_GB2312" w:eastAsia="仿宋_GB2312"/>
          <w:sz w:val="28"/>
          <w:szCs w:val="28"/>
        </w:rPr>
        <w:t>7</w:t>
      </w:r>
      <w:r>
        <w:rPr>
          <w:rFonts w:hint="eastAsia" w:ascii="仿宋_GB2312" w:eastAsia="仿宋_GB2312"/>
          <w:sz w:val="28"/>
          <w:szCs w:val="28"/>
          <w:lang w:val="en-US" w:eastAsia="zh-CN"/>
        </w:rPr>
        <w:t>,</w:t>
      </w:r>
      <w:r>
        <w:rPr>
          <w:rFonts w:ascii="仿宋_GB2312" w:eastAsia="仿宋_GB2312"/>
          <w:sz w:val="28"/>
          <w:szCs w:val="28"/>
        </w:rPr>
        <w:t>440</w:t>
      </w:r>
      <w:r>
        <w:rPr>
          <w:rFonts w:hint="eastAsia" w:ascii="仿宋_GB2312" w:eastAsia="仿宋_GB2312"/>
          <w:sz w:val="28"/>
          <w:szCs w:val="28"/>
        </w:rPr>
        <w:t>元减少</w:t>
      </w:r>
      <w:r>
        <w:rPr>
          <w:rFonts w:ascii="仿宋_GB2312" w:eastAsia="仿宋_GB2312"/>
          <w:sz w:val="28"/>
          <w:szCs w:val="28"/>
        </w:rPr>
        <w:t>-7</w:t>
      </w:r>
      <w:r>
        <w:rPr>
          <w:rFonts w:hint="eastAsia" w:ascii="仿宋_GB2312" w:eastAsia="仿宋_GB2312"/>
          <w:sz w:val="28"/>
          <w:szCs w:val="28"/>
          <w:lang w:val="en-US" w:eastAsia="zh-CN"/>
        </w:rPr>
        <w:t>,</w:t>
      </w:r>
      <w:r>
        <w:rPr>
          <w:rFonts w:ascii="仿宋_GB2312" w:eastAsia="仿宋_GB2312"/>
          <w:sz w:val="28"/>
          <w:szCs w:val="28"/>
        </w:rPr>
        <w:t>440</w:t>
      </w:r>
      <w:r>
        <w:rPr>
          <w:rFonts w:hint="eastAsia" w:ascii="仿宋_GB2312" w:eastAsia="仿宋_GB2312"/>
          <w:sz w:val="28"/>
          <w:szCs w:val="28"/>
        </w:rPr>
        <w:t>元。主要原因：</w:t>
      </w:r>
      <w:r>
        <w:rPr>
          <w:rFonts w:hint="eastAsia" w:ascii="仿宋_GB2312" w:eastAsia="仿宋_GB2312"/>
          <w:sz w:val="28"/>
          <w:szCs w:val="28"/>
          <w:lang w:val="en-US" w:eastAsia="zh-CN"/>
        </w:rPr>
        <w:t>本部门本年度无此项支出</w:t>
      </w:r>
      <w:r>
        <w:rPr>
          <w:rFonts w:hint="eastAsia" w:ascii="仿宋_GB2312" w:eastAsia="仿宋_GB2312"/>
          <w:sz w:val="28"/>
          <w:szCs w:val="28"/>
        </w:rPr>
        <w:t>。</w:t>
      </w:r>
    </w:p>
    <w:p>
      <w:pPr>
        <w:spacing w:line="560" w:lineRule="exact"/>
        <w:ind w:firstLine="560" w:firstLineChars="200"/>
        <w:rPr>
          <w:rFonts w:ascii="仿宋_GB2312" w:eastAsia="仿宋_GB2312"/>
          <w:sz w:val="28"/>
          <w:szCs w:val="28"/>
        </w:rPr>
      </w:pPr>
      <w:r>
        <w:rPr>
          <w:rFonts w:hint="eastAsia" w:ascii="仿宋_GB2312" w:eastAsia="仿宋_GB2312"/>
          <w:sz w:val="28"/>
          <w:szCs w:val="28"/>
        </w:rPr>
        <w:t>3.公务用车购置及运行维护费。2025年度决算数</w:t>
      </w:r>
      <w:r>
        <w:rPr>
          <w:rFonts w:ascii="仿宋_GB2312" w:eastAsia="仿宋_GB2312"/>
          <w:sz w:val="28"/>
          <w:szCs w:val="28"/>
        </w:rPr>
        <w:t>68</w:t>
      </w:r>
      <w:r>
        <w:rPr>
          <w:rFonts w:hint="eastAsia" w:ascii="仿宋_GB2312" w:eastAsia="仿宋_GB2312"/>
          <w:sz w:val="28"/>
          <w:szCs w:val="28"/>
          <w:lang w:val="en-US" w:eastAsia="zh-CN"/>
        </w:rPr>
        <w:t>,</w:t>
      </w:r>
      <w:r>
        <w:rPr>
          <w:rFonts w:ascii="仿宋_GB2312" w:eastAsia="仿宋_GB2312"/>
          <w:sz w:val="28"/>
          <w:szCs w:val="28"/>
        </w:rPr>
        <w:t>270.06</w:t>
      </w:r>
      <w:r>
        <w:rPr>
          <w:rFonts w:hint="eastAsia" w:ascii="仿宋_GB2312" w:eastAsia="仿宋_GB2312"/>
          <w:sz w:val="28"/>
          <w:szCs w:val="28"/>
        </w:rPr>
        <w:t>元，比2025年度年初预算数</w:t>
      </w:r>
      <w:r>
        <w:rPr>
          <w:rFonts w:ascii="仿宋_GB2312" w:eastAsia="仿宋_GB2312"/>
          <w:sz w:val="28"/>
          <w:szCs w:val="28"/>
        </w:rPr>
        <w:t>306</w:t>
      </w:r>
      <w:r>
        <w:rPr>
          <w:rFonts w:hint="eastAsia" w:ascii="仿宋_GB2312" w:eastAsia="仿宋_GB2312"/>
          <w:sz w:val="28"/>
          <w:szCs w:val="28"/>
          <w:lang w:val="en-US" w:eastAsia="zh-CN"/>
        </w:rPr>
        <w:t>,</w:t>
      </w:r>
      <w:r>
        <w:rPr>
          <w:rFonts w:ascii="仿宋_GB2312" w:eastAsia="仿宋_GB2312"/>
          <w:sz w:val="28"/>
          <w:szCs w:val="28"/>
        </w:rPr>
        <w:t>000</w:t>
      </w:r>
      <w:r>
        <w:rPr>
          <w:rFonts w:hint="eastAsia" w:ascii="仿宋_GB2312" w:eastAsia="仿宋_GB2312"/>
          <w:sz w:val="28"/>
          <w:szCs w:val="28"/>
        </w:rPr>
        <w:t>元减少</w:t>
      </w:r>
      <w:r>
        <w:rPr>
          <w:rFonts w:ascii="仿宋_GB2312" w:eastAsia="仿宋_GB2312"/>
          <w:sz w:val="28"/>
          <w:szCs w:val="28"/>
        </w:rPr>
        <w:t>237</w:t>
      </w:r>
      <w:r>
        <w:rPr>
          <w:rFonts w:hint="eastAsia" w:ascii="仿宋_GB2312" w:eastAsia="仿宋_GB2312"/>
          <w:sz w:val="28"/>
          <w:szCs w:val="28"/>
          <w:lang w:val="en-US" w:eastAsia="zh-CN"/>
        </w:rPr>
        <w:t>,</w:t>
      </w:r>
      <w:r>
        <w:rPr>
          <w:rFonts w:ascii="仿宋_GB2312" w:eastAsia="仿宋_GB2312"/>
          <w:sz w:val="28"/>
          <w:szCs w:val="28"/>
        </w:rPr>
        <w:t>729.94</w:t>
      </w:r>
      <w:r>
        <w:rPr>
          <w:rFonts w:hint="eastAsia" w:ascii="仿宋_GB2312" w:eastAsia="仿宋_GB2312"/>
          <w:sz w:val="28"/>
          <w:szCs w:val="28"/>
        </w:rPr>
        <w:t>元。其中，公务用车购置费2025年度决算数0元，主要原因：</w:t>
      </w:r>
      <w:r>
        <w:rPr>
          <w:rFonts w:hint="eastAsia" w:ascii="仿宋_GB2312" w:eastAsia="仿宋_GB2312"/>
          <w:sz w:val="28"/>
          <w:szCs w:val="28"/>
          <w:lang w:val="en-US" w:eastAsia="zh-CN"/>
        </w:rPr>
        <w:t>本部门本年度无此项支出</w:t>
      </w:r>
      <w:r>
        <w:rPr>
          <w:rFonts w:hint="eastAsia" w:ascii="仿宋_GB2312" w:eastAsia="仿宋_GB2312"/>
          <w:sz w:val="28"/>
          <w:szCs w:val="28"/>
        </w:rPr>
        <w:t>，2025年度购置（更新）0辆。公务用车运行维护费2025年度决算数68</w:t>
      </w:r>
      <w:r>
        <w:rPr>
          <w:rFonts w:hint="eastAsia" w:ascii="仿宋_GB2312" w:eastAsia="仿宋_GB2312"/>
          <w:sz w:val="28"/>
          <w:szCs w:val="28"/>
          <w:lang w:val="en-US" w:eastAsia="zh-CN"/>
        </w:rPr>
        <w:t>,</w:t>
      </w:r>
      <w:r>
        <w:rPr>
          <w:rFonts w:hint="eastAsia" w:ascii="仿宋_GB2312" w:eastAsia="仿宋_GB2312"/>
          <w:sz w:val="28"/>
          <w:szCs w:val="28"/>
        </w:rPr>
        <w:t>270.06元，主要原因：</w:t>
      </w:r>
      <w:r>
        <w:rPr>
          <w:rFonts w:hint="eastAsia" w:ascii="仿宋_GB2312" w:eastAsia="仿宋_GB2312"/>
          <w:sz w:val="28"/>
          <w:szCs w:val="28"/>
          <w:lang w:val="en-US" w:eastAsia="zh-CN"/>
        </w:rPr>
        <w:t>该费用主要包括公务用车保险、维修等费用支出</w:t>
      </w:r>
      <w:r>
        <w:rPr>
          <w:rFonts w:hint="eastAsia" w:ascii="仿宋_GB2312" w:eastAsia="仿宋_GB2312"/>
          <w:sz w:val="28"/>
          <w:szCs w:val="28"/>
        </w:rPr>
        <w:t>。2025年度公务用车保有量</w:t>
      </w:r>
      <w:r>
        <w:rPr>
          <w:rFonts w:ascii="仿宋_GB2312" w:eastAsia="仿宋_GB2312"/>
          <w:sz w:val="28"/>
          <w:szCs w:val="28"/>
        </w:rPr>
        <w:t>15</w:t>
      </w:r>
      <w:r>
        <w:rPr>
          <w:rFonts w:hint="eastAsia" w:ascii="仿宋_GB2312" w:eastAsia="仿宋_GB2312"/>
          <w:sz w:val="28"/>
          <w:szCs w:val="28"/>
        </w:rPr>
        <w:t>辆。</w:t>
      </w:r>
    </w:p>
    <w:p>
      <w:pPr>
        <w:tabs>
          <w:tab w:val="center" w:pos="6979"/>
        </w:tabs>
        <w:ind w:firstLine="554" w:firstLineChars="198"/>
        <w:rPr>
          <w:rFonts w:ascii="黑体" w:eastAsia="黑体"/>
          <w:sz w:val="28"/>
          <w:szCs w:val="28"/>
        </w:rPr>
      </w:pPr>
      <w:r>
        <w:rPr>
          <w:rFonts w:hint="eastAsia" w:ascii="黑体" w:eastAsia="黑体"/>
          <w:sz w:val="28"/>
          <w:szCs w:val="28"/>
        </w:rPr>
        <w:t>二、机关运行经费支出情况</w:t>
      </w:r>
    </w:p>
    <w:p>
      <w:pPr>
        <w:ind w:firstLine="537" w:firstLineChars="192"/>
        <w:rPr>
          <w:rFonts w:ascii="仿宋_GB2312" w:eastAsia="仿宋_GB2312"/>
          <w:sz w:val="28"/>
          <w:szCs w:val="28"/>
        </w:rPr>
      </w:pPr>
      <w:r>
        <w:rPr>
          <w:rFonts w:hint="eastAsia" w:ascii="仿宋_GB2312" w:eastAsia="仿宋_GB2312"/>
          <w:sz w:val="28"/>
          <w:szCs w:val="28"/>
        </w:rPr>
        <w:t>2025年度机关运行经费支出合计2</w:t>
      </w:r>
      <w:r>
        <w:rPr>
          <w:rFonts w:hint="eastAsia" w:ascii="仿宋_GB2312" w:eastAsia="仿宋_GB2312"/>
          <w:sz w:val="28"/>
          <w:szCs w:val="28"/>
          <w:lang w:val="en-US" w:eastAsia="zh-CN"/>
        </w:rPr>
        <w:t>,</w:t>
      </w:r>
      <w:r>
        <w:rPr>
          <w:rFonts w:hint="eastAsia" w:ascii="仿宋_GB2312" w:eastAsia="仿宋_GB2312"/>
          <w:sz w:val="28"/>
          <w:szCs w:val="28"/>
        </w:rPr>
        <w:t>044</w:t>
      </w:r>
      <w:r>
        <w:rPr>
          <w:rFonts w:hint="eastAsia" w:ascii="仿宋_GB2312" w:eastAsia="仿宋_GB2312"/>
          <w:sz w:val="28"/>
          <w:szCs w:val="28"/>
          <w:lang w:val="en-US" w:eastAsia="zh-CN"/>
        </w:rPr>
        <w:t>,</w:t>
      </w:r>
      <w:r>
        <w:rPr>
          <w:rFonts w:hint="eastAsia" w:ascii="仿宋_GB2312" w:eastAsia="仿宋_GB2312"/>
          <w:sz w:val="28"/>
          <w:szCs w:val="28"/>
        </w:rPr>
        <w:t>738.46元，</w:t>
      </w:r>
      <w:r>
        <w:rPr>
          <w:rFonts w:hint="eastAsia" w:ascii="仿宋_GB2312" w:eastAsia="仿宋_GB2312"/>
          <w:sz w:val="28"/>
          <w:szCs w:val="28"/>
          <w:shd w:val="clear"/>
        </w:rPr>
        <w:t>比上年增加</w:t>
      </w:r>
      <w:r>
        <w:rPr>
          <w:rFonts w:hint="eastAsia" w:ascii="仿宋_GB2312" w:eastAsia="仿宋_GB2312"/>
          <w:color w:val="auto"/>
          <w:sz w:val="28"/>
          <w:szCs w:val="28"/>
          <w:shd w:val="clear"/>
        </w:rPr>
        <w:t>136</w:t>
      </w:r>
      <w:r>
        <w:rPr>
          <w:rFonts w:hint="eastAsia" w:ascii="仿宋_GB2312" w:eastAsia="仿宋_GB2312"/>
          <w:color w:val="auto"/>
          <w:sz w:val="28"/>
          <w:szCs w:val="28"/>
          <w:shd w:val="clear"/>
          <w:lang w:val="en-US" w:eastAsia="zh-CN"/>
        </w:rPr>
        <w:t>,</w:t>
      </w:r>
      <w:r>
        <w:rPr>
          <w:rFonts w:hint="eastAsia" w:ascii="仿宋_GB2312" w:eastAsia="仿宋_GB2312"/>
          <w:color w:val="auto"/>
          <w:sz w:val="28"/>
          <w:szCs w:val="28"/>
          <w:shd w:val="clear"/>
        </w:rPr>
        <w:t>011.59</w:t>
      </w:r>
      <w:r>
        <w:rPr>
          <w:rFonts w:hint="eastAsia" w:ascii="仿宋_GB2312" w:eastAsia="仿宋_GB2312"/>
          <w:sz w:val="28"/>
          <w:szCs w:val="28"/>
          <w:shd w:val="clear"/>
        </w:rPr>
        <w:t>元</w:t>
      </w:r>
      <w:r>
        <w:rPr>
          <w:rFonts w:hint="eastAsia" w:ascii="仿宋_GB2312" w:eastAsia="仿宋_GB2312"/>
          <w:sz w:val="28"/>
          <w:szCs w:val="28"/>
        </w:rPr>
        <w:t>，增加原因：</w:t>
      </w:r>
      <w:r>
        <w:rPr>
          <w:rFonts w:hint="eastAsia" w:ascii="仿宋_GB2312" w:eastAsia="仿宋_GB2312"/>
          <w:sz w:val="28"/>
          <w:szCs w:val="28"/>
          <w:lang w:val="en-US" w:eastAsia="zh-CN"/>
        </w:rPr>
        <w:t>2025年人员增加，对应日常公用支出增多</w:t>
      </w:r>
      <w:r>
        <w:rPr>
          <w:rFonts w:hint="eastAsia" w:ascii="仿宋_GB2312" w:eastAsia="仿宋_GB2312"/>
          <w:sz w:val="28"/>
          <w:szCs w:val="28"/>
        </w:rPr>
        <w:t>。</w:t>
      </w:r>
    </w:p>
    <w:p>
      <w:pPr>
        <w:ind w:left="540"/>
        <w:rPr>
          <w:rFonts w:ascii="黑体" w:eastAsia="黑体"/>
          <w:sz w:val="28"/>
          <w:szCs w:val="28"/>
        </w:rPr>
      </w:pPr>
      <w:r>
        <w:rPr>
          <w:rFonts w:hint="eastAsia" w:ascii="黑体" w:eastAsia="黑体"/>
          <w:sz w:val="28"/>
          <w:szCs w:val="28"/>
        </w:rPr>
        <w:t>三、政府采购支出情况</w:t>
      </w:r>
    </w:p>
    <w:p>
      <w:pPr>
        <w:ind w:firstLine="537" w:firstLineChars="192"/>
        <w:rPr>
          <w:rFonts w:ascii="仿宋_GB2312" w:eastAsia="仿宋_GB2312"/>
          <w:sz w:val="28"/>
          <w:szCs w:val="28"/>
          <w:shd w:val="clear" w:fill="FFFF00"/>
        </w:rPr>
      </w:pPr>
      <w:r>
        <w:rPr>
          <w:rFonts w:hint="eastAsia" w:ascii="仿宋_GB2312" w:eastAsia="仿宋_GB2312"/>
          <w:sz w:val="28"/>
          <w:szCs w:val="28"/>
        </w:rPr>
        <w:t>2025年度政府采购支出总额</w:t>
      </w:r>
      <w:r>
        <w:rPr>
          <w:rFonts w:ascii="仿宋_GB2312" w:eastAsia="仿宋_GB2312"/>
          <w:sz w:val="28"/>
          <w:szCs w:val="28"/>
        </w:rPr>
        <w:t>1</w:t>
      </w:r>
      <w:r>
        <w:rPr>
          <w:rFonts w:hint="eastAsia" w:ascii="仿宋_GB2312" w:eastAsia="仿宋_GB2312"/>
          <w:sz w:val="28"/>
          <w:szCs w:val="28"/>
          <w:lang w:val="en-US" w:eastAsia="zh-CN"/>
        </w:rPr>
        <w:t>,</w:t>
      </w:r>
      <w:r>
        <w:rPr>
          <w:rFonts w:ascii="仿宋_GB2312" w:eastAsia="仿宋_GB2312"/>
          <w:sz w:val="28"/>
          <w:szCs w:val="28"/>
        </w:rPr>
        <w:t>335</w:t>
      </w:r>
      <w:r>
        <w:rPr>
          <w:rFonts w:hint="eastAsia" w:ascii="仿宋_GB2312" w:eastAsia="仿宋_GB2312"/>
          <w:sz w:val="28"/>
          <w:szCs w:val="28"/>
          <w:lang w:val="en-US" w:eastAsia="zh-CN"/>
        </w:rPr>
        <w:t>,</w:t>
      </w:r>
      <w:r>
        <w:rPr>
          <w:rFonts w:ascii="仿宋_GB2312" w:eastAsia="仿宋_GB2312"/>
          <w:sz w:val="28"/>
          <w:szCs w:val="28"/>
        </w:rPr>
        <w:t>337.81</w:t>
      </w:r>
      <w:r>
        <w:rPr>
          <w:rFonts w:hint="eastAsia" w:ascii="仿宋_GB2312" w:eastAsia="仿宋_GB2312"/>
          <w:sz w:val="28"/>
          <w:szCs w:val="28"/>
        </w:rPr>
        <w:t>元，其中：政府采购货物支出</w:t>
      </w:r>
      <w:r>
        <w:rPr>
          <w:rFonts w:ascii="仿宋_GB2312" w:eastAsia="仿宋_GB2312"/>
          <w:sz w:val="28"/>
          <w:szCs w:val="28"/>
        </w:rPr>
        <w:t>13</w:t>
      </w:r>
      <w:r>
        <w:rPr>
          <w:rFonts w:hint="eastAsia" w:ascii="仿宋_GB2312" w:eastAsia="仿宋_GB2312"/>
          <w:sz w:val="28"/>
          <w:szCs w:val="28"/>
          <w:lang w:val="en-US" w:eastAsia="zh-CN"/>
        </w:rPr>
        <w:t>,</w:t>
      </w:r>
      <w:r>
        <w:rPr>
          <w:rFonts w:ascii="仿宋_GB2312" w:eastAsia="仿宋_GB2312"/>
          <w:sz w:val="28"/>
          <w:szCs w:val="28"/>
        </w:rPr>
        <w:t>636.5</w:t>
      </w:r>
      <w:r>
        <w:rPr>
          <w:rFonts w:hint="eastAsia" w:ascii="仿宋_GB2312" w:eastAsia="仿宋_GB2312"/>
          <w:sz w:val="28"/>
          <w:szCs w:val="28"/>
        </w:rPr>
        <w:t>元，政府采购工程支出</w:t>
      </w:r>
      <w:r>
        <w:rPr>
          <w:rFonts w:ascii="仿宋_GB2312" w:eastAsia="仿宋_GB2312"/>
          <w:sz w:val="28"/>
          <w:szCs w:val="28"/>
        </w:rPr>
        <w:t>0</w:t>
      </w:r>
      <w:r>
        <w:rPr>
          <w:rFonts w:hint="eastAsia" w:ascii="仿宋_GB2312" w:eastAsia="仿宋_GB2312"/>
          <w:sz w:val="28"/>
          <w:szCs w:val="28"/>
        </w:rPr>
        <w:t>元，政府采购服务支出</w:t>
      </w:r>
      <w:r>
        <w:rPr>
          <w:rFonts w:ascii="仿宋_GB2312" w:eastAsia="仿宋_GB2312"/>
          <w:sz w:val="28"/>
          <w:szCs w:val="28"/>
        </w:rPr>
        <w:t>1</w:t>
      </w:r>
      <w:r>
        <w:rPr>
          <w:rFonts w:hint="eastAsia" w:ascii="仿宋_GB2312" w:eastAsia="仿宋_GB2312"/>
          <w:sz w:val="28"/>
          <w:szCs w:val="28"/>
          <w:lang w:val="en-US" w:eastAsia="zh-CN"/>
        </w:rPr>
        <w:t>,</w:t>
      </w:r>
      <w:r>
        <w:rPr>
          <w:rFonts w:ascii="仿宋_GB2312" w:eastAsia="仿宋_GB2312"/>
          <w:sz w:val="28"/>
          <w:szCs w:val="28"/>
        </w:rPr>
        <w:t>321</w:t>
      </w:r>
      <w:r>
        <w:rPr>
          <w:rFonts w:hint="eastAsia" w:ascii="仿宋_GB2312" w:eastAsia="仿宋_GB2312"/>
          <w:sz w:val="28"/>
          <w:szCs w:val="28"/>
          <w:lang w:val="en-US" w:eastAsia="zh-CN"/>
        </w:rPr>
        <w:t>,</w:t>
      </w:r>
      <w:r>
        <w:rPr>
          <w:rFonts w:ascii="仿宋_GB2312" w:eastAsia="仿宋_GB2312"/>
          <w:sz w:val="28"/>
          <w:szCs w:val="28"/>
        </w:rPr>
        <w:t>701.31</w:t>
      </w:r>
      <w:r>
        <w:rPr>
          <w:rFonts w:hint="eastAsia" w:ascii="仿宋_GB2312" w:eastAsia="仿宋_GB2312"/>
          <w:sz w:val="28"/>
          <w:szCs w:val="28"/>
        </w:rPr>
        <w:t>元。</w:t>
      </w:r>
      <w:r>
        <w:rPr>
          <w:rFonts w:hint="eastAsia" w:ascii="仿宋_GB2312" w:eastAsia="仿宋_GB2312"/>
          <w:sz w:val="28"/>
          <w:szCs w:val="28"/>
          <w:shd w:val="clear"/>
        </w:rPr>
        <w:t>授予中小企业合同金额</w:t>
      </w:r>
      <w:r>
        <w:rPr>
          <w:rFonts w:hint="eastAsia" w:ascii="仿宋_GB2312" w:eastAsia="仿宋_GB2312"/>
          <w:sz w:val="28"/>
          <w:szCs w:val="28"/>
          <w:shd w:val="clear"/>
          <w:lang w:val="en-US" w:eastAsia="zh-CN"/>
        </w:rPr>
        <w:t>155,435.35</w:t>
      </w:r>
      <w:r>
        <w:rPr>
          <w:rFonts w:hint="eastAsia" w:ascii="仿宋_GB2312" w:eastAsia="仿宋_GB2312"/>
          <w:sz w:val="28"/>
          <w:szCs w:val="28"/>
          <w:shd w:val="clear"/>
        </w:rPr>
        <w:t>元，占政府采购支出总额的</w:t>
      </w:r>
      <w:r>
        <w:rPr>
          <w:rFonts w:hint="eastAsia" w:ascii="仿宋_GB2312" w:eastAsia="仿宋_GB2312"/>
          <w:sz w:val="28"/>
          <w:szCs w:val="28"/>
          <w:shd w:val="clear"/>
          <w:lang w:val="en-US" w:eastAsia="zh-CN"/>
        </w:rPr>
        <w:t>11.6</w:t>
      </w:r>
      <w:r>
        <w:rPr>
          <w:rFonts w:hint="eastAsia" w:ascii="仿宋_GB2312" w:eastAsia="仿宋_GB2312"/>
          <w:sz w:val="28"/>
          <w:szCs w:val="28"/>
          <w:shd w:val="clear"/>
        </w:rPr>
        <w:t>%，其中：授予小微企业合同金额</w:t>
      </w:r>
      <w:r>
        <w:rPr>
          <w:rFonts w:hint="eastAsia" w:ascii="仿宋_GB2312" w:eastAsia="仿宋_GB2312"/>
          <w:sz w:val="28"/>
          <w:szCs w:val="28"/>
          <w:shd w:val="clear"/>
          <w:lang w:val="en-US" w:eastAsia="zh-CN"/>
        </w:rPr>
        <w:t>155,435.35</w:t>
      </w:r>
      <w:r>
        <w:rPr>
          <w:rFonts w:hint="eastAsia" w:ascii="仿宋_GB2312" w:eastAsia="仿宋_GB2312"/>
          <w:sz w:val="28"/>
          <w:szCs w:val="28"/>
          <w:shd w:val="clear"/>
        </w:rPr>
        <w:t>元，占政府采购支出总额的</w:t>
      </w:r>
      <w:r>
        <w:rPr>
          <w:rFonts w:hint="eastAsia" w:ascii="仿宋_GB2312" w:eastAsia="仿宋_GB2312"/>
          <w:sz w:val="28"/>
          <w:szCs w:val="28"/>
          <w:shd w:val="clear"/>
          <w:lang w:val="en-US" w:eastAsia="zh-CN"/>
        </w:rPr>
        <w:t>11.6</w:t>
      </w:r>
      <w:r>
        <w:rPr>
          <w:rFonts w:hint="eastAsia" w:ascii="仿宋_GB2312" w:eastAsia="仿宋_GB2312"/>
          <w:sz w:val="28"/>
          <w:szCs w:val="28"/>
          <w:shd w:val="clear"/>
        </w:rPr>
        <w:t>%。</w:t>
      </w:r>
    </w:p>
    <w:p>
      <w:pPr>
        <w:ind w:firstLine="560" w:firstLineChars="200"/>
        <w:rPr>
          <w:rFonts w:ascii="黑体" w:eastAsia="黑体"/>
          <w:sz w:val="28"/>
          <w:szCs w:val="28"/>
          <w:highlight w:val="yellow"/>
        </w:rPr>
      </w:pPr>
      <w:r>
        <w:rPr>
          <w:rFonts w:hint="eastAsia" w:ascii="黑体" w:eastAsia="黑体"/>
          <w:sz w:val="28"/>
          <w:szCs w:val="28"/>
        </w:rPr>
        <w:t>四、国有资产占用情况</w:t>
      </w:r>
    </w:p>
    <w:p>
      <w:pPr>
        <w:ind w:firstLine="560" w:firstLineChars="200"/>
        <w:rPr>
          <w:rFonts w:ascii="仿宋_GB2312" w:eastAsia="仿宋_GB2312"/>
          <w:sz w:val="32"/>
          <w:szCs w:val="32"/>
        </w:rPr>
      </w:pPr>
      <w:r>
        <w:rPr>
          <w:rFonts w:hint="eastAsia" w:ascii="仿宋_GB2312" w:eastAsia="仿宋_GB2312"/>
          <w:sz w:val="28"/>
          <w:szCs w:val="28"/>
        </w:rPr>
        <w:t>截至12月31日，北京市门头沟区司法局共有车辆15台；单位价值100元（含）以上的设备0台（套）。</w:t>
      </w:r>
    </w:p>
    <w:p>
      <w:pPr>
        <w:ind w:firstLine="560" w:firstLineChars="200"/>
        <w:jc w:val="left"/>
        <w:rPr>
          <w:rFonts w:ascii="仿宋_GB2312" w:eastAsia="仿宋_GB2312"/>
          <w:color w:val="000000"/>
          <w:sz w:val="32"/>
          <w:szCs w:val="32"/>
        </w:rPr>
      </w:pPr>
      <w:r>
        <w:rPr>
          <w:rFonts w:hint="eastAsia" w:ascii="黑体" w:eastAsia="黑体"/>
          <w:sz w:val="28"/>
          <w:szCs w:val="28"/>
        </w:rPr>
        <w:t>五、</w:t>
      </w:r>
      <w:r>
        <w:rPr>
          <w:rFonts w:ascii="黑体" w:eastAsia="黑体"/>
          <w:sz w:val="28"/>
          <w:szCs w:val="28"/>
        </w:rPr>
        <w:t>专业名词解释</w:t>
      </w:r>
    </w:p>
    <w:p>
      <w:pPr>
        <w:ind w:firstLine="560" w:firstLineChars="200"/>
        <w:rPr>
          <w:rFonts w:ascii="仿宋_GB2312" w:eastAsia="仿宋_GB2312"/>
          <w:sz w:val="28"/>
          <w:szCs w:val="28"/>
        </w:rPr>
      </w:pPr>
      <w:r>
        <w:rPr>
          <w:rFonts w:hint="eastAsia" w:ascii="仿宋_GB2312" w:eastAsia="仿宋_GB2312"/>
          <w:sz w:val="28"/>
          <w:szCs w:val="28"/>
        </w:rPr>
        <w:t>1.基本支出：指为保障机构正常运转、完成日常工作任务而发生的人员支出和公用支出。</w:t>
      </w:r>
    </w:p>
    <w:p>
      <w:pPr>
        <w:ind w:firstLine="560" w:firstLineChars="200"/>
        <w:rPr>
          <w:rFonts w:ascii="仿宋_GB2312" w:eastAsia="仿宋_GB2312"/>
          <w:sz w:val="28"/>
          <w:szCs w:val="28"/>
        </w:rPr>
      </w:pPr>
      <w:r>
        <w:rPr>
          <w:rFonts w:hint="eastAsia" w:ascii="仿宋_GB2312" w:eastAsia="仿宋_GB2312"/>
          <w:sz w:val="28"/>
          <w:szCs w:val="28"/>
        </w:rPr>
        <w:t>2.项目支出：指在基本支出之外为完成特定行政任务或事业发展目标所发生的支出。</w:t>
      </w:r>
    </w:p>
    <w:p>
      <w:pPr>
        <w:ind w:firstLine="560" w:firstLineChars="200"/>
        <w:rPr>
          <w:rFonts w:ascii="仿宋_GB2312" w:eastAsia="仿宋_GB2312"/>
          <w:sz w:val="28"/>
          <w:szCs w:val="28"/>
        </w:rPr>
      </w:pPr>
      <w:r>
        <w:rPr>
          <w:rFonts w:hint="eastAsia" w:ascii="仿宋_GB2312" w:eastAsia="仿宋_GB2312"/>
          <w:sz w:val="28"/>
          <w:szCs w:val="28"/>
        </w:rPr>
        <w:t>3.“三公”经费：是指单位通过财政拨款资金安排的因公出国（境）费、公务用车购置及运行费和公务接待费。</w:t>
      </w:r>
    </w:p>
    <w:p>
      <w:pPr>
        <w:ind w:firstLine="560" w:firstLineChars="200"/>
      </w:pPr>
      <w:r>
        <w:rPr>
          <w:rFonts w:hint="eastAsia" w:ascii="仿宋_GB2312" w:eastAsia="仿宋_GB2312"/>
          <w:sz w:val="28"/>
          <w:szCs w:val="28"/>
        </w:rPr>
        <w:t>4.机关运行经费：反映为保障行政单位（包括参照公务员法管理的事业单位）运行用于购买货物和服务的各项资金，包括办公费、会议费、培训费、委托业务费、公务接待费、公务用车运行维护费、维修（护）费及其他费用。</w:t>
      </w:r>
    </w:p>
    <w:p>
      <w:pPr>
        <w:ind w:firstLine="560" w:firstLineChars="200"/>
        <w:rPr>
          <w:rFonts w:ascii="仿宋_GB2312" w:eastAsia="仿宋_GB2312"/>
          <w:sz w:val="28"/>
          <w:szCs w:val="28"/>
        </w:rPr>
      </w:pPr>
      <w:r>
        <w:rPr>
          <w:rFonts w:hint="eastAsia" w:ascii="仿宋_GB2312" w:eastAsia="仿宋_GB2312"/>
          <w:sz w:val="28"/>
          <w:szCs w:val="28"/>
        </w:rPr>
        <w:t>5.政府采购：指各级国家机关、事业单位和团体组织，使用财政性资金采购依法制定的集中目录以内的或者采购限额标准以上的货物、工程和服务的行为，是规范财政支出管理和强化预算约束的有效措施。</w:t>
      </w:r>
    </w:p>
    <w:p>
      <w:pPr>
        <w:ind w:firstLine="560" w:firstLineChars="200"/>
        <w:rPr>
          <w:rFonts w:ascii="仿宋_GB2312" w:eastAsia="仿宋_GB2312"/>
          <w:sz w:val="28"/>
          <w:szCs w:val="28"/>
        </w:rPr>
      </w:pPr>
      <w:r>
        <w:rPr>
          <w:rFonts w:hint="eastAsia" w:ascii="仿宋_GB2312" w:eastAsia="仿宋_GB2312"/>
          <w:sz w:val="28"/>
          <w:szCs w:val="28"/>
        </w:rPr>
        <w:t>6.各单位需根据自身业务职能，补充当年使用的所有支出功能分类项级科目名词解释，例如：</w:t>
      </w:r>
    </w:p>
    <w:p>
      <w:pPr>
        <w:ind w:firstLine="560" w:firstLineChars="200"/>
        <w:rPr>
          <w:rFonts w:ascii="仿宋_GB2312" w:eastAsia="仿宋_GB2312"/>
          <w:bCs/>
          <w:sz w:val="28"/>
          <w:szCs w:val="28"/>
        </w:rPr>
      </w:pPr>
      <w:r>
        <w:rPr>
          <w:rFonts w:hint="eastAsia" w:ascii="仿宋_GB2312" w:eastAsia="仿宋_GB2312"/>
          <w:sz w:val="28"/>
          <w:szCs w:val="28"/>
        </w:rPr>
        <w:t>一般公共服务支出（类）人大事务（款）行政运行（项）：反映行政单位（包括实行公务员管理的事业单位）的基本支出。</w:t>
      </w:r>
    </w:p>
    <w:p>
      <w:pPr>
        <w:ind w:firstLine="420" w:firstLineChars="150"/>
        <w:rPr>
          <w:rFonts w:ascii="仿宋_GB2312" w:eastAsia="仿宋_GB2312"/>
          <w:sz w:val="28"/>
          <w:szCs w:val="28"/>
        </w:rPr>
      </w:pPr>
    </w:p>
    <w:p>
      <w:pPr>
        <w:rPr>
          <w:rFonts w:ascii="黑体" w:eastAsia="黑体"/>
          <w:sz w:val="32"/>
          <w:szCs w:val="32"/>
        </w:rPr>
      </w:pPr>
    </w:p>
    <w:p>
      <w:pPr>
        <w:tabs>
          <w:tab w:val="center" w:pos="6979"/>
        </w:tabs>
        <w:spacing w:line="380" w:lineRule="exact"/>
        <w:jc w:val="center"/>
        <w:rPr>
          <w:rFonts w:ascii="宋体" w:hAnsi="宋体" w:cs="宋体"/>
          <w:b/>
          <w:bCs/>
          <w:kern w:val="0"/>
          <w:sz w:val="28"/>
          <w:szCs w:val="28"/>
        </w:rPr>
      </w:pPr>
    </w:p>
    <w:p>
      <w:pPr>
        <w:tabs>
          <w:tab w:val="center" w:pos="6979"/>
        </w:tabs>
        <w:spacing w:line="380" w:lineRule="exact"/>
        <w:jc w:val="center"/>
        <w:rPr>
          <w:rFonts w:ascii="宋体" w:hAnsi="宋体" w:cs="宋体"/>
          <w:b/>
          <w:bCs/>
          <w:kern w:val="0"/>
          <w:sz w:val="28"/>
          <w:szCs w:val="28"/>
        </w:rPr>
      </w:pPr>
    </w:p>
    <w:p>
      <w:pPr>
        <w:rPr>
          <w:rFonts w:ascii="黑体" w:eastAsia="黑体"/>
          <w:sz w:val="32"/>
          <w:szCs w:val="32"/>
        </w:rPr>
      </w:pPr>
    </w:p>
    <w:p>
      <w:pPr>
        <w:ind w:firstLine="640" w:firstLineChars="200"/>
        <w:jc w:val="center"/>
        <w:rPr>
          <w:rFonts w:ascii="黑体" w:eastAsia="黑体"/>
          <w:sz w:val="32"/>
          <w:szCs w:val="32"/>
        </w:rPr>
      </w:pPr>
    </w:p>
    <w:p>
      <w:pPr>
        <w:tabs>
          <w:tab w:val="center" w:pos="6979"/>
        </w:tabs>
        <w:spacing w:line="580" w:lineRule="exact"/>
        <w:ind w:firstLine="720" w:firstLineChars="200"/>
        <w:jc w:val="center"/>
        <w:rPr>
          <w:rFonts w:asciiTheme="minorEastAsia" w:hAnsiTheme="minorEastAsia" w:eastAsiaTheme="minorEastAsia"/>
          <w:b/>
          <w:sz w:val="36"/>
          <w:szCs w:val="36"/>
        </w:rPr>
      </w:pPr>
      <w:r>
        <w:rPr>
          <w:rFonts w:hint="eastAsia" w:asciiTheme="minorEastAsia" w:hAnsiTheme="minorEastAsia" w:eastAsiaTheme="minorEastAsia"/>
          <w:b/>
          <w:sz w:val="36"/>
          <w:szCs w:val="36"/>
        </w:rPr>
        <w:t>第四部分2025年度部门绩效评价情况</w:t>
      </w:r>
    </w:p>
    <w:p>
      <w:pPr>
        <w:tabs>
          <w:tab w:val="center" w:pos="6979"/>
        </w:tabs>
        <w:spacing w:line="580" w:lineRule="exact"/>
        <w:ind w:firstLine="560" w:firstLineChars="200"/>
        <w:jc w:val="center"/>
        <w:rPr>
          <w:rFonts w:hint="eastAsia" w:ascii="华文中宋" w:hAnsi="华文中宋" w:eastAsia="华文中宋"/>
          <w:sz w:val="28"/>
          <w:szCs w:val="28"/>
        </w:rPr>
      </w:pPr>
    </w:p>
    <w:p>
      <w:pPr>
        <w:spacing w:line="580" w:lineRule="exact"/>
        <w:ind w:firstLine="640" w:firstLineChars="200"/>
        <w:rPr>
          <w:rFonts w:hint="eastAsia" w:ascii="黑体" w:hAnsi="黑体" w:eastAsia="黑体"/>
          <w:sz w:val="32"/>
          <w:szCs w:val="32"/>
        </w:rPr>
      </w:pPr>
      <w:r>
        <w:rPr>
          <w:rFonts w:hint="eastAsia" w:ascii="黑体" w:eastAsia="黑体"/>
          <w:sz w:val="32"/>
          <w:szCs w:val="32"/>
        </w:rPr>
        <w:t xml:space="preserve"> </w:t>
      </w:r>
      <w:r>
        <w:rPr>
          <w:rFonts w:hint="eastAsia" w:ascii="黑体" w:hAnsi="黑体" w:eastAsia="黑体"/>
          <w:sz w:val="32"/>
          <w:szCs w:val="32"/>
        </w:rPr>
        <w:t>一、部门整体绩效评价报告</w:t>
      </w:r>
    </w:p>
    <w:p>
      <w:pPr>
        <w:spacing w:line="580" w:lineRule="exact"/>
        <w:ind w:firstLine="640"/>
        <w:rPr>
          <w:rFonts w:hint="eastAsia" w:ascii="楷体_GB2312" w:hAnsi="Calibri" w:eastAsia="楷体_GB2312"/>
          <w:b/>
          <w:sz w:val="32"/>
          <w:szCs w:val="32"/>
        </w:rPr>
      </w:pPr>
      <w:r>
        <w:rPr>
          <w:rFonts w:hint="eastAsia" w:ascii="楷体_GB2312" w:eastAsia="楷体_GB2312"/>
          <w:b/>
          <w:sz w:val="32"/>
          <w:szCs w:val="32"/>
        </w:rPr>
        <w:t>（一）部门概况</w:t>
      </w:r>
    </w:p>
    <w:p>
      <w:pPr>
        <w:spacing w:line="580" w:lineRule="exact"/>
        <w:ind w:firstLine="640"/>
        <w:rPr>
          <w:rFonts w:hint="eastAsia" w:ascii="仿宋_GB2312" w:eastAsia="仿宋_GB2312"/>
          <w:sz w:val="32"/>
          <w:szCs w:val="32"/>
        </w:rPr>
      </w:pPr>
      <w:bookmarkStart w:id="0" w:name="_Toc268005755"/>
      <w:r>
        <w:rPr>
          <w:rFonts w:hint="eastAsia" w:ascii="仿宋_GB2312" w:eastAsia="仿宋_GB2312"/>
          <w:sz w:val="32"/>
          <w:szCs w:val="32"/>
        </w:rPr>
        <w:t>1.部门职责情况</w:t>
      </w:r>
    </w:p>
    <w:p>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eastAsia" w:ascii="仿宋_GB2312" w:eastAsia="仿宋_GB2312" w:cs="Times New Roman"/>
          <w:sz w:val="28"/>
          <w:szCs w:val="28"/>
          <w:lang w:val="en-US" w:eastAsia="zh-CN"/>
        </w:rPr>
      </w:pPr>
      <w:r>
        <w:rPr>
          <w:rFonts w:hint="eastAsia"/>
          <w:lang w:eastAsia="zh-CN"/>
        </w:rPr>
        <w:tab/>
      </w:r>
      <w:r>
        <w:rPr>
          <w:rFonts w:hint="eastAsia" w:ascii="仿宋_GB2312" w:eastAsia="仿宋_GB2312" w:cs="Times New Roman"/>
          <w:sz w:val="28"/>
          <w:szCs w:val="28"/>
          <w:lang w:val="en-US" w:eastAsia="zh-CN"/>
        </w:rPr>
        <w:t>（1）承担全面依法治区重大问题的政策研究，协调有关方面提出全面依法治区中长期规划建议，负责有关重大决策部署督察工作。</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eastAsia="仿宋_GB2312" w:cs="Times New Roman"/>
          <w:sz w:val="28"/>
          <w:szCs w:val="28"/>
          <w:lang w:val="en-US" w:eastAsia="zh-CN"/>
        </w:rPr>
      </w:pPr>
      <w:r>
        <w:rPr>
          <w:rFonts w:hint="eastAsia" w:ascii="仿宋_GB2312" w:eastAsia="仿宋_GB2312" w:cs="Times New Roman"/>
          <w:sz w:val="28"/>
          <w:szCs w:val="28"/>
          <w:lang w:val="en-US" w:eastAsia="zh-CN"/>
        </w:rPr>
        <w:t>（2）承担以区政府或者区政府办名义执法的规范性文件、报请区政府会议审议和区政府审批的涉及法律问题的有关文件或者事项的合法性审核工作。协助市级部门做好区政府和区政府办公室制定的规范性文件的备案审查工作。</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eastAsia="仿宋_GB2312" w:cs="Times New Roman"/>
          <w:sz w:val="28"/>
          <w:szCs w:val="28"/>
          <w:lang w:val="en-US" w:eastAsia="zh-CN"/>
        </w:rPr>
      </w:pPr>
      <w:r>
        <w:rPr>
          <w:rFonts w:hint="eastAsia" w:ascii="仿宋_GB2312" w:eastAsia="仿宋_GB2312" w:cs="Times New Roman"/>
          <w:sz w:val="28"/>
          <w:szCs w:val="28"/>
          <w:lang w:val="en-US" w:eastAsia="zh-CN"/>
        </w:rPr>
        <w:t>（3）承担统筹推进本区法治政府建设的责任。指导、监督区政府各部门和乡镇政府依法行政工作。负责综合协调行政执法，承担推进行政执法体制改革有关工作，推进严格规范公正文明执法。指导、监督全区行政复议和行政应诉工作，负责行政复议、行政赔偿案件办理工作。承办区政府行政诉讼的应诉代理工作。承办由市政府裁决的区政府行政复议案件的有关工作。</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eastAsia="仿宋_GB2312" w:cs="Times New Roman"/>
          <w:sz w:val="28"/>
          <w:szCs w:val="28"/>
          <w:lang w:val="en-US" w:eastAsia="zh-CN"/>
        </w:rPr>
      </w:pPr>
      <w:r>
        <w:rPr>
          <w:rFonts w:hint="eastAsia" w:ascii="仿宋_GB2312" w:eastAsia="仿宋_GB2312" w:cs="Times New Roman"/>
          <w:sz w:val="28"/>
          <w:szCs w:val="28"/>
          <w:lang w:val="en-US" w:eastAsia="zh-CN"/>
        </w:rPr>
        <w:t>（4）承担统筹规划本区法治社会建设的责任。负责拟定法治宣传教育规划，组织实施普法宣传工作。推动人民参与和促进法治建设。指导依法治理和法治创建工作。指导调解工作和人民陪审员、人民监督员选任管理工作，推进司法所建设。</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eastAsia="仿宋_GB2312" w:cs="Times New Roman"/>
          <w:sz w:val="28"/>
          <w:szCs w:val="28"/>
          <w:lang w:val="en-US" w:eastAsia="zh-CN"/>
        </w:rPr>
      </w:pPr>
      <w:r>
        <w:rPr>
          <w:rFonts w:hint="eastAsia" w:ascii="仿宋_GB2312" w:eastAsia="仿宋_GB2312" w:cs="Times New Roman"/>
          <w:sz w:val="28"/>
          <w:szCs w:val="28"/>
          <w:lang w:val="en-US" w:eastAsia="zh-CN"/>
        </w:rPr>
        <w:t>（5）指导、监督本区社区矫正工作和刑满释放人员安置帮教工作。</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eastAsia="仿宋_GB2312" w:cs="Times New Roman"/>
          <w:sz w:val="28"/>
          <w:szCs w:val="28"/>
          <w:lang w:val="en-US" w:eastAsia="zh-CN"/>
        </w:rPr>
      </w:pPr>
      <w:r>
        <w:rPr>
          <w:rFonts w:hint="eastAsia" w:ascii="仿宋_GB2312" w:eastAsia="仿宋_GB2312" w:cs="Times New Roman"/>
          <w:sz w:val="28"/>
          <w:szCs w:val="28"/>
          <w:lang w:val="en-US" w:eastAsia="zh-CN"/>
        </w:rPr>
        <w:t>（6）负责拟订本区公共法律服务体系建设规划并组织实施，统筹和布局城乡、区域法律服务资源。指导、监督律师、法律援助、司法鉴定、公证和基层法律服务管理工作。</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eastAsia="仿宋_GB2312" w:cs="Times New Roman"/>
          <w:sz w:val="28"/>
          <w:szCs w:val="28"/>
          <w:lang w:val="en-US" w:eastAsia="zh-CN"/>
        </w:rPr>
      </w:pPr>
      <w:r>
        <w:rPr>
          <w:rFonts w:hint="eastAsia" w:ascii="仿宋_GB2312" w:eastAsia="仿宋_GB2312" w:cs="Times New Roman"/>
          <w:sz w:val="28"/>
          <w:szCs w:val="28"/>
          <w:lang w:val="en-US" w:eastAsia="zh-CN"/>
        </w:rPr>
        <w:t>（7）负责组织本区国家统一法律资格考试的考务等工作。</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eastAsia="仿宋_GB2312" w:cs="Times New Roman"/>
          <w:sz w:val="28"/>
          <w:szCs w:val="28"/>
          <w:lang w:val="en-US" w:eastAsia="zh-CN"/>
        </w:rPr>
      </w:pPr>
      <w:r>
        <w:rPr>
          <w:rFonts w:hint="eastAsia" w:ascii="仿宋_GB2312" w:eastAsia="仿宋_GB2312" w:cs="Times New Roman"/>
          <w:sz w:val="28"/>
          <w:szCs w:val="28"/>
          <w:lang w:val="en-US" w:eastAsia="zh-CN"/>
        </w:rPr>
        <w:t>（8）规划、协调、指导本区法治人才队伍建设相关工作，指导、监督本系统队伍建设。</w:t>
      </w:r>
    </w:p>
    <w:p>
      <w:pPr>
        <w:spacing w:line="580" w:lineRule="exact"/>
        <w:ind w:firstLine="640"/>
        <w:rPr>
          <w:rFonts w:hint="eastAsia" w:ascii="仿宋_GB2312" w:eastAsia="仿宋_GB2312"/>
          <w:sz w:val="32"/>
          <w:szCs w:val="32"/>
        </w:rPr>
      </w:pPr>
      <w:r>
        <w:rPr>
          <w:rFonts w:hint="eastAsia" w:ascii="仿宋_GB2312" w:eastAsia="仿宋_GB2312" w:cs="Times New Roman"/>
          <w:sz w:val="28"/>
          <w:szCs w:val="28"/>
          <w:lang w:val="en-US" w:eastAsia="zh-CN"/>
        </w:rPr>
        <w:t>（9）完成区委、区政府交办的其他任务。</w:t>
      </w:r>
    </w:p>
    <w:p>
      <w:pPr>
        <w:numPr>
          <w:ilvl w:val="0"/>
          <w:numId w:val="2"/>
        </w:numPr>
        <w:spacing w:line="580" w:lineRule="exact"/>
        <w:ind w:firstLine="640"/>
        <w:rPr>
          <w:rFonts w:hint="eastAsia" w:ascii="仿宋_GB2312" w:eastAsia="仿宋_GB2312"/>
          <w:sz w:val="32"/>
          <w:szCs w:val="32"/>
        </w:rPr>
      </w:pPr>
      <w:r>
        <w:rPr>
          <w:rFonts w:hint="eastAsia" w:ascii="仿宋_GB2312" w:eastAsia="仿宋_GB2312"/>
          <w:sz w:val="32"/>
          <w:szCs w:val="32"/>
        </w:rPr>
        <w:t>部门机构设置情况</w:t>
      </w:r>
    </w:p>
    <w:p>
      <w:pPr>
        <w:spacing w:line="580" w:lineRule="exact"/>
        <w:ind w:firstLine="640"/>
        <w:rPr>
          <w:rFonts w:hint="eastAsia" w:ascii="仿宋_GB2312" w:eastAsia="仿宋_GB2312"/>
          <w:sz w:val="32"/>
          <w:szCs w:val="32"/>
        </w:rPr>
      </w:pPr>
      <w:r>
        <w:rPr>
          <w:rFonts w:hint="eastAsia" w:ascii="仿宋_GB2312" w:eastAsia="仿宋_GB2312" w:cs="Times New Roman"/>
          <w:sz w:val="28"/>
          <w:szCs w:val="28"/>
          <w:lang w:val="en-US" w:eastAsia="zh-CN"/>
        </w:rPr>
        <w:t>本部门共设8个内设机构和3个全额拨款事业单位，8个内设机构分别为：办公室、行政复议应诉科、法治审核监督科、基层建设和矫正帮教科、普法和公共法律服务科、法律服务监督管理科、依法治区办秘书科、政工科。3个全额拨款事业单位分别为：北京市门头沟区阳光中途之家、北京市门头沟区法律援助中心、北京市门头沟区法治促进中心。</w:t>
      </w:r>
      <w:r>
        <w:rPr>
          <w:rFonts w:hint="eastAsia" w:ascii="仿宋_GB2312" w:eastAsia="仿宋_GB2312"/>
          <w:sz w:val="32"/>
          <w:szCs w:val="32"/>
        </w:rPr>
        <w:t>3.2025年主要工作任务</w:t>
      </w:r>
    </w:p>
    <w:bookmarkEnd w:id="0"/>
    <w:p>
      <w:pPr>
        <w:pStyle w:val="4"/>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outlineLvl w:val="9"/>
        <w:rPr>
          <w:rFonts w:hint="default" w:ascii="仿宋_GB2312" w:hAnsi="Calibri" w:eastAsia="仿宋_GB2312" w:cs="Times New Roman"/>
          <w:kern w:val="2"/>
          <w:sz w:val="28"/>
          <w:szCs w:val="28"/>
          <w:lang w:val="en-US" w:eastAsia="zh-CN" w:bidi="ar-SA"/>
        </w:rPr>
      </w:pPr>
      <w:bookmarkStart w:id="1" w:name="_Toc268005759"/>
      <w:bookmarkStart w:id="2" w:name="_Toc263686375"/>
      <w:r>
        <w:rPr>
          <w:rFonts w:hint="eastAsia" w:ascii="楷体_GB2312" w:hAnsi="楷体_GB2312" w:eastAsia="楷体_GB2312" w:cs="楷体_GB2312"/>
          <w:b w:val="0"/>
          <w:bCs w:val="0"/>
          <w:kern w:val="2"/>
          <w:sz w:val="28"/>
          <w:szCs w:val="28"/>
          <w:highlight w:val="none"/>
          <w:lang w:val="en-US" w:eastAsia="zh-CN" w:bidi="ar-SA"/>
        </w:rPr>
        <w:t>一是筑牢党建队建发展根基</w:t>
      </w:r>
      <w:bookmarkStart w:id="3" w:name="OLE_LINK1"/>
      <w:r>
        <w:rPr>
          <w:rFonts w:hint="eastAsia" w:ascii="楷体_GB2312" w:hAnsi="楷体_GB2312" w:eastAsia="楷体_GB2312" w:cs="楷体_GB2312"/>
          <w:b w:val="0"/>
          <w:bCs w:val="0"/>
          <w:kern w:val="2"/>
          <w:sz w:val="28"/>
          <w:szCs w:val="28"/>
          <w:highlight w:val="none"/>
          <w:lang w:val="en-US" w:eastAsia="zh-CN" w:bidi="ar-SA"/>
        </w:rPr>
        <w:t>。</w:t>
      </w:r>
      <w:r>
        <w:rPr>
          <w:rFonts w:hint="eastAsia" w:ascii="仿宋_GB2312" w:hAnsi="Calibri" w:eastAsia="仿宋_GB2312" w:cs="Times New Roman"/>
          <w:kern w:val="2"/>
          <w:sz w:val="28"/>
          <w:szCs w:val="28"/>
          <w:lang w:val="en-US" w:eastAsia="zh-CN" w:bidi="ar-SA"/>
        </w:rPr>
        <w:t>以“京西红色司法”品牌为核心，搭建“1+6+3”党建品牌矩阵，相关子品牌获得学习强国、前线客户端等平台的推广。华夏公证处党支部荣膺“特色党支部示范点”称号，律师行业党支部“京西好律师”获评北京市百个“党建强、发展强”党建品牌项目。持续开展“揭榜挂帅”专项行动，分两批选定18个项目，有力推动机制实现常态化、长效化运行，解决了门头沟区知识产权纠纷调解力量薄弱、园区法治化营商环境有待优化等20余个问题。打造“YUE青春”青年品牌，举办7场读书会，组织青年干部踊跃参与“三亮三比”创新争优大实践等各类竞赛。3名青年干部在“筑牢纪律堤坝 激励担当作为”区直机关系统全面从严治党知识竞赛中荣获一等奖。制发《门头沟区司法局关于以机关党建高质量发展引领模范机关建设的实施方案》，初步形成“5248”工作法，构建起模范机关建设的全新格局。（2025年亮点工作）</w:t>
      </w:r>
    </w:p>
    <w:bookmarkEnd w:id="3"/>
    <w:p>
      <w:pPr>
        <w:keepNext w:val="0"/>
        <w:keepLines w:val="0"/>
        <w:pageBreakBefore w:val="0"/>
        <w:widowControl w:val="0"/>
        <w:kinsoku/>
        <w:wordWrap/>
        <w:overflowPunct/>
        <w:topLinePunct w:val="0"/>
        <w:autoSpaceDE/>
        <w:autoSpaceDN/>
        <w:bidi w:val="0"/>
        <w:adjustRightInd w:val="0"/>
        <w:snapToGrid w:val="0"/>
        <w:spacing w:line="560" w:lineRule="exact"/>
        <w:ind w:firstLine="560" w:firstLineChars="200"/>
        <w:jc w:val="both"/>
        <w:textAlignment w:val="auto"/>
        <w:rPr>
          <w:rFonts w:hint="eastAsia" w:ascii="仿宋_GB2312" w:hAnsi="Calibri" w:eastAsia="仿宋_GB2312" w:cs="Times New Roman"/>
          <w:kern w:val="2"/>
          <w:sz w:val="28"/>
          <w:szCs w:val="28"/>
          <w:lang w:val="en-US" w:eastAsia="zh-CN" w:bidi="ar-SA"/>
        </w:rPr>
      </w:pPr>
      <w:r>
        <w:rPr>
          <w:rFonts w:hint="eastAsia" w:ascii="楷体_GB2312" w:hAnsi="楷体_GB2312" w:eastAsia="楷体_GB2312" w:cs="楷体_GB2312"/>
          <w:b w:val="0"/>
          <w:bCs w:val="0"/>
          <w:kern w:val="2"/>
          <w:sz w:val="28"/>
          <w:szCs w:val="28"/>
          <w:highlight w:val="none"/>
          <w:lang w:val="en-US" w:eastAsia="zh-CN" w:bidi="ar-SA"/>
        </w:rPr>
        <w:t>二是推动法治政府提质增效。</w:t>
      </w:r>
      <w:r>
        <w:rPr>
          <w:rFonts w:hint="eastAsia" w:ascii="仿宋_GB2312" w:hAnsi="Calibri" w:eastAsia="仿宋_GB2312" w:cs="Times New Roman"/>
          <w:kern w:val="2"/>
          <w:sz w:val="28"/>
          <w:szCs w:val="28"/>
          <w:lang w:val="en-US" w:eastAsia="zh-CN" w:bidi="ar-SA"/>
        </w:rPr>
        <w:t>压实“关键少数”法治责任，实现全区各单位书面述法全覆盖，开展会议述法并由书记、区长点评，依托“法治门头沟”公众号开设“一把手谈法治”专栏，强化示范引领与群众监督，设立全市首家营商环境投诉举报监督窗口并出台管理办法，深化“行政 + 检察”执法司法协同模式，“内外联动构建监督闭环、协同赋能法治政府建设”项目荣获第三批全国法治政府示范项目命名及第七届法治政府奖；搭建并运用门头沟区合法性审核和备案工作信息平台，为行政规范性文件审核备案工作提供规范智能支撑；开展规范基层执法专项治理，制定完善制度规范56件，梳理问题线索117条（含涉企线索7条），全部完成整改。深化行政复议体制改革，2023年以来行政复议案件量增至行政应诉案件量的1.8倍以上，主渠道作用凸显，创新设立公安交通行政争议调处中心，通过“一站式”服务模式使公安交通类行政复议案件数量下降率达90%，切实降低行政争议发生频率。在斋堂镇挂牌成立北京市首家深山区行政复议联络点，打通复议为民的“最后一公里”，实现行政复议“靠前服务”。（2025年亮点工作）</w:t>
      </w:r>
    </w:p>
    <w:p>
      <w:pPr>
        <w:keepNext w:val="0"/>
        <w:keepLines w:val="0"/>
        <w:pageBreakBefore w:val="0"/>
        <w:widowControl w:val="0"/>
        <w:numPr>
          <w:ilvl w:val="0"/>
          <w:numId w:val="0"/>
        </w:numPr>
        <w:pBdr>
          <w:bottom w:val="single" w:color="FFFFFF" w:sz="4" w:space="31"/>
        </w:pBdr>
        <w:shd w:val="clear" w:color="auto" w:fill="auto"/>
        <w:kinsoku/>
        <w:wordWrap/>
        <w:overflowPunct/>
        <w:topLinePunct/>
        <w:autoSpaceDE/>
        <w:autoSpaceDN/>
        <w:bidi w:val="0"/>
        <w:adjustRightInd w:val="0"/>
        <w:snapToGrid/>
        <w:spacing w:line="560" w:lineRule="exact"/>
        <w:ind w:right="0" w:rightChars="0" w:firstLine="560" w:firstLineChars="200"/>
        <w:jc w:val="both"/>
        <w:textAlignment w:val="auto"/>
        <w:outlineLvl w:val="9"/>
        <w:rPr>
          <w:rFonts w:hint="eastAsia" w:ascii="仿宋_GB2312" w:hAnsi="Calibri" w:eastAsia="仿宋_GB2312" w:cs="Times New Roman"/>
          <w:kern w:val="2"/>
          <w:sz w:val="28"/>
          <w:szCs w:val="28"/>
          <w:lang w:val="en-US" w:eastAsia="zh-CN" w:bidi="ar-SA"/>
        </w:rPr>
      </w:pPr>
      <w:r>
        <w:rPr>
          <w:rFonts w:hint="eastAsia" w:ascii="楷体_GB2312" w:hAnsi="楷体_GB2312" w:eastAsia="楷体_GB2312" w:cs="楷体_GB2312"/>
          <w:b w:val="0"/>
          <w:bCs w:val="0"/>
          <w:kern w:val="2"/>
          <w:sz w:val="28"/>
          <w:szCs w:val="28"/>
          <w:highlight w:val="none"/>
          <w:lang w:val="en-US" w:eastAsia="zh-CN" w:bidi="ar-SA"/>
        </w:rPr>
        <w:t>三是持续优化法治化营商环境</w:t>
      </w:r>
      <w:bookmarkStart w:id="4" w:name="OLE_LINK5"/>
      <w:r>
        <w:rPr>
          <w:rFonts w:hint="eastAsia" w:ascii="楷体_GB2312" w:hAnsi="楷体_GB2312" w:eastAsia="楷体_GB2312" w:cs="楷体_GB2312"/>
          <w:b w:val="0"/>
          <w:bCs w:val="0"/>
          <w:kern w:val="2"/>
          <w:sz w:val="28"/>
          <w:szCs w:val="28"/>
          <w:highlight w:val="none"/>
          <w:lang w:val="en-US" w:eastAsia="zh-CN" w:bidi="ar-SA"/>
        </w:rPr>
        <w:t>。</w:t>
      </w:r>
      <w:r>
        <w:rPr>
          <w:rFonts w:hint="eastAsia" w:ascii="仿宋_GB2312" w:hAnsi="Calibri" w:eastAsia="仿宋_GB2312" w:cs="Times New Roman"/>
          <w:kern w:val="2"/>
          <w:sz w:val="28"/>
          <w:szCs w:val="28"/>
          <w:lang w:val="en-US" w:eastAsia="zh-CN" w:bidi="ar-SA"/>
        </w:rPr>
        <w:t>制发《区司法局“法润营商·惠企护航”十大举措》，创设“法治管家”线上法律服务平台，切实提升企业的法治获得感；圆满完成园区法治化营商环境改革半年评估工作，改革举措全面落地并已部分从园区向全区推广；持续深化“京西法律智谷”2.0版，形成以法治体检、法治吹哨、法治监督为主要内容的助企公益法律服务新模式，开展“法律市集”活动，提升网络普法的吸引力和覆盖面；揭牌楼宇企业服务中心，聘任13名“律师楼长”，对接全区六个重点商圈，实现门城地区、浅山区楼宇企业的全覆盖，针对收集的400余条企业法律需求逐一提供法律建议；在中关村科技园区门头沟园成立全市首家基层知识产权纠纷人民调解委员会，强化对企业知识产权纠纷风险防范和纠纷化解的全链条保护，已为企业低成本成功化解知识产权案件9件，涉及金额1492万元。（2025年亮点工作）</w:t>
      </w:r>
    </w:p>
    <w:bookmarkEnd w:id="4"/>
    <w:p>
      <w:pPr>
        <w:keepNext w:val="0"/>
        <w:keepLines w:val="0"/>
        <w:pageBreakBefore w:val="0"/>
        <w:widowControl w:val="0"/>
        <w:numPr>
          <w:ilvl w:val="0"/>
          <w:numId w:val="0"/>
        </w:numPr>
        <w:pBdr>
          <w:bottom w:val="single" w:color="FFFFFF" w:sz="4" w:space="31"/>
        </w:pBdr>
        <w:shd w:val="clear" w:color="auto" w:fill="auto"/>
        <w:kinsoku/>
        <w:wordWrap/>
        <w:overflowPunct/>
        <w:topLinePunct/>
        <w:autoSpaceDE/>
        <w:autoSpaceDN/>
        <w:bidi w:val="0"/>
        <w:adjustRightInd w:val="0"/>
        <w:snapToGrid/>
        <w:spacing w:line="560" w:lineRule="exact"/>
        <w:ind w:right="0" w:rightChars="0" w:firstLine="560" w:firstLineChars="200"/>
        <w:jc w:val="both"/>
        <w:textAlignment w:val="auto"/>
        <w:outlineLvl w:val="9"/>
        <w:rPr>
          <w:rFonts w:hint="eastAsia" w:ascii="仿宋_GB2312" w:hAnsi="Calibri" w:eastAsia="仿宋_GB2312" w:cs="Times New Roman"/>
          <w:kern w:val="2"/>
          <w:sz w:val="28"/>
          <w:szCs w:val="28"/>
          <w:lang w:val="en-US" w:eastAsia="zh-CN" w:bidi="ar-SA"/>
        </w:rPr>
      </w:pPr>
      <w:r>
        <w:rPr>
          <w:rFonts w:hint="eastAsia" w:ascii="楷体_GB2312" w:hAnsi="楷体_GB2312" w:eastAsia="楷体_GB2312" w:cs="楷体_GB2312"/>
          <w:b w:val="0"/>
          <w:bCs w:val="0"/>
          <w:kern w:val="2"/>
          <w:sz w:val="28"/>
          <w:szCs w:val="28"/>
          <w:highlight w:val="none"/>
          <w:lang w:val="en-US" w:eastAsia="zh-CN" w:bidi="ar-SA"/>
        </w:rPr>
        <w:t>四是完善公共法律服务供给。</w:t>
      </w:r>
      <w:r>
        <w:rPr>
          <w:rFonts w:hint="eastAsia" w:ascii="仿宋_GB2312" w:hAnsi="Calibri" w:eastAsia="仿宋_GB2312" w:cs="Times New Roman"/>
          <w:kern w:val="2"/>
          <w:sz w:val="28"/>
          <w:szCs w:val="28"/>
          <w:lang w:val="en-US" w:eastAsia="zh-CN" w:bidi="ar-SA"/>
        </w:rPr>
        <w:t>法治文化阵地凸显区域特色，贾沟村的“法律市集”“法”式咖啡等创新形式广受好评，河南台村、灰峪村精准打造法治景观，丰富文化内涵；推出守法普法IP形象“门小豸”，融合绿水青山门头沟区域生态与司法行政蓝，彰显为民服务底色；深入落实“最多跑一次”“高效办成一件事”等158项公证事项提速办理等便民举措，高效办理有关拆迁安置房继承公证，截至目前，共办理该类公证1506件，为门头沟区解决历史遗留“办证难”问题贡献公证力量</w:t>
      </w:r>
      <w:bookmarkStart w:id="5" w:name="OLE_LINK3"/>
      <w:r>
        <w:rPr>
          <w:rFonts w:hint="eastAsia" w:ascii="仿宋_GB2312" w:hAnsi="Calibri" w:eastAsia="仿宋_GB2312" w:cs="Times New Roman"/>
          <w:kern w:val="2"/>
          <w:sz w:val="28"/>
          <w:szCs w:val="28"/>
          <w:lang w:val="en-US" w:eastAsia="zh-CN" w:bidi="ar-SA"/>
        </w:rPr>
        <w:t>；积极创新案件办理模式，大力推行“0跑动”，为山区群众、出行不便的老年人、残疾人等群体提供及时便利的法律咨询服务，优选法律援助服务资源，有序引进优秀律师加入法援服务队伍，12348热线排名稳步提升。</w:t>
      </w:r>
    </w:p>
    <w:bookmarkEnd w:id="5"/>
    <w:p>
      <w:pPr>
        <w:keepNext w:val="0"/>
        <w:keepLines w:val="0"/>
        <w:pageBreakBefore w:val="0"/>
        <w:widowControl w:val="0"/>
        <w:numPr>
          <w:ilvl w:val="0"/>
          <w:numId w:val="0"/>
        </w:numPr>
        <w:pBdr>
          <w:bottom w:val="single" w:color="FFFFFF" w:sz="4" w:space="31"/>
        </w:pBdr>
        <w:shd w:val="clear" w:color="auto" w:fill="auto"/>
        <w:kinsoku/>
        <w:wordWrap/>
        <w:overflowPunct/>
        <w:topLinePunct/>
        <w:autoSpaceDE/>
        <w:autoSpaceDN/>
        <w:bidi w:val="0"/>
        <w:adjustRightInd w:val="0"/>
        <w:snapToGrid/>
        <w:spacing w:line="560" w:lineRule="exact"/>
        <w:ind w:right="0" w:rightChars="0" w:firstLine="560" w:firstLineChars="200"/>
        <w:jc w:val="both"/>
        <w:textAlignment w:val="auto"/>
        <w:outlineLvl w:val="9"/>
        <w:rPr>
          <w:rFonts w:hint="eastAsia" w:ascii="楷体_GB2312" w:hAnsi="楷体_GB2312" w:eastAsia="楷体_GB2312" w:cs="楷体_GB2312"/>
          <w:b w:val="0"/>
          <w:bCs w:val="0"/>
          <w:kern w:val="2"/>
          <w:sz w:val="28"/>
          <w:szCs w:val="28"/>
          <w:highlight w:val="none"/>
          <w:lang w:val="en-US" w:eastAsia="zh-CN" w:bidi="ar-SA"/>
        </w:rPr>
      </w:pPr>
      <w:r>
        <w:rPr>
          <w:rFonts w:hint="eastAsia" w:ascii="楷体_GB2312" w:hAnsi="楷体_GB2312" w:eastAsia="楷体_GB2312" w:cs="楷体_GB2312"/>
          <w:b w:val="0"/>
          <w:bCs w:val="0"/>
          <w:kern w:val="2"/>
          <w:sz w:val="28"/>
          <w:szCs w:val="28"/>
          <w:highlight w:val="none"/>
          <w:lang w:val="en-US" w:eastAsia="zh-CN" w:bidi="ar-SA"/>
        </w:rPr>
        <w:t>五是守牢安全稳定发展底线。</w:t>
      </w:r>
      <w:r>
        <w:rPr>
          <w:rFonts w:hint="eastAsia" w:ascii="仿宋_GB2312" w:hAnsi="Calibri" w:eastAsia="仿宋_GB2312" w:cs="Times New Roman"/>
          <w:kern w:val="2"/>
          <w:sz w:val="28"/>
          <w:szCs w:val="28"/>
          <w:lang w:val="en-US" w:eastAsia="zh-CN" w:bidi="ar-SA"/>
        </w:rPr>
        <w:t>以重大任务安保为契机，开展重点人群和重要风险隐患排查整治，对矫正对象靶向帮扶，开展18场法治警示教育、9人次心理辅导，培训60名应急救护技能人才，为3名困难对象解决救助、住房等问题；坚持和发展新时代“枫桥经验”，发挥“区﹣镇街﹣村居”三级调解品牌矩阵优势，持续擦亮“和为贵”等调解品牌，打造成为全国“叫得响”的人民调解品牌，我区人民调解工作经验已报送市委改革办，同时被政法委《长安》杂志采登</w:t>
      </w:r>
      <w:bookmarkStart w:id="6" w:name="OLE_LINK7"/>
      <w:r>
        <w:rPr>
          <w:rFonts w:hint="eastAsia" w:ascii="仿宋_GB2312" w:hAnsi="Calibri" w:eastAsia="仿宋_GB2312" w:cs="Times New Roman"/>
          <w:kern w:val="2"/>
          <w:sz w:val="28"/>
          <w:szCs w:val="28"/>
          <w:lang w:val="en-US" w:eastAsia="zh-CN" w:bidi="ar-SA"/>
        </w:rPr>
        <w:t>（2025年工作亮点）；强化律师队伍管理，制发《村居公益法律服务考核方案》，突出考核村居法律服务工作实效。重点开展法律咨询服务机构及“网推所”突出问题专项治理行动，组织召开区级专班专项工作会议3次，移送法律咨询公司违法违规经营活动线索35条，约谈被投诉涉事公司3次。目前已移送违法违规线索1条，妥善处理群众投诉40余件</w:t>
      </w:r>
      <w:bookmarkStart w:id="7" w:name="OLE_LINK12_ai_ai"/>
      <w:bookmarkEnd w:id="7"/>
      <w:r>
        <w:rPr>
          <w:rFonts w:hint="eastAsia" w:ascii="楷体_GB2312" w:hAnsi="楷体_GB2312" w:eastAsia="楷体_GB2312" w:cs="楷体_GB2312"/>
          <w:b w:val="0"/>
          <w:bCs w:val="0"/>
          <w:kern w:val="2"/>
          <w:sz w:val="28"/>
          <w:szCs w:val="28"/>
          <w:highlight w:val="none"/>
          <w:lang w:val="en-US" w:eastAsia="zh-CN" w:bidi="ar-SA"/>
        </w:rPr>
        <w:t>。</w:t>
      </w:r>
      <w:bookmarkEnd w:id="6"/>
    </w:p>
    <w:p>
      <w:pPr>
        <w:spacing w:line="580" w:lineRule="exact"/>
        <w:ind w:firstLine="640"/>
        <w:rPr>
          <w:rFonts w:hint="eastAsia" w:ascii="仿宋_GB2312" w:eastAsia="仿宋_GB2312"/>
          <w:sz w:val="32"/>
          <w:szCs w:val="32"/>
        </w:rPr>
      </w:pPr>
      <w:r>
        <w:rPr>
          <w:rFonts w:hint="eastAsia" w:ascii="仿宋_GB2312" w:eastAsia="仿宋_GB2312"/>
          <w:sz w:val="32"/>
          <w:szCs w:val="32"/>
        </w:rPr>
        <w:t>4.部门</w:t>
      </w:r>
      <w:bookmarkEnd w:id="1"/>
      <w:r>
        <w:rPr>
          <w:rFonts w:hint="eastAsia" w:ascii="仿宋_GB2312" w:eastAsia="仿宋_GB2312"/>
          <w:sz w:val="32"/>
          <w:szCs w:val="32"/>
        </w:rPr>
        <w:t>整体绩效目标设立情况</w:t>
      </w:r>
    </w:p>
    <w:tbl>
      <w:tblPr>
        <w:tblStyle w:val="14"/>
        <w:tblpPr w:leftFromText="180" w:rightFromText="180" w:vertAnchor="text" w:horzAnchor="page" w:tblpX="2308" w:tblpY="640"/>
        <w:tblOverlap w:val="never"/>
        <w:tblW w:w="12320" w:type="dxa"/>
        <w:tblInd w:w="0" w:type="dxa"/>
        <w:tblLayout w:type="fixed"/>
        <w:tblCellMar>
          <w:top w:w="0" w:type="dxa"/>
          <w:left w:w="108" w:type="dxa"/>
          <w:bottom w:w="0" w:type="dxa"/>
          <w:right w:w="108" w:type="dxa"/>
        </w:tblCellMar>
      </w:tblPr>
      <w:tblGrid>
        <w:gridCol w:w="925"/>
        <w:gridCol w:w="4473"/>
        <w:gridCol w:w="1687"/>
        <w:gridCol w:w="1874"/>
        <w:gridCol w:w="1712"/>
        <w:gridCol w:w="131"/>
        <w:gridCol w:w="1518"/>
      </w:tblGrid>
      <w:tr>
        <w:tblPrEx>
          <w:tblLayout w:type="fixed"/>
          <w:tblCellMar>
            <w:top w:w="0" w:type="dxa"/>
            <w:left w:w="108" w:type="dxa"/>
            <w:bottom w:w="0" w:type="dxa"/>
            <w:right w:w="108" w:type="dxa"/>
          </w:tblCellMar>
        </w:tblPrEx>
        <w:trPr>
          <w:trHeight w:val="669" w:hRule="atLeast"/>
        </w:trPr>
        <w:tc>
          <w:tcPr>
            <w:tcW w:w="925" w:type="dxa"/>
            <w:tcBorders>
              <w:top w:val="single" w:color="auto" w:sz="4" w:space="0"/>
              <w:left w:val="single" w:color="auto" w:sz="4" w:space="0"/>
              <w:bottom w:val="single" w:color="auto" w:sz="4" w:space="0"/>
              <w:right w:val="single" w:color="auto" w:sz="4" w:space="0"/>
            </w:tcBorders>
            <w:vAlign w:val="bottom"/>
          </w:tcPr>
          <w:p>
            <w:pPr>
              <w:widowControl/>
              <w:jc w:val="both"/>
              <w:rPr>
                <w:rFonts w:ascii="仿宋_GB2312" w:hAnsi="仿宋" w:eastAsia="仿宋_GB2312" w:cs="Times New Roman"/>
                <w:sz w:val="28"/>
                <w:szCs w:val="28"/>
              </w:rPr>
            </w:pPr>
            <w:r>
              <w:rPr>
                <w:rFonts w:hint="eastAsia" w:ascii="仿宋_GB2312" w:hAnsi="仿宋" w:eastAsia="仿宋_GB2312" w:cs="Times New Roman"/>
                <w:sz w:val="28"/>
                <w:szCs w:val="28"/>
              </w:rPr>
              <w:t>序号</w:t>
            </w:r>
          </w:p>
        </w:tc>
        <w:tc>
          <w:tcPr>
            <w:tcW w:w="4473" w:type="dxa"/>
            <w:tcBorders>
              <w:top w:val="single" w:color="auto" w:sz="4" w:space="0"/>
              <w:left w:val="nil"/>
              <w:bottom w:val="single" w:color="auto" w:sz="4" w:space="0"/>
              <w:right w:val="single" w:color="auto" w:sz="4" w:space="0"/>
            </w:tcBorders>
            <w:vAlign w:val="bottom"/>
          </w:tcPr>
          <w:p>
            <w:pPr>
              <w:widowControl/>
              <w:jc w:val="center"/>
              <w:rPr>
                <w:rFonts w:ascii="仿宋_GB2312" w:hAnsi="仿宋" w:eastAsia="仿宋_GB2312" w:cs="Times New Roman"/>
                <w:sz w:val="28"/>
                <w:szCs w:val="28"/>
              </w:rPr>
            </w:pPr>
            <w:r>
              <w:rPr>
                <w:rFonts w:hint="eastAsia" w:ascii="仿宋_GB2312" w:hAnsi="仿宋" w:eastAsia="仿宋_GB2312" w:cs="Times New Roman"/>
                <w:sz w:val="28"/>
                <w:szCs w:val="28"/>
              </w:rPr>
              <w:t>三级指标</w:t>
            </w:r>
          </w:p>
        </w:tc>
        <w:tc>
          <w:tcPr>
            <w:tcW w:w="1687" w:type="dxa"/>
            <w:tcBorders>
              <w:top w:val="single" w:color="auto" w:sz="4" w:space="0"/>
              <w:left w:val="nil"/>
              <w:bottom w:val="single" w:color="auto" w:sz="4" w:space="0"/>
              <w:right w:val="single" w:color="auto" w:sz="4" w:space="0"/>
            </w:tcBorders>
            <w:vAlign w:val="bottom"/>
          </w:tcPr>
          <w:p>
            <w:pPr>
              <w:widowControl/>
              <w:jc w:val="center"/>
              <w:rPr>
                <w:rFonts w:ascii="仿宋_GB2312" w:hAnsi="仿宋" w:eastAsia="仿宋_GB2312" w:cs="Times New Roman"/>
                <w:sz w:val="28"/>
                <w:szCs w:val="28"/>
              </w:rPr>
            </w:pPr>
            <w:r>
              <w:rPr>
                <w:rFonts w:hint="eastAsia" w:ascii="仿宋_GB2312" w:hAnsi="仿宋" w:eastAsia="仿宋_GB2312" w:cs="Times New Roman"/>
                <w:sz w:val="28"/>
                <w:szCs w:val="28"/>
              </w:rPr>
              <w:t>指标性质</w:t>
            </w:r>
          </w:p>
        </w:tc>
        <w:tc>
          <w:tcPr>
            <w:tcW w:w="1874" w:type="dxa"/>
            <w:tcBorders>
              <w:top w:val="single" w:color="auto" w:sz="4" w:space="0"/>
              <w:left w:val="nil"/>
              <w:bottom w:val="single" w:color="auto" w:sz="4" w:space="0"/>
              <w:right w:val="single" w:color="auto" w:sz="4" w:space="0"/>
            </w:tcBorders>
            <w:vAlign w:val="bottom"/>
          </w:tcPr>
          <w:p>
            <w:pPr>
              <w:widowControl/>
              <w:jc w:val="center"/>
              <w:rPr>
                <w:rFonts w:ascii="仿宋_GB2312" w:hAnsi="仿宋" w:eastAsia="仿宋_GB2312" w:cs="Times New Roman"/>
                <w:sz w:val="28"/>
                <w:szCs w:val="28"/>
              </w:rPr>
            </w:pPr>
            <w:r>
              <w:rPr>
                <w:rFonts w:hint="eastAsia" w:ascii="仿宋_GB2312" w:hAnsi="仿宋" w:eastAsia="仿宋_GB2312" w:cs="Times New Roman"/>
                <w:sz w:val="28"/>
                <w:szCs w:val="28"/>
              </w:rPr>
              <w:t>指标值</w:t>
            </w:r>
          </w:p>
        </w:tc>
        <w:tc>
          <w:tcPr>
            <w:tcW w:w="1712" w:type="dxa"/>
            <w:tcBorders>
              <w:top w:val="single" w:color="auto" w:sz="4" w:space="0"/>
              <w:left w:val="nil"/>
              <w:bottom w:val="single" w:color="auto" w:sz="4" w:space="0"/>
              <w:right w:val="single" w:color="auto" w:sz="4" w:space="0"/>
            </w:tcBorders>
          </w:tcPr>
          <w:p>
            <w:pPr>
              <w:widowControl/>
              <w:jc w:val="center"/>
              <w:rPr>
                <w:rFonts w:ascii="仿宋_GB2312" w:hAnsi="仿宋" w:eastAsia="仿宋_GB2312" w:cs="Times New Roman"/>
                <w:sz w:val="28"/>
                <w:szCs w:val="28"/>
              </w:rPr>
            </w:pPr>
            <w:r>
              <w:rPr>
                <w:rFonts w:hint="eastAsia" w:ascii="仿宋_GB2312" w:hAnsi="仿宋" w:eastAsia="仿宋_GB2312" w:cs="Times New Roman"/>
                <w:sz w:val="28"/>
                <w:szCs w:val="28"/>
              </w:rPr>
              <w:t>度量单位</w:t>
            </w:r>
          </w:p>
        </w:tc>
        <w:tc>
          <w:tcPr>
            <w:tcW w:w="1649" w:type="dxa"/>
            <w:gridSpan w:val="2"/>
            <w:tcBorders>
              <w:top w:val="single" w:color="auto" w:sz="4" w:space="0"/>
              <w:left w:val="nil"/>
              <w:bottom w:val="single" w:color="auto" w:sz="4" w:space="0"/>
              <w:right w:val="single" w:color="auto" w:sz="4" w:space="0"/>
            </w:tcBorders>
          </w:tcPr>
          <w:p>
            <w:pPr>
              <w:widowControl/>
              <w:jc w:val="center"/>
              <w:rPr>
                <w:rFonts w:ascii="仿宋_GB2312" w:hAnsi="仿宋" w:eastAsia="仿宋_GB2312" w:cs="Times New Roman"/>
                <w:sz w:val="28"/>
                <w:szCs w:val="28"/>
              </w:rPr>
            </w:pPr>
            <w:r>
              <w:rPr>
                <w:rFonts w:hint="eastAsia" w:ascii="仿宋_GB2312" w:hAnsi="仿宋" w:eastAsia="仿宋_GB2312" w:cs="Times New Roman"/>
                <w:sz w:val="28"/>
                <w:szCs w:val="28"/>
              </w:rPr>
              <w:t>指标权重</w:t>
            </w:r>
          </w:p>
        </w:tc>
      </w:tr>
      <w:tr>
        <w:tblPrEx>
          <w:tblLayout w:type="fixed"/>
          <w:tblCellMar>
            <w:top w:w="0" w:type="dxa"/>
            <w:left w:w="108" w:type="dxa"/>
            <w:bottom w:w="0" w:type="dxa"/>
            <w:right w:w="108" w:type="dxa"/>
          </w:tblCellMar>
        </w:tblPrEx>
        <w:trPr>
          <w:trHeight w:val="340" w:hRule="atLeast"/>
        </w:trPr>
        <w:tc>
          <w:tcPr>
            <w:tcW w:w="925" w:type="dxa"/>
            <w:tcBorders>
              <w:top w:val="nil"/>
              <w:left w:val="single" w:color="auto" w:sz="4" w:space="0"/>
              <w:bottom w:val="single" w:color="auto" w:sz="4" w:space="0"/>
              <w:right w:val="single" w:color="auto" w:sz="4" w:space="0"/>
            </w:tcBorders>
            <w:vAlign w:val="bottom"/>
          </w:tcPr>
          <w:p>
            <w:pPr>
              <w:widowControl/>
              <w:jc w:val="center"/>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1</w:t>
            </w:r>
          </w:p>
        </w:tc>
        <w:tc>
          <w:tcPr>
            <w:tcW w:w="4473" w:type="dxa"/>
            <w:tcBorders>
              <w:top w:val="nil"/>
              <w:left w:val="nil"/>
              <w:bottom w:val="single" w:color="auto" w:sz="4" w:space="0"/>
              <w:right w:val="single" w:color="auto" w:sz="4" w:space="0"/>
            </w:tcBorders>
            <w:vAlign w:val="bottom"/>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12.4活动质量要求</w:t>
            </w:r>
          </w:p>
        </w:tc>
        <w:tc>
          <w:tcPr>
            <w:tcW w:w="1687" w:type="dxa"/>
            <w:tcBorders>
              <w:top w:val="nil"/>
              <w:left w:val="nil"/>
              <w:bottom w:val="single" w:color="auto" w:sz="4" w:space="0"/>
              <w:right w:val="single" w:color="auto" w:sz="4" w:space="0"/>
            </w:tcBorders>
            <w:vAlign w:val="bottom"/>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　定性</w:t>
            </w:r>
          </w:p>
        </w:tc>
        <w:tc>
          <w:tcPr>
            <w:tcW w:w="1874" w:type="dxa"/>
            <w:tcBorders>
              <w:top w:val="nil"/>
              <w:left w:val="nil"/>
              <w:bottom w:val="single" w:color="auto" w:sz="4" w:space="0"/>
              <w:right w:val="single" w:color="auto" w:sz="4" w:space="0"/>
            </w:tcBorders>
            <w:vAlign w:val="bottom"/>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　优良</w:t>
            </w:r>
          </w:p>
        </w:tc>
        <w:tc>
          <w:tcPr>
            <w:tcW w:w="1712" w:type="dxa"/>
            <w:tcBorders>
              <w:top w:val="nil"/>
              <w:left w:val="nil"/>
              <w:bottom w:val="single" w:color="auto" w:sz="4" w:space="0"/>
              <w:right w:val="single" w:color="auto" w:sz="4" w:space="0"/>
            </w:tcBorders>
          </w:tcPr>
          <w:p>
            <w:pPr>
              <w:widowControl/>
              <w:jc w:val="left"/>
              <w:rPr>
                <w:rFonts w:hint="eastAsia" w:ascii="仿宋_GB2312" w:hAnsi="仿宋" w:eastAsia="仿宋_GB2312" w:cs="Times New Roman"/>
                <w:sz w:val="21"/>
                <w:szCs w:val="21"/>
                <w:lang w:val="en-US" w:eastAsia="zh-CN"/>
              </w:rPr>
            </w:pPr>
          </w:p>
        </w:tc>
        <w:tc>
          <w:tcPr>
            <w:tcW w:w="1649" w:type="dxa"/>
            <w:gridSpan w:val="2"/>
            <w:tcBorders>
              <w:top w:val="nil"/>
              <w:left w:val="nil"/>
              <w:bottom w:val="single" w:color="auto" w:sz="4" w:space="0"/>
              <w:right w:val="single" w:color="auto" w:sz="4" w:space="0"/>
            </w:tcBorders>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6.25</w:t>
            </w:r>
          </w:p>
        </w:tc>
      </w:tr>
      <w:tr>
        <w:tblPrEx>
          <w:tblLayout w:type="fixed"/>
          <w:tblCellMar>
            <w:top w:w="0" w:type="dxa"/>
            <w:left w:w="108" w:type="dxa"/>
            <w:bottom w:w="0" w:type="dxa"/>
            <w:right w:w="108" w:type="dxa"/>
          </w:tblCellMar>
        </w:tblPrEx>
        <w:trPr>
          <w:trHeight w:val="669" w:hRule="atLeast"/>
        </w:trPr>
        <w:tc>
          <w:tcPr>
            <w:tcW w:w="925" w:type="dxa"/>
            <w:tcBorders>
              <w:top w:val="single" w:color="auto" w:sz="4" w:space="0"/>
              <w:left w:val="single" w:color="auto" w:sz="4" w:space="0"/>
              <w:bottom w:val="single" w:color="auto" w:sz="4" w:space="0"/>
              <w:right w:val="single" w:color="auto" w:sz="4" w:space="0"/>
            </w:tcBorders>
            <w:vAlign w:val="bottom"/>
          </w:tcPr>
          <w:p>
            <w:pPr>
              <w:widowControl/>
              <w:jc w:val="center"/>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2</w:t>
            </w:r>
          </w:p>
        </w:tc>
        <w:tc>
          <w:tcPr>
            <w:tcW w:w="4473" w:type="dxa"/>
            <w:tcBorders>
              <w:top w:val="single" w:color="auto" w:sz="4" w:space="0"/>
              <w:left w:val="single" w:color="auto" w:sz="4" w:space="0"/>
              <w:bottom w:val="single" w:color="auto" w:sz="4" w:space="0"/>
              <w:right w:val="single" w:color="auto" w:sz="4" w:space="0"/>
            </w:tcBorders>
            <w:vAlign w:val="bottom"/>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通过对全区弱势群体法律宣传和法律服务，使得弱势群体得到法律援助保障。</w:t>
            </w:r>
          </w:p>
        </w:tc>
        <w:tc>
          <w:tcPr>
            <w:tcW w:w="1687" w:type="dxa"/>
            <w:tcBorders>
              <w:top w:val="single" w:color="auto" w:sz="4" w:space="0"/>
              <w:left w:val="single" w:color="auto" w:sz="4" w:space="0"/>
              <w:bottom w:val="single" w:color="auto" w:sz="4" w:space="0"/>
              <w:right w:val="single" w:color="auto" w:sz="4" w:space="0"/>
            </w:tcBorders>
            <w:vAlign w:val="bottom"/>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定性</w:t>
            </w:r>
          </w:p>
        </w:tc>
        <w:tc>
          <w:tcPr>
            <w:tcW w:w="1874" w:type="dxa"/>
            <w:tcBorders>
              <w:top w:val="single" w:color="auto" w:sz="4" w:space="0"/>
              <w:left w:val="single" w:color="auto" w:sz="4" w:space="0"/>
              <w:bottom w:val="single" w:color="auto" w:sz="4" w:space="0"/>
              <w:right w:val="single" w:color="auto" w:sz="4" w:space="0"/>
            </w:tcBorders>
            <w:vAlign w:val="bottom"/>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　优良</w:t>
            </w:r>
          </w:p>
        </w:tc>
        <w:tc>
          <w:tcPr>
            <w:tcW w:w="1712" w:type="dxa"/>
            <w:tcBorders>
              <w:top w:val="single" w:color="auto" w:sz="4" w:space="0"/>
              <w:left w:val="single" w:color="auto" w:sz="4" w:space="0"/>
              <w:bottom w:val="single" w:color="auto" w:sz="4" w:space="0"/>
              <w:right w:val="single" w:color="auto" w:sz="4" w:space="0"/>
            </w:tcBorders>
          </w:tcPr>
          <w:p>
            <w:pPr>
              <w:widowControl/>
              <w:jc w:val="left"/>
              <w:rPr>
                <w:rFonts w:hint="eastAsia" w:ascii="仿宋_GB2312" w:hAnsi="仿宋" w:eastAsia="仿宋_GB2312" w:cs="Times New Roman"/>
                <w:sz w:val="21"/>
                <w:szCs w:val="21"/>
                <w:lang w:val="en-US" w:eastAsia="zh-CN"/>
              </w:rPr>
            </w:pPr>
          </w:p>
        </w:tc>
        <w:tc>
          <w:tcPr>
            <w:tcW w:w="1649" w:type="dxa"/>
            <w:gridSpan w:val="2"/>
            <w:tcBorders>
              <w:top w:val="single" w:color="auto" w:sz="4" w:space="0"/>
              <w:left w:val="single" w:color="auto" w:sz="4" w:space="0"/>
              <w:bottom w:val="single" w:color="auto" w:sz="4" w:space="0"/>
              <w:right w:val="single" w:color="auto" w:sz="4" w:space="0"/>
            </w:tcBorders>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6.25</w:t>
            </w:r>
          </w:p>
        </w:tc>
      </w:tr>
      <w:tr>
        <w:tblPrEx>
          <w:tblLayout w:type="fixed"/>
          <w:tblCellMar>
            <w:top w:w="0" w:type="dxa"/>
            <w:left w:w="108" w:type="dxa"/>
            <w:bottom w:w="0" w:type="dxa"/>
            <w:right w:w="108" w:type="dxa"/>
          </w:tblCellMar>
        </w:tblPrEx>
        <w:trPr>
          <w:trHeight w:val="340" w:hRule="atLeast"/>
        </w:trPr>
        <w:tc>
          <w:tcPr>
            <w:tcW w:w="925" w:type="dxa"/>
            <w:tcBorders>
              <w:top w:val="single" w:color="auto" w:sz="4" w:space="0"/>
              <w:left w:val="single" w:color="auto" w:sz="4" w:space="0"/>
              <w:bottom w:val="single" w:color="auto" w:sz="4" w:space="0"/>
              <w:right w:val="single" w:color="auto" w:sz="4" w:space="0"/>
            </w:tcBorders>
            <w:vAlign w:val="bottom"/>
          </w:tcPr>
          <w:p>
            <w:pPr>
              <w:widowControl/>
              <w:jc w:val="center"/>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3</w:t>
            </w:r>
          </w:p>
        </w:tc>
        <w:tc>
          <w:tcPr>
            <w:tcW w:w="4473"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民事案件</w:t>
            </w:r>
          </w:p>
        </w:tc>
        <w:tc>
          <w:tcPr>
            <w:tcW w:w="1687" w:type="dxa"/>
            <w:tcBorders>
              <w:top w:val="single" w:color="auto" w:sz="4" w:space="0"/>
              <w:left w:val="single" w:color="auto" w:sz="4" w:space="0"/>
              <w:bottom w:val="single" w:color="auto" w:sz="4" w:space="0"/>
              <w:right w:val="single" w:color="auto" w:sz="4" w:space="0"/>
            </w:tcBorders>
            <w:vAlign w:val="bottom"/>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　=</w:t>
            </w:r>
          </w:p>
        </w:tc>
        <w:tc>
          <w:tcPr>
            <w:tcW w:w="1874"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170</w:t>
            </w:r>
          </w:p>
        </w:tc>
        <w:tc>
          <w:tcPr>
            <w:tcW w:w="1712" w:type="dxa"/>
            <w:tcBorders>
              <w:top w:val="single" w:color="auto" w:sz="4" w:space="0"/>
              <w:left w:val="single" w:color="auto" w:sz="4" w:space="0"/>
              <w:bottom w:val="single" w:color="auto" w:sz="4" w:space="0"/>
              <w:right w:val="single" w:color="auto" w:sz="4" w:space="0"/>
            </w:tcBorders>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件</w:t>
            </w:r>
          </w:p>
        </w:tc>
        <w:tc>
          <w:tcPr>
            <w:tcW w:w="1649" w:type="dxa"/>
            <w:gridSpan w:val="2"/>
            <w:tcBorders>
              <w:top w:val="single" w:color="auto" w:sz="4" w:space="0"/>
              <w:left w:val="single" w:color="auto" w:sz="4" w:space="0"/>
              <w:bottom w:val="single" w:color="auto" w:sz="4" w:space="0"/>
              <w:right w:val="single" w:color="auto" w:sz="4" w:space="0"/>
            </w:tcBorders>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6.25</w:t>
            </w:r>
          </w:p>
        </w:tc>
      </w:tr>
      <w:tr>
        <w:tblPrEx>
          <w:tblLayout w:type="fixed"/>
          <w:tblCellMar>
            <w:top w:w="0" w:type="dxa"/>
            <w:left w:w="108" w:type="dxa"/>
            <w:bottom w:w="0" w:type="dxa"/>
            <w:right w:w="108" w:type="dxa"/>
          </w:tblCellMar>
        </w:tblPrEx>
        <w:trPr>
          <w:trHeight w:val="340" w:hRule="atLeast"/>
        </w:trPr>
        <w:tc>
          <w:tcPr>
            <w:tcW w:w="925" w:type="dxa"/>
            <w:tcBorders>
              <w:top w:val="single" w:color="auto" w:sz="4" w:space="0"/>
              <w:left w:val="single" w:color="auto" w:sz="4" w:space="0"/>
              <w:bottom w:val="single" w:color="auto" w:sz="4" w:space="0"/>
              <w:right w:val="single" w:color="auto" w:sz="4" w:space="0"/>
            </w:tcBorders>
            <w:vAlign w:val="bottom"/>
          </w:tcPr>
          <w:p>
            <w:pPr>
              <w:widowControl/>
              <w:jc w:val="center"/>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4</w:t>
            </w:r>
          </w:p>
        </w:tc>
        <w:tc>
          <w:tcPr>
            <w:tcW w:w="4473"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刑事案件</w:t>
            </w:r>
          </w:p>
        </w:tc>
        <w:tc>
          <w:tcPr>
            <w:tcW w:w="1687" w:type="dxa"/>
            <w:tcBorders>
              <w:top w:val="single" w:color="auto" w:sz="4" w:space="0"/>
              <w:left w:val="single" w:color="auto" w:sz="4" w:space="0"/>
              <w:bottom w:val="single" w:color="auto" w:sz="4" w:space="0"/>
              <w:right w:val="single" w:color="auto" w:sz="4" w:space="0"/>
            </w:tcBorders>
            <w:vAlign w:val="bottom"/>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　=</w:t>
            </w:r>
          </w:p>
        </w:tc>
        <w:tc>
          <w:tcPr>
            <w:tcW w:w="1874"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115</w:t>
            </w:r>
          </w:p>
        </w:tc>
        <w:tc>
          <w:tcPr>
            <w:tcW w:w="1712" w:type="dxa"/>
            <w:tcBorders>
              <w:top w:val="single" w:color="auto" w:sz="4" w:space="0"/>
              <w:left w:val="single" w:color="auto" w:sz="4" w:space="0"/>
              <w:bottom w:val="single" w:color="auto" w:sz="4" w:space="0"/>
              <w:right w:val="single" w:color="auto" w:sz="4" w:space="0"/>
            </w:tcBorders>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件</w:t>
            </w:r>
          </w:p>
        </w:tc>
        <w:tc>
          <w:tcPr>
            <w:tcW w:w="1649" w:type="dxa"/>
            <w:gridSpan w:val="2"/>
            <w:tcBorders>
              <w:top w:val="single" w:color="auto" w:sz="4" w:space="0"/>
              <w:left w:val="single" w:color="auto" w:sz="4" w:space="0"/>
              <w:bottom w:val="single" w:color="auto" w:sz="4" w:space="0"/>
              <w:right w:val="single" w:color="auto" w:sz="4" w:space="0"/>
            </w:tcBorders>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6.25</w:t>
            </w:r>
          </w:p>
        </w:tc>
      </w:tr>
      <w:tr>
        <w:tblPrEx>
          <w:tblLayout w:type="fixed"/>
          <w:tblCellMar>
            <w:top w:w="0" w:type="dxa"/>
            <w:left w:w="108" w:type="dxa"/>
            <w:bottom w:w="0" w:type="dxa"/>
            <w:right w:w="108" w:type="dxa"/>
          </w:tblCellMar>
        </w:tblPrEx>
        <w:trPr>
          <w:trHeight w:val="340" w:hRule="atLeast"/>
        </w:trPr>
        <w:tc>
          <w:tcPr>
            <w:tcW w:w="925" w:type="dxa"/>
            <w:tcBorders>
              <w:top w:val="single" w:color="auto" w:sz="4" w:space="0"/>
              <w:left w:val="single" w:color="auto" w:sz="4" w:space="0"/>
              <w:bottom w:val="single" w:color="auto" w:sz="4" w:space="0"/>
              <w:right w:val="single" w:color="auto" w:sz="4" w:space="0"/>
            </w:tcBorders>
            <w:vAlign w:val="bottom"/>
          </w:tcPr>
          <w:p>
            <w:pPr>
              <w:widowControl/>
              <w:jc w:val="center"/>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5</w:t>
            </w:r>
          </w:p>
        </w:tc>
        <w:tc>
          <w:tcPr>
            <w:tcW w:w="4473"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刑事值班</w:t>
            </w:r>
          </w:p>
        </w:tc>
        <w:tc>
          <w:tcPr>
            <w:tcW w:w="1687" w:type="dxa"/>
            <w:tcBorders>
              <w:top w:val="single" w:color="auto" w:sz="4" w:space="0"/>
              <w:left w:val="single" w:color="auto" w:sz="4" w:space="0"/>
              <w:bottom w:val="single" w:color="auto" w:sz="4" w:space="0"/>
              <w:right w:val="single" w:color="auto" w:sz="4" w:space="0"/>
            </w:tcBorders>
            <w:vAlign w:val="bottom"/>
          </w:tcPr>
          <w:p>
            <w:pPr>
              <w:widowControl/>
              <w:ind w:firstLine="210" w:firstLineChars="100"/>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w:t>
            </w:r>
          </w:p>
        </w:tc>
        <w:tc>
          <w:tcPr>
            <w:tcW w:w="1874"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180</w:t>
            </w:r>
          </w:p>
        </w:tc>
        <w:tc>
          <w:tcPr>
            <w:tcW w:w="1712" w:type="dxa"/>
            <w:tcBorders>
              <w:top w:val="single" w:color="auto" w:sz="4" w:space="0"/>
              <w:left w:val="single" w:color="auto" w:sz="4" w:space="0"/>
              <w:bottom w:val="single" w:color="auto" w:sz="4" w:space="0"/>
              <w:right w:val="single" w:color="auto" w:sz="4" w:space="0"/>
            </w:tcBorders>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天</w:t>
            </w:r>
          </w:p>
        </w:tc>
        <w:tc>
          <w:tcPr>
            <w:tcW w:w="1649" w:type="dxa"/>
            <w:gridSpan w:val="2"/>
            <w:tcBorders>
              <w:top w:val="single" w:color="auto" w:sz="4" w:space="0"/>
              <w:left w:val="single" w:color="auto" w:sz="4" w:space="0"/>
              <w:bottom w:val="single" w:color="auto" w:sz="4" w:space="0"/>
              <w:right w:val="single" w:color="auto" w:sz="4" w:space="0"/>
            </w:tcBorders>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6.25</w:t>
            </w:r>
          </w:p>
        </w:tc>
      </w:tr>
      <w:tr>
        <w:tblPrEx>
          <w:tblLayout w:type="fixed"/>
          <w:tblCellMar>
            <w:top w:w="0" w:type="dxa"/>
            <w:left w:w="108" w:type="dxa"/>
            <w:bottom w:w="0" w:type="dxa"/>
            <w:right w:w="108" w:type="dxa"/>
          </w:tblCellMar>
        </w:tblPrEx>
        <w:trPr>
          <w:trHeight w:val="669" w:hRule="atLeast"/>
        </w:trPr>
        <w:tc>
          <w:tcPr>
            <w:tcW w:w="925" w:type="dxa"/>
            <w:tcBorders>
              <w:top w:val="single" w:color="auto" w:sz="4" w:space="0"/>
              <w:left w:val="single" w:color="auto" w:sz="4" w:space="0"/>
              <w:bottom w:val="single" w:color="auto" w:sz="4" w:space="0"/>
              <w:right w:val="single" w:color="auto" w:sz="4" w:space="0"/>
            </w:tcBorders>
            <w:vAlign w:val="bottom"/>
          </w:tcPr>
          <w:p>
            <w:pPr>
              <w:widowControl/>
              <w:jc w:val="center"/>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6</w:t>
            </w:r>
          </w:p>
        </w:tc>
        <w:tc>
          <w:tcPr>
            <w:tcW w:w="447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right="0" w:rightChars="0" w:firstLine="0" w:firstLineChars="0"/>
              <w:jc w:val="both"/>
              <w:textAlignment w:val="auto"/>
              <w:outlineLvl w:val="9"/>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群众法治宣传教育知晓率、满意度进一步提升，法治宣传教育覆盖面进一步扩大，市民法治素养进一步提升，地区法治环境进一步优化。</w:t>
            </w:r>
          </w:p>
        </w:tc>
        <w:tc>
          <w:tcPr>
            <w:tcW w:w="1687" w:type="dxa"/>
            <w:tcBorders>
              <w:top w:val="single" w:color="auto" w:sz="4" w:space="0"/>
              <w:left w:val="single" w:color="auto" w:sz="4" w:space="0"/>
              <w:bottom w:val="single" w:color="auto" w:sz="4" w:space="0"/>
              <w:right w:val="single" w:color="auto" w:sz="4" w:space="0"/>
            </w:tcBorders>
            <w:vAlign w:val="bottom"/>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定性</w:t>
            </w:r>
          </w:p>
        </w:tc>
        <w:tc>
          <w:tcPr>
            <w:tcW w:w="1874" w:type="dxa"/>
            <w:tcBorders>
              <w:top w:val="single" w:color="auto" w:sz="4" w:space="0"/>
              <w:left w:val="single" w:color="auto" w:sz="4" w:space="0"/>
              <w:bottom w:val="single" w:color="auto" w:sz="4" w:space="0"/>
              <w:right w:val="single" w:color="auto" w:sz="4" w:space="0"/>
            </w:tcBorders>
            <w:vAlign w:val="bottom"/>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优良</w:t>
            </w:r>
          </w:p>
        </w:tc>
        <w:tc>
          <w:tcPr>
            <w:tcW w:w="1712" w:type="dxa"/>
            <w:tcBorders>
              <w:top w:val="single" w:color="auto" w:sz="4" w:space="0"/>
              <w:left w:val="single" w:color="auto" w:sz="4" w:space="0"/>
              <w:bottom w:val="single" w:color="auto" w:sz="4" w:space="0"/>
              <w:right w:val="single" w:color="auto" w:sz="4" w:space="0"/>
            </w:tcBorders>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w:t>
            </w:r>
          </w:p>
        </w:tc>
        <w:tc>
          <w:tcPr>
            <w:tcW w:w="1649" w:type="dxa"/>
            <w:gridSpan w:val="2"/>
            <w:tcBorders>
              <w:top w:val="single" w:color="auto" w:sz="4" w:space="0"/>
              <w:left w:val="single" w:color="auto" w:sz="4" w:space="0"/>
              <w:bottom w:val="single" w:color="auto" w:sz="4" w:space="0"/>
              <w:right w:val="single" w:color="auto" w:sz="4" w:space="0"/>
            </w:tcBorders>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6.25</w:t>
            </w:r>
          </w:p>
        </w:tc>
      </w:tr>
      <w:tr>
        <w:tblPrEx>
          <w:tblLayout w:type="fixed"/>
          <w:tblCellMar>
            <w:top w:w="0" w:type="dxa"/>
            <w:left w:w="108" w:type="dxa"/>
            <w:bottom w:w="0" w:type="dxa"/>
            <w:right w:w="108" w:type="dxa"/>
          </w:tblCellMar>
        </w:tblPrEx>
        <w:trPr>
          <w:trHeight w:val="340" w:hRule="atLeast"/>
        </w:trPr>
        <w:tc>
          <w:tcPr>
            <w:tcW w:w="925" w:type="dxa"/>
            <w:tcBorders>
              <w:top w:val="single" w:color="auto" w:sz="4" w:space="0"/>
              <w:left w:val="single" w:color="auto" w:sz="4" w:space="0"/>
              <w:bottom w:val="single" w:color="auto" w:sz="4" w:space="0"/>
              <w:right w:val="single" w:color="auto" w:sz="4" w:space="0"/>
            </w:tcBorders>
            <w:vAlign w:val="bottom"/>
          </w:tcPr>
          <w:p>
            <w:pPr>
              <w:widowControl/>
              <w:jc w:val="center"/>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7</w:t>
            </w:r>
          </w:p>
        </w:tc>
        <w:tc>
          <w:tcPr>
            <w:tcW w:w="4473"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村居满意度</w:t>
            </w:r>
          </w:p>
        </w:tc>
        <w:tc>
          <w:tcPr>
            <w:tcW w:w="1687" w:type="dxa"/>
            <w:tcBorders>
              <w:top w:val="single" w:color="auto" w:sz="4" w:space="0"/>
              <w:left w:val="single" w:color="auto" w:sz="4" w:space="0"/>
              <w:bottom w:val="single" w:color="auto" w:sz="4" w:space="0"/>
              <w:right w:val="single" w:color="auto" w:sz="4" w:space="0"/>
            </w:tcBorders>
            <w:vAlign w:val="bottom"/>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w:t>
            </w:r>
          </w:p>
        </w:tc>
        <w:tc>
          <w:tcPr>
            <w:tcW w:w="1874" w:type="dxa"/>
            <w:tcBorders>
              <w:top w:val="single" w:color="auto" w:sz="4" w:space="0"/>
              <w:left w:val="single" w:color="auto" w:sz="4" w:space="0"/>
              <w:bottom w:val="single" w:color="auto" w:sz="4" w:space="0"/>
              <w:right w:val="single" w:color="auto" w:sz="4" w:space="0"/>
            </w:tcBorders>
            <w:vAlign w:val="bottom"/>
          </w:tcPr>
          <w:p>
            <w:pPr>
              <w:widowControl/>
              <w:tabs>
                <w:tab w:val="center" w:pos="695"/>
              </w:tabs>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90</w:t>
            </w:r>
          </w:p>
        </w:tc>
        <w:tc>
          <w:tcPr>
            <w:tcW w:w="1712" w:type="dxa"/>
            <w:tcBorders>
              <w:top w:val="single" w:color="auto" w:sz="4" w:space="0"/>
              <w:left w:val="single" w:color="auto" w:sz="4" w:space="0"/>
              <w:bottom w:val="single" w:color="auto" w:sz="4" w:space="0"/>
              <w:right w:val="single" w:color="auto" w:sz="4" w:space="0"/>
            </w:tcBorders>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w:t>
            </w:r>
          </w:p>
        </w:tc>
        <w:tc>
          <w:tcPr>
            <w:tcW w:w="1649" w:type="dxa"/>
            <w:gridSpan w:val="2"/>
            <w:tcBorders>
              <w:top w:val="single" w:color="auto" w:sz="4" w:space="0"/>
              <w:left w:val="single" w:color="auto" w:sz="4" w:space="0"/>
              <w:bottom w:val="single" w:color="auto" w:sz="4" w:space="0"/>
              <w:right w:val="single" w:color="auto" w:sz="4" w:space="0"/>
            </w:tcBorders>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6.25</w:t>
            </w:r>
          </w:p>
        </w:tc>
      </w:tr>
      <w:tr>
        <w:tblPrEx>
          <w:tblLayout w:type="fixed"/>
          <w:tblCellMar>
            <w:top w:w="0" w:type="dxa"/>
            <w:left w:w="108" w:type="dxa"/>
            <w:bottom w:w="0" w:type="dxa"/>
            <w:right w:w="108" w:type="dxa"/>
          </w:tblCellMar>
        </w:tblPrEx>
        <w:trPr>
          <w:trHeight w:val="340" w:hRule="atLeast"/>
        </w:trPr>
        <w:tc>
          <w:tcPr>
            <w:tcW w:w="925" w:type="dxa"/>
            <w:tcBorders>
              <w:top w:val="single" w:color="auto" w:sz="4" w:space="0"/>
              <w:left w:val="single" w:color="auto" w:sz="4" w:space="0"/>
              <w:bottom w:val="single" w:color="auto" w:sz="4" w:space="0"/>
              <w:right w:val="single" w:color="auto" w:sz="4" w:space="0"/>
            </w:tcBorders>
            <w:vAlign w:val="bottom"/>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8</w:t>
            </w:r>
          </w:p>
        </w:tc>
        <w:tc>
          <w:tcPr>
            <w:tcW w:w="4473"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村民满意度</w:t>
            </w:r>
          </w:p>
        </w:tc>
        <w:tc>
          <w:tcPr>
            <w:tcW w:w="1687" w:type="dxa"/>
            <w:tcBorders>
              <w:top w:val="single" w:color="auto" w:sz="4" w:space="0"/>
              <w:left w:val="single" w:color="auto" w:sz="4" w:space="0"/>
              <w:bottom w:val="single" w:color="auto" w:sz="4" w:space="0"/>
              <w:right w:val="single" w:color="auto" w:sz="4" w:space="0"/>
            </w:tcBorders>
            <w:vAlign w:val="bottom"/>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w:t>
            </w:r>
          </w:p>
        </w:tc>
        <w:tc>
          <w:tcPr>
            <w:tcW w:w="1874" w:type="dxa"/>
            <w:tcBorders>
              <w:top w:val="single" w:color="auto" w:sz="4" w:space="0"/>
              <w:left w:val="single" w:color="auto" w:sz="4" w:space="0"/>
              <w:bottom w:val="single" w:color="auto" w:sz="4" w:space="0"/>
              <w:right w:val="single" w:color="auto" w:sz="4" w:space="0"/>
            </w:tcBorders>
            <w:vAlign w:val="bottom"/>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90</w:t>
            </w:r>
          </w:p>
        </w:tc>
        <w:tc>
          <w:tcPr>
            <w:tcW w:w="1712" w:type="dxa"/>
            <w:tcBorders>
              <w:top w:val="single" w:color="auto" w:sz="4" w:space="0"/>
              <w:left w:val="single" w:color="auto" w:sz="4" w:space="0"/>
              <w:bottom w:val="single" w:color="auto" w:sz="4" w:space="0"/>
              <w:right w:val="single" w:color="auto" w:sz="4" w:space="0"/>
            </w:tcBorders>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w:t>
            </w:r>
          </w:p>
        </w:tc>
        <w:tc>
          <w:tcPr>
            <w:tcW w:w="1649" w:type="dxa"/>
            <w:gridSpan w:val="2"/>
            <w:tcBorders>
              <w:top w:val="single" w:color="auto" w:sz="4" w:space="0"/>
              <w:left w:val="single" w:color="auto" w:sz="4" w:space="0"/>
              <w:bottom w:val="single" w:color="auto" w:sz="4" w:space="0"/>
              <w:right w:val="single" w:color="auto" w:sz="4" w:space="0"/>
            </w:tcBorders>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6.25</w:t>
            </w:r>
          </w:p>
        </w:tc>
      </w:tr>
      <w:tr>
        <w:tblPrEx>
          <w:tblLayout w:type="fixed"/>
          <w:tblCellMar>
            <w:top w:w="0" w:type="dxa"/>
            <w:left w:w="108" w:type="dxa"/>
            <w:bottom w:w="0" w:type="dxa"/>
            <w:right w:w="108" w:type="dxa"/>
          </w:tblCellMar>
        </w:tblPrEx>
        <w:trPr>
          <w:trHeight w:val="340" w:hRule="atLeast"/>
        </w:trPr>
        <w:tc>
          <w:tcPr>
            <w:tcW w:w="925" w:type="dxa"/>
            <w:tcBorders>
              <w:top w:val="single" w:color="auto" w:sz="4" w:space="0"/>
              <w:left w:val="single" w:color="auto" w:sz="4" w:space="0"/>
              <w:bottom w:val="single" w:color="auto" w:sz="4" w:space="0"/>
              <w:right w:val="single" w:color="auto" w:sz="4" w:space="0"/>
            </w:tcBorders>
            <w:vAlign w:val="bottom"/>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9</w:t>
            </w:r>
          </w:p>
        </w:tc>
        <w:tc>
          <w:tcPr>
            <w:tcW w:w="4473"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合法性审核率</w:t>
            </w:r>
          </w:p>
        </w:tc>
        <w:tc>
          <w:tcPr>
            <w:tcW w:w="1687" w:type="dxa"/>
            <w:tcBorders>
              <w:top w:val="single" w:color="auto" w:sz="4" w:space="0"/>
              <w:left w:val="single" w:color="auto" w:sz="4" w:space="0"/>
              <w:bottom w:val="single" w:color="auto" w:sz="4" w:space="0"/>
              <w:right w:val="single" w:color="auto" w:sz="4" w:space="0"/>
            </w:tcBorders>
            <w:vAlign w:val="bottom"/>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w:t>
            </w:r>
          </w:p>
        </w:tc>
        <w:tc>
          <w:tcPr>
            <w:tcW w:w="1874" w:type="dxa"/>
            <w:tcBorders>
              <w:top w:val="single" w:color="auto" w:sz="4" w:space="0"/>
              <w:left w:val="single" w:color="auto" w:sz="4" w:space="0"/>
              <w:bottom w:val="single" w:color="auto" w:sz="4" w:space="0"/>
              <w:right w:val="single" w:color="auto" w:sz="4" w:space="0"/>
            </w:tcBorders>
            <w:vAlign w:val="bottom"/>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100</w:t>
            </w:r>
          </w:p>
        </w:tc>
        <w:tc>
          <w:tcPr>
            <w:tcW w:w="1712" w:type="dxa"/>
            <w:tcBorders>
              <w:top w:val="single" w:color="auto" w:sz="4" w:space="0"/>
              <w:left w:val="single" w:color="auto" w:sz="4" w:space="0"/>
              <w:bottom w:val="single" w:color="auto" w:sz="4" w:space="0"/>
              <w:right w:val="single" w:color="auto" w:sz="4" w:space="0"/>
            </w:tcBorders>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w:t>
            </w:r>
          </w:p>
        </w:tc>
        <w:tc>
          <w:tcPr>
            <w:tcW w:w="1649" w:type="dxa"/>
            <w:gridSpan w:val="2"/>
            <w:tcBorders>
              <w:top w:val="single" w:color="auto" w:sz="4" w:space="0"/>
              <w:left w:val="single" w:color="auto" w:sz="4" w:space="0"/>
              <w:bottom w:val="single" w:color="auto" w:sz="4" w:space="0"/>
              <w:right w:val="single" w:color="auto" w:sz="4" w:space="0"/>
            </w:tcBorders>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6.25</w:t>
            </w:r>
          </w:p>
        </w:tc>
      </w:tr>
      <w:tr>
        <w:tblPrEx>
          <w:tblLayout w:type="fixed"/>
          <w:tblCellMar>
            <w:top w:w="0" w:type="dxa"/>
            <w:left w:w="108" w:type="dxa"/>
            <w:bottom w:w="0" w:type="dxa"/>
            <w:right w:w="108" w:type="dxa"/>
          </w:tblCellMar>
        </w:tblPrEx>
        <w:trPr>
          <w:trHeight w:val="999" w:hRule="atLeast"/>
        </w:trPr>
        <w:tc>
          <w:tcPr>
            <w:tcW w:w="925" w:type="dxa"/>
            <w:tcBorders>
              <w:top w:val="single" w:color="auto" w:sz="4" w:space="0"/>
              <w:left w:val="single" w:color="auto" w:sz="4" w:space="0"/>
              <w:bottom w:val="single" w:color="auto" w:sz="4" w:space="0"/>
              <w:right w:val="single" w:color="auto" w:sz="4" w:space="0"/>
            </w:tcBorders>
            <w:vAlign w:val="bottom"/>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10</w:t>
            </w:r>
          </w:p>
        </w:tc>
        <w:tc>
          <w:tcPr>
            <w:tcW w:w="4473"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文件制定规范</w:t>
            </w:r>
          </w:p>
        </w:tc>
        <w:tc>
          <w:tcPr>
            <w:tcW w:w="1687" w:type="dxa"/>
            <w:tcBorders>
              <w:top w:val="single" w:color="auto" w:sz="4" w:space="0"/>
              <w:left w:val="single" w:color="auto" w:sz="4" w:space="0"/>
              <w:bottom w:val="single" w:color="auto" w:sz="4" w:space="0"/>
              <w:right w:val="single" w:color="auto" w:sz="4" w:space="0"/>
            </w:tcBorders>
            <w:vAlign w:val="bottom"/>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定性</w:t>
            </w:r>
          </w:p>
        </w:tc>
        <w:tc>
          <w:tcPr>
            <w:tcW w:w="1874" w:type="dxa"/>
            <w:tcBorders>
              <w:top w:val="single" w:color="auto" w:sz="4" w:space="0"/>
              <w:left w:val="single" w:color="auto" w:sz="4" w:space="0"/>
              <w:bottom w:val="single" w:color="auto" w:sz="4" w:space="0"/>
              <w:right w:val="single" w:color="auto" w:sz="4" w:space="0"/>
            </w:tcBorders>
            <w:vAlign w:val="bottom"/>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文件制定规范、法治化水平提升</w:t>
            </w:r>
          </w:p>
        </w:tc>
        <w:tc>
          <w:tcPr>
            <w:tcW w:w="1712" w:type="dxa"/>
            <w:tcBorders>
              <w:top w:val="single" w:color="auto" w:sz="4" w:space="0"/>
              <w:left w:val="single" w:color="auto" w:sz="4" w:space="0"/>
              <w:bottom w:val="single" w:color="auto" w:sz="4" w:space="0"/>
              <w:right w:val="single" w:color="auto" w:sz="4" w:space="0"/>
            </w:tcBorders>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w:t>
            </w:r>
          </w:p>
        </w:tc>
        <w:tc>
          <w:tcPr>
            <w:tcW w:w="1649" w:type="dxa"/>
            <w:gridSpan w:val="2"/>
            <w:tcBorders>
              <w:top w:val="single" w:color="auto" w:sz="4" w:space="0"/>
              <w:left w:val="single" w:color="auto" w:sz="4" w:space="0"/>
              <w:bottom w:val="single" w:color="auto" w:sz="4" w:space="0"/>
              <w:right w:val="single" w:color="auto" w:sz="4" w:space="0"/>
            </w:tcBorders>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6.25</w:t>
            </w:r>
          </w:p>
        </w:tc>
      </w:tr>
      <w:tr>
        <w:tblPrEx>
          <w:tblLayout w:type="fixed"/>
          <w:tblCellMar>
            <w:top w:w="0" w:type="dxa"/>
            <w:left w:w="108" w:type="dxa"/>
            <w:bottom w:w="0" w:type="dxa"/>
            <w:right w:w="108" w:type="dxa"/>
          </w:tblCellMar>
        </w:tblPrEx>
        <w:trPr>
          <w:trHeight w:val="999" w:hRule="atLeast"/>
        </w:trPr>
        <w:tc>
          <w:tcPr>
            <w:tcW w:w="925" w:type="dxa"/>
            <w:tcBorders>
              <w:top w:val="single" w:color="auto" w:sz="4" w:space="0"/>
              <w:left w:val="single" w:color="auto" w:sz="4" w:space="0"/>
              <w:bottom w:val="single" w:color="auto" w:sz="4" w:space="0"/>
              <w:right w:val="single" w:color="auto" w:sz="4" w:space="0"/>
            </w:tcBorders>
            <w:vAlign w:val="bottom"/>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11</w:t>
            </w:r>
          </w:p>
        </w:tc>
        <w:tc>
          <w:tcPr>
            <w:tcW w:w="4473"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依法行政水平提升</w:t>
            </w:r>
          </w:p>
        </w:tc>
        <w:tc>
          <w:tcPr>
            <w:tcW w:w="1687" w:type="dxa"/>
            <w:tcBorders>
              <w:top w:val="single" w:color="auto" w:sz="4" w:space="0"/>
              <w:left w:val="single" w:color="auto" w:sz="4" w:space="0"/>
              <w:bottom w:val="single" w:color="auto" w:sz="4" w:space="0"/>
              <w:right w:val="single" w:color="auto" w:sz="4" w:space="0"/>
            </w:tcBorders>
            <w:vAlign w:val="bottom"/>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定性</w:t>
            </w:r>
          </w:p>
        </w:tc>
        <w:tc>
          <w:tcPr>
            <w:tcW w:w="1874" w:type="dxa"/>
            <w:tcBorders>
              <w:top w:val="single" w:color="auto" w:sz="4" w:space="0"/>
              <w:left w:val="single" w:color="auto" w:sz="4" w:space="0"/>
              <w:bottom w:val="single" w:color="auto" w:sz="4" w:space="0"/>
              <w:right w:val="single" w:color="auto" w:sz="4" w:space="0"/>
            </w:tcBorders>
            <w:vAlign w:val="bottom"/>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加强法治政府建设，提高全区依法行政水平。</w:t>
            </w:r>
          </w:p>
        </w:tc>
        <w:tc>
          <w:tcPr>
            <w:tcW w:w="1712" w:type="dxa"/>
            <w:tcBorders>
              <w:top w:val="single" w:color="auto" w:sz="4" w:space="0"/>
              <w:left w:val="single" w:color="auto" w:sz="4" w:space="0"/>
              <w:bottom w:val="single" w:color="auto" w:sz="4" w:space="0"/>
              <w:right w:val="single" w:color="auto" w:sz="4" w:space="0"/>
            </w:tcBorders>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w:t>
            </w:r>
          </w:p>
        </w:tc>
        <w:tc>
          <w:tcPr>
            <w:tcW w:w="1649" w:type="dxa"/>
            <w:gridSpan w:val="2"/>
            <w:tcBorders>
              <w:top w:val="single" w:color="auto" w:sz="4" w:space="0"/>
              <w:left w:val="single" w:color="auto" w:sz="4" w:space="0"/>
              <w:bottom w:val="single" w:color="auto" w:sz="4" w:space="0"/>
              <w:right w:val="single" w:color="auto" w:sz="4" w:space="0"/>
            </w:tcBorders>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6.25</w:t>
            </w:r>
          </w:p>
        </w:tc>
      </w:tr>
      <w:tr>
        <w:tblPrEx>
          <w:tblLayout w:type="fixed"/>
          <w:tblCellMar>
            <w:top w:w="0" w:type="dxa"/>
            <w:left w:w="108" w:type="dxa"/>
            <w:bottom w:w="0" w:type="dxa"/>
            <w:right w:w="108" w:type="dxa"/>
          </w:tblCellMar>
        </w:tblPrEx>
        <w:trPr>
          <w:trHeight w:val="999" w:hRule="atLeast"/>
        </w:trPr>
        <w:tc>
          <w:tcPr>
            <w:tcW w:w="925" w:type="dxa"/>
            <w:tcBorders>
              <w:top w:val="single" w:color="auto" w:sz="4" w:space="0"/>
              <w:left w:val="single" w:color="auto" w:sz="4" w:space="0"/>
              <w:bottom w:val="single" w:color="auto" w:sz="4" w:space="0"/>
              <w:right w:val="single" w:color="auto" w:sz="4" w:space="0"/>
            </w:tcBorders>
            <w:vAlign w:val="bottom"/>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12</w:t>
            </w:r>
          </w:p>
        </w:tc>
        <w:tc>
          <w:tcPr>
            <w:tcW w:w="4473"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专家律师法律顾问团</w:t>
            </w:r>
          </w:p>
        </w:tc>
        <w:tc>
          <w:tcPr>
            <w:tcW w:w="1687" w:type="dxa"/>
            <w:tcBorders>
              <w:top w:val="single" w:color="auto" w:sz="4" w:space="0"/>
              <w:left w:val="single" w:color="auto" w:sz="4" w:space="0"/>
              <w:bottom w:val="single" w:color="auto" w:sz="4" w:space="0"/>
              <w:right w:val="single" w:color="auto" w:sz="4" w:space="0"/>
            </w:tcBorders>
            <w:vAlign w:val="bottom"/>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定性</w:t>
            </w:r>
          </w:p>
        </w:tc>
        <w:tc>
          <w:tcPr>
            <w:tcW w:w="1874" w:type="dxa"/>
            <w:tcBorders>
              <w:top w:val="single" w:color="auto" w:sz="4" w:space="0"/>
              <w:left w:val="single" w:color="auto" w:sz="4" w:space="0"/>
              <w:bottom w:val="single" w:color="auto" w:sz="4" w:space="0"/>
              <w:right w:val="single" w:color="auto" w:sz="4" w:space="0"/>
            </w:tcBorders>
            <w:vAlign w:val="bottom"/>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为门头沟区法治建设提供智力支撑</w:t>
            </w:r>
          </w:p>
        </w:tc>
        <w:tc>
          <w:tcPr>
            <w:tcW w:w="1712" w:type="dxa"/>
            <w:tcBorders>
              <w:top w:val="single" w:color="auto" w:sz="4" w:space="0"/>
              <w:left w:val="single" w:color="auto" w:sz="4" w:space="0"/>
              <w:bottom w:val="single" w:color="auto" w:sz="4" w:space="0"/>
              <w:right w:val="single" w:color="auto" w:sz="4" w:space="0"/>
            </w:tcBorders>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w:t>
            </w:r>
          </w:p>
        </w:tc>
        <w:tc>
          <w:tcPr>
            <w:tcW w:w="1649" w:type="dxa"/>
            <w:gridSpan w:val="2"/>
            <w:tcBorders>
              <w:top w:val="single" w:color="auto" w:sz="4" w:space="0"/>
              <w:left w:val="single" w:color="auto" w:sz="4" w:space="0"/>
              <w:bottom w:val="single" w:color="auto" w:sz="4" w:space="0"/>
              <w:right w:val="single" w:color="auto" w:sz="4" w:space="0"/>
            </w:tcBorders>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6.25</w:t>
            </w:r>
          </w:p>
        </w:tc>
      </w:tr>
      <w:tr>
        <w:tblPrEx>
          <w:tblLayout w:type="fixed"/>
          <w:tblCellMar>
            <w:top w:w="0" w:type="dxa"/>
            <w:left w:w="108" w:type="dxa"/>
            <w:bottom w:w="0" w:type="dxa"/>
            <w:right w:w="108" w:type="dxa"/>
          </w:tblCellMar>
        </w:tblPrEx>
        <w:trPr>
          <w:trHeight w:val="669" w:hRule="atLeast"/>
        </w:trPr>
        <w:tc>
          <w:tcPr>
            <w:tcW w:w="925" w:type="dxa"/>
            <w:tcBorders>
              <w:top w:val="single" w:color="auto" w:sz="4" w:space="0"/>
              <w:left w:val="single" w:color="auto" w:sz="4" w:space="0"/>
              <w:bottom w:val="single" w:color="auto" w:sz="4" w:space="0"/>
              <w:right w:val="single" w:color="auto" w:sz="4" w:space="0"/>
            </w:tcBorders>
            <w:vAlign w:val="bottom"/>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13</w:t>
            </w:r>
          </w:p>
        </w:tc>
        <w:tc>
          <w:tcPr>
            <w:tcW w:w="4473"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完成案件全部诉讼审理程序，代为提交法律文件、出庭应诉。</w:t>
            </w:r>
          </w:p>
        </w:tc>
        <w:tc>
          <w:tcPr>
            <w:tcW w:w="1687" w:type="dxa"/>
            <w:tcBorders>
              <w:top w:val="single" w:color="auto" w:sz="4" w:space="0"/>
              <w:left w:val="single" w:color="auto" w:sz="4" w:space="0"/>
              <w:bottom w:val="single" w:color="auto" w:sz="4" w:space="0"/>
              <w:right w:val="single" w:color="auto" w:sz="4" w:space="0"/>
            </w:tcBorders>
            <w:vAlign w:val="bottom"/>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定性</w:t>
            </w:r>
          </w:p>
        </w:tc>
        <w:tc>
          <w:tcPr>
            <w:tcW w:w="1874" w:type="dxa"/>
            <w:tcBorders>
              <w:top w:val="single" w:color="auto" w:sz="4" w:space="0"/>
              <w:left w:val="single" w:color="auto" w:sz="4" w:space="0"/>
              <w:bottom w:val="single" w:color="auto" w:sz="4" w:space="0"/>
              <w:right w:val="single" w:color="auto" w:sz="4" w:space="0"/>
            </w:tcBorders>
            <w:vAlign w:val="bottom"/>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优良</w:t>
            </w:r>
          </w:p>
        </w:tc>
        <w:tc>
          <w:tcPr>
            <w:tcW w:w="1712" w:type="dxa"/>
            <w:tcBorders>
              <w:top w:val="single" w:color="auto" w:sz="4" w:space="0"/>
              <w:left w:val="single" w:color="auto" w:sz="4" w:space="0"/>
              <w:bottom w:val="single" w:color="auto" w:sz="4" w:space="0"/>
              <w:right w:val="single" w:color="auto" w:sz="4" w:space="0"/>
            </w:tcBorders>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w:t>
            </w:r>
          </w:p>
        </w:tc>
        <w:tc>
          <w:tcPr>
            <w:tcW w:w="1649" w:type="dxa"/>
            <w:gridSpan w:val="2"/>
            <w:tcBorders>
              <w:top w:val="single" w:color="auto" w:sz="4" w:space="0"/>
              <w:left w:val="single" w:color="auto" w:sz="4" w:space="0"/>
              <w:bottom w:val="single" w:color="auto" w:sz="4" w:space="0"/>
              <w:right w:val="single" w:color="auto" w:sz="4" w:space="0"/>
            </w:tcBorders>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6.25</w:t>
            </w:r>
          </w:p>
        </w:tc>
      </w:tr>
      <w:tr>
        <w:tblPrEx>
          <w:tblLayout w:type="fixed"/>
          <w:tblCellMar>
            <w:top w:w="0" w:type="dxa"/>
            <w:left w:w="108" w:type="dxa"/>
            <w:bottom w:w="0" w:type="dxa"/>
            <w:right w:w="108" w:type="dxa"/>
          </w:tblCellMar>
        </w:tblPrEx>
        <w:trPr>
          <w:trHeight w:val="4626" w:hRule="atLeast"/>
        </w:trPr>
        <w:tc>
          <w:tcPr>
            <w:tcW w:w="925" w:type="dxa"/>
            <w:tcBorders>
              <w:top w:val="single" w:color="auto" w:sz="4" w:space="0"/>
              <w:left w:val="single" w:color="auto" w:sz="4" w:space="0"/>
              <w:bottom w:val="single" w:color="auto" w:sz="4" w:space="0"/>
              <w:right w:val="single" w:color="auto" w:sz="4" w:space="0"/>
            </w:tcBorders>
            <w:vAlign w:val="bottom"/>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14</w:t>
            </w:r>
          </w:p>
        </w:tc>
        <w:tc>
          <w:tcPr>
            <w:tcW w:w="4473"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开展社区矫正和安置帮教教育帮扶工作，维护社会稳定。</w:t>
            </w:r>
          </w:p>
        </w:tc>
        <w:tc>
          <w:tcPr>
            <w:tcW w:w="1687" w:type="dxa"/>
            <w:tcBorders>
              <w:top w:val="single" w:color="auto" w:sz="4" w:space="0"/>
              <w:left w:val="single" w:color="auto" w:sz="4" w:space="0"/>
              <w:bottom w:val="single" w:color="auto" w:sz="4" w:space="0"/>
              <w:right w:val="single" w:color="auto" w:sz="4" w:space="0"/>
            </w:tcBorders>
            <w:vAlign w:val="bottom"/>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定性</w:t>
            </w:r>
          </w:p>
        </w:tc>
        <w:tc>
          <w:tcPr>
            <w:tcW w:w="1874" w:type="dxa"/>
            <w:tcBorders>
              <w:top w:val="single" w:color="auto" w:sz="4" w:space="0"/>
              <w:left w:val="single" w:color="auto" w:sz="4" w:space="0"/>
              <w:bottom w:val="single" w:color="auto" w:sz="4" w:space="0"/>
              <w:right w:val="single" w:color="auto" w:sz="4" w:space="0"/>
            </w:tcBorders>
            <w:vAlign w:val="bottom"/>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组织居民委员会、村民委员会和其他社会组织依法协助社区矫正机构开展风险评估、心理矫正、技能培训、公益活动以及对对有特殊困难的社区矫正对象进行必要的帮扶活动，最大限度的将社区矫正对象教育矫正成为守法公民。</w:t>
            </w:r>
          </w:p>
        </w:tc>
        <w:tc>
          <w:tcPr>
            <w:tcW w:w="1712" w:type="dxa"/>
            <w:tcBorders>
              <w:top w:val="single" w:color="auto" w:sz="4" w:space="0"/>
              <w:left w:val="single" w:color="auto" w:sz="4" w:space="0"/>
              <w:bottom w:val="single" w:color="auto" w:sz="4" w:space="0"/>
              <w:right w:val="single" w:color="auto" w:sz="4" w:space="0"/>
            </w:tcBorders>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w:t>
            </w:r>
          </w:p>
        </w:tc>
        <w:tc>
          <w:tcPr>
            <w:tcW w:w="1649" w:type="dxa"/>
            <w:gridSpan w:val="2"/>
            <w:tcBorders>
              <w:top w:val="single" w:color="auto" w:sz="4" w:space="0"/>
              <w:left w:val="single" w:color="auto" w:sz="4" w:space="0"/>
              <w:bottom w:val="single" w:color="auto" w:sz="4" w:space="0"/>
              <w:right w:val="single" w:color="auto" w:sz="4" w:space="0"/>
            </w:tcBorders>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6.25</w:t>
            </w:r>
          </w:p>
        </w:tc>
      </w:tr>
      <w:tr>
        <w:tblPrEx>
          <w:tblLayout w:type="fixed"/>
          <w:tblCellMar>
            <w:top w:w="0" w:type="dxa"/>
            <w:left w:w="108" w:type="dxa"/>
            <w:bottom w:w="0" w:type="dxa"/>
            <w:right w:w="108" w:type="dxa"/>
          </w:tblCellMar>
        </w:tblPrEx>
        <w:trPr>
          <w:trHeight w:val="669" w:hRule="atLeast"/>
        </w:trPr>
        <w:tc>
          <w:tcPr>
            <w:tcW w:w="925" w:type="dxa"/>
            <w:tcBorders>
              <w:top w:val="single" w:color="auto" w:sz="4" w:space="0"/>
              <w:left w:val="single" w:color="auto" w:sz="4" w:space="0"/>
              <w:bottom w:val="single" w:color="auto" w:sz="4" w:space="0"/>
              <w:right w:val="single" w:color="auto" w:sz="4" w:space="0"/>
            </w:tcBorders>
            <w:vAlign w:val="bottom"/>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15</w:t>
            </w:r>
          </w:p>
        </w:tc>
        <w:tc>
          <w:tcPr>
            <w:tcW w:w="4473"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租用房屋质量要求</w:t>
            </w:r>
          </w:p>
        </w:tc>
        <w:tc>
          <w:tcPr>
            <w:tcW w:w="1687" w:type="dxa"/>
            <w:tcBorders>
              <w:top w:val="single" w:color="auto" w:sz="4" w:space="0"/>
              <w:left w:val="single" w:color="auto" w:sz="4" w:space="0"/>
              <w:bottom w:val="single" w:color="auto" w:sz="4" w:space="0"/>
              <w:right w:val="single" w:color="auto" w:sz="4" w:space="0"/>
            </w:tcBorders>
            <w:vAlign w:val="bottom"/>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定性</w:t>
            </w:r>
          </w:p>
        </w:tc>
        <w:tc>
          <w:tcPr>
            <w:tcW w:w="1874" w:type="dxa"/>
            <w:tcBorders>
              <w:top w:val="single" w:color="auto" w:sz="4" w:space="0"/>
              <w:left w:val="single" w:color="auto" w:sz="4" w:space="0"/>
              <w:bottom w:val="single" w:color="auto" w:sz="4" w:space="0"/>
              <w:right w:val="single" w:color="auto" w:sz="4" w:space="0"/>
            </w:tcBorders>
            <w:vAlign w:val="bottom"/>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达到文件及合同要求</w:t>
            </w:r>
          </w:p>
        </w:tc>
        <w:tc>
          <w:tcPr>
            <w:tcW w:w="1712" w:type="dxa"/>
            <w:tcBorders>
              <w:top w:val="single" w:color="auto" w:sz="4" w:space="0"/>
              <w:left w:val="single" w:color="auto" w:sz="4" w:space="0"/>
              <w:bottom w:val="single" w:color="auto" w:sz="4" w:space="0"/>
              <w:right w:val="single" w:color="auto" w:sz="4" w:space="0"/>
            </w:tcBorders>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w:t>
            </w:r>
          </w:p>
        </w:tc>
        <w:tc>
          <w:tcPr>
            <w:tcW w:w="1649" w:type="dxa"/>
            <w:gridSpan w:val="2"/>
            <w:tcBorders>
              <w:top w:val="single" w:color="auto" w:sz="4" w:space="0"/>
              <w:left w:val="single" w:color="auto" w:sz="4" w:space="0"/>
              <w:bottom w:val="single" w:color="auto" w:sz="4" w:space="0"/>
              <w:right w:val="single" w:color="auto" w:sz="4" w:space="0"/>
            </w:tcBorders>
          </w:tcPr>
          <w:p>
            <w:pPr>
              <w:widowControl/>
              <w:jc w:val="left"/>
              <w:rPr>
                <w:rFonts w:hint="default"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4.17</w:t>
            </w:r>
          </w:p>
        </w:tc>
      </w:tr>
      <w:tr>
        <w:tblPrEx>
          <w:tblLayout w:type="fixed"/>
          <w:tblCellMar>
            <w:top w:w="0" w:type="dxa"/>
            <w:left w:w="108" w:type="dxa"/>
            <w:bottom w:w="0" w:type="dxa"/>
            <w:right w:w="108" w:type="dxa"/>
          </w:tblCellMar>
        </w:tblPrEx>
        <w:trPr>
          <w:trHeight w:val="340" w:hRule="atLeast"/>
        </w:trPr>
        <w:tc>
          <w:tcPr>
            <w:tcW w:w="925" w:type="dxa"/>
            <w:tcBorders>
              <w:top w:val="single" w:color="auto" w:sz="4" w:space="0"/>
              <w:left w:val="single" w:color="auto" w:sz="4" w:space="0"/>
              <w:bottom w:val="single" w:color="auto" w:sz="4" w:space="0"/>
              <w:right w:val="single" w:color="auto" w:sz="4" w:space="0"/>
            </w:tcBorders>
            <w:vAlign w:val="bottom"/>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16</w:t>
            </w:r>
          </w:p>
        </w:tc>
        <w:tc>
          <w:tcPr>
            <w:tcW w:w="4473"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项目时效</w:t>
            </w:r>
          </w:p>
        </w:tc>
        <w:tc>
          <w:tcPr>
            <w:tcW w:w="1687" w:type="dxa"/>
            <w:tcBorders>
              <w:top w:val="single" w:color="auto" w:sz="4" w:space="0"/>
              <w:left w:val="single" w:color="auto" w:sz="4" w:space="0"/>
              <w:bottom w:val="single" w:color="auto" w:sz="4" w:space="0"/>
              <w:right w:val="single" w:color="auto" w:sz="4" w:space="0"/>
            </w:tcBorders>
            <w:vAlign w:val="bottom"/>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w:t>
            </w:r>
          </w:p>
        </w:tc>
        <w:tc>
          <w:tcPr>
            <w:tcW w:w="1874" w:type="dxa"/>
            <w:tcBorders>
              <w:top w:val="single" w:color="auto" w:sz="4" w:space="0"/>
              <w:left w:val="single" w:color="auto" w:sz="4" w:space="0"/>
              <w:bottom w:val="single" w:color="auto" w:sz="4" w:space="0"/>
              <w:right w:val="single" w:color="auto" w:sz="4" w:space="0"/>
            </w:tcBorders>
            <w:vAlign w:val="bottom"/>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2024</w:t>
            </w:r>
          </w:p>
        </w:tc>
        <w:tc>
          <w:tcPr>
            <w:tcW w:w="1712" w:type="dxa"/>
            <w:tcBorders>
              <w:top w:val="single" w:color="auto" w:sz="4" w:space="0"/>
              <w:left w:val="single" w:color="auto" w:sz="4" w:space="0"/>
              <w:bottom w:val="single" w:color="auto" w:sz="4" w:space="0"/>
              <w:right w:val="single" w:color="auto" w:sz="4" w:space="0"/>
            </w:tcBorders>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年</w:t>
            </w:r>
          </w:p>
        </w:tc>
        <w:tc>
          <w:tcPr>
            <w:tcW w:w="1649" w:type="dxa"/>
            <w:gridSpan w:val="2"/>
            <w:tcBorders>
              <w:top w:val="single" w:color="auto" w:sz="4" w:space="0"/>
              <w:left w:val="single" w:color="auto" w:sz="4" w:space="0"/>
              <w:bottom w:val="single" w:color="auto" w:sz="4" w:space="0"/>
              <w:right w:val="single" w:color="auto" w:sz="4" w:space="0"/>
            </w:tcBorders>
          </w:tcPr>
          <w:p>
            <w:pPr>
              <w:widowControl/>
              <w:jc w:val="left"/>
              <w:rPr>
                <w:rFonts w:hint="default"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4.17</w:t>
            </w:r>
          </w:p>
        </w:tc>
      </w:tr>
      <w:tr>
        <w:tblPrEx>
          <w:tblLayout w:type="fixed"/>
          <w:tblCellMar>
            <w:top w:w="0" w:type="dxa"/>
            <w:left w:w="108" w:type="dxa"/>
            <w:bottom w:w="0" w:type="dxa"/>
            <w:right w:w="108" w:type="dxa"/>
          </w:tblCellMar>
        </w:tblPrEx>
        <w:trPr>
          <w:trHeight w:val="350" w:hRule="atLeast"/>
        </w:trPr>
        <w:tc>
          <w:tcPr>
            <w:tcW w:w="925" w:type="dxa"/>
            <w:tcBorders>
              <w:top w:val="single" w:color="auto" w:sz="4" w:space="0"/>
              <w:left w:val="single" w:color="auto" w:sz="4" w:space="0"/>
              <w:bottom w:val="single" w:color="auto" w:sz="4" w:space="0"/>
              <w:right w:val="single" w:color="auto" w:sz="4" w:space="0"/>
            </w:tcBorders>
            <w:vAlign w:val="bottom"/>
          </w:tcPr>
          <w:p>
            <w:pPr>
              <w:widowControl/>
              <w:jc w:val="left"/>
              <w:rPr>
                <w:rFonts w:hint="default"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17</w:t>
            </w:r>
          </w:p>
        </w:tc>
        <w:tc>
          <w:tcPr>
            <w:tcW w:w="4473" w:type="dxa"/>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项目控制数</w:t>
            </w:r>
          </w:p>
        </w:tc>
        <w:tc>
          <w:tcPr>
            <w:tcW w:w="1687" w:type="dxa"/>
            <w:tcBorders>
              <w:top w:val="single" w:color="auto" w:sz="4" w:space="0"/>
              <w:left w:val="single" w:color="auto" w:sz="4" w:space="0"/>
              <w:bottom w:val="single" w:color="auto" w:sz="4" w:space="0"/>
              <w:right w:val="single" w:color="auto" w:sz="4" w:space="0"/>
            </w:tcBorders>
            <w:vAlign w:val="bottom"/>
          </w:tcPr>
          <w:p>
            <w:pPr>
              <w:widowControl/>
              <w:jc w:val="left"/>
              <w:rPr>
                <w:rFonts w:hint="default"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小于等于</w:t>
            </w:r>
          </w:p>
        </w:tc>
        <w:tc>
          <w:tcPr>
            <w:tcW w:w="1874" w:type="dxa"/>
            <w:tcBorders>
              <w:top w:val="single" w:color="auto" w:sz="4" w:space="0"/>
              <w:left w:val="single" w:color="auto" w:sz="4" w:space="0"/>
              <w:bottom w:val="single" w:color="auto" w:sz="4" w:space="0"/>
              <w:right w:val="single" w:color="auto" w:sz="4" w:space="0"/>
            </w:tcBorders>
            <w:shd w:val="clear" w:color="auto" w:fill="auto"/>
            <w:vAlign w:val="bottom"/>
          </w:tcPr>
          <w:p>
            <w:pPr>
              <w:widowControl/>
              <w:jc w:val="left"/>
              <w:rPr>
                <w:rFonts w:hint="default"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29,058,351.67元</w:t>
            </w:r>
          </w:p>
        </w:tc>
        <w:tc>
          <w:tcPr>
            <w:tcW w:w="1843" w:type="dxa"/>
            <w:gridSpan w:val="2"/>
            <w:tcBorders>
              <w:top w:val="single" w:color="auto" w:sz="4" w:space="0"/>
              <w:left w:val="single" w:color="auto" w:sz="4" w:space="0"/>
              <w:bottom w:val="single" w:color="auto" w:sz="4" w:space="0"/>
              <w:right w:val="single" w:color="auto" w:sz="4" w:space="0"/>
            </w:tcBorders>
            <w:shd w:val="clear" w:color="auto" w:fill="auto"/>
          </w:tcPr>
          <w:p>
            <w:pPr>
              <w:widowControl/>
              <w:jc w:val="left"/>
              <w:rPr>
                <w:rFonts w:hint="default"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28,697,910.88元</w:t>
            </w:r>
          </w:p>
        </w:tc>
        <w:tc>
          <w:tcPr>
            <w:tcW w:w="1518" w:type="dxa"/>
            <w:tcBorders>
              <w:top w:val="single" w:color="auto" w:sz="4" w:space="0"/>
              <w:left w:val="single" w:color="auto" w:sz="4" w:space="0"/>
              <w:bottom w:val="single" w:color="auto" w:sz="4" w:space="0"/>
              <w:right w:val="single" w:color="auto" w:sz="4" w:space="0"/>
            </w:tcBorders>
          </w:tcPr>
          <w:p>
            <w:pPr>
              <w:widowControl/>
              <w:jc w:val="left"/>
              <w:rPr>
                <w:rFonts w:hint="default"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4.16</w:t>
            </w:r>
          </w:p>
        </w:tc>
      </w:tr>
    </w:tbl>
    <w:p>
      <w:pPr>
        <w:spacing w:line="580" w:lineRule="exact"/>
        <w:ind w:firstLine="641"/>
        <w:rPr>
          <w:rFonts w:hint="eastAsia" w:ascii="楷体_GB2312" w:hAnsi="Calibri" w:eastAsia="楷体_GB2312"/>
          <w:b/>
          <w:sz w:val="32"/>
          <w:szCs w:val="32"/>
        </w:rPr>
      </w:pPr>
      <w:bookmarkStart w:id="8" w:name="_Toc268005761"/>
      <w:r>
        <w:rPr>
          <w:rFonts w:hint="eastAsia" w:ascii="楷体_GB2312" w:eastAsia="楷体_GB2312"/>
          <w:b/>
          <w:sz w:val="32"/>
          <w:szCs w:val="32"/>
        </w:rPr>
        <w:t>(二)当年预算执行情况</w:t>
      </w:r>
      <w:bookmarkEnd w:id="8"/>
      <w:r>
        <w:rPr>
          <w:rFonts w:hint="eastAsia" w:ascii="仿宋_GB2312" w:eastAsia="仿宋_GB2312"/>
          <w:sz w:val="32"/>
          <w:szCs w:val="32"/>
        </w:rPr>
        <w:t xml:space="preserve">  </w:t>
      </w:r>
    </w:p>
    <w:p>
      <w:pPr>
        <w:shd w:val="clear"/>
        <w:spacing w:line="520" w:lineRule="exact"/>
        <w:ind w:firstLine="640"/>
        <w:rPr>
          <w:rFonts w:ascii="仿宋_GB2312" w:eastAsia="仿宋_GB2312"/>
          <w:sz w:val="28"/>
          <w:szCs w:val="28"/>
        </w:rPr>
      </w:pPr>
      <w:r>
        <w:rPr>
          <w:rFonts w:ascii="仿宋_GB2312" w:eastAsia="仿宋_GB2312"/>
          <w:sz w:val="28"/>
          <w:szCs w:val="28"/>
        </w:rPr>
        <w:t>202</w:t>
      </w:r>
      <w:r>
        <w:rPr>
          <w:rFonts w:hint="eastAsia" w:ascii="仿宋_GB2312" w:eastAsia="仿宋_GB2312"/>
          <w:sz w:val="28"/>
          <w:szCs w:val="28"/>
        </w:rPr>
        <w:t>5年全年预算数</w:t>
      </w:r>
      <w:r>
        <w:rPr>
          <w:rFonts w:hint="eastAsia" w:ascii="仿宋_GB2312" w:eastAsia="仿宋_GB2312"/>
          <w:sz w:val="28"/>
          <w:szCs w:val="28"/>
          <w:shd w:val="clear"/>
          <w:lang w:val="en-US" w:eastAsia="zh-CN"/>
        </w:rPr>
        <w:t>29,058,351.67元</w:t>
      </w:r>
      <w:r>
        <w:rPr>
          <w:rFonts w:hint="eastAsia" w:ascii="仿宋_GB2312" w:eastAsia="仿宋_GB2312"/>
          <w:sz w:val="28"/>
          <w:szCs w:val="28"/>
        </w:rPr>
        <w:t>，其中：基本支出</w:t>
      </w:r>
      <w:r>
        <w:rPr>
          <w:rFonts w:hint="eastAsia" w:ascii="仿宋_GB2312" w:eastAsia="仿宋_GB2312"/>
          <w:sz w:val="28"/>
          <w:szCs w:val="28"/>
          <w:lang w:val="en-US" w:eastAsia="zh-CN"/>
        </w:rPr>
        <w:t>22,255,133.47</w:t>
      </w:r>
      <w:r>
        <w:rPr>
          <w:rFonts w:hint="eastAsia" w:ascii="仿宋_GB2312" w:eastAsia="仿宋_GB2312"/>
          <w:sz w:val="28"/>
          <w:szCs w:val="28"/>
        </w:rPr>
        <w:t>元，</w:t>
      </w:r>
      <w:r>
        <w:rPr>
          <w:rFonts w:hint="eastAsia" w:ascii="仿宋_GB2312" w:eastAsia="仿宋_GB2312"/>
          <w:sz w:val="28"/>
          <w:szCs w:val="28"/>
          <w:shd w:val="clear"/>
        </w:rPr>
        <w:t>占比</w:t>
      </w:r>
      <w:r>
        <w:rPr>
          <w:rFonts w:hint="eastAsia" w:ascii="仿宋_GB2312" w:eastAsia="仿宋_GB2312"/>
          <w:sz w:val="28"/>
          <w:szCs w:val="28"/>
          <w:shd w:val="clear"/>
          <w:lang w:val="en-US" w:eastAsia="zh-CN"/>
        </w:rPr>
        <w:t>76.6</w:t>
      </w:r>
      <w:r>
        <w:rPr>
          <w:rFonts w:ascii="仿宋_GB2312" w:eastAsia="仿宋_GB2312"/>
          <w:sz w:val="28"/>
          <w:szCs w:val="28"/>
          <w:shd w:val="clear"/>
        </w:rPr>
        <w:t>%</w:t>
      </w:r>
      <w:r>
        <w:rPr>
          <w:rFonts w:hint="eastAsia" w:ascii="仿宋_GB2312" w:eastAsia="仿宋_GB2312"/>
          <w:sz w:val="28"/>
          <w:szCs w:val="28"/>
          <w:shd w:val="clear"/>
        </w:rPr>
        <w:t>；</w:t>
      </w:r>
      <w:r>
        <w:rPr>
          <w:rFonts w:hint="eastAsia" w:ascii="仿宋_GB2312" w:eastAsia="仿宋_GB2312"/>
          <w:sz w:val="28"/>
          <w:szCs w:val="28"/>
        </w:rPr>
        <w:t>项目支出</w:t>
      </w:r>
      <w:r>
        <w:rPr>
          <w:rFonts w:hint="eastAsia" w:ascii="仿宋_GB2312" w:eastAsia="仿宋_GB2312"/>
          <w:sz w:val="28"/>
          <w:szCs w:val="28"/>
          <w:shd w:val="clear"/>
          <w:lang w:val="en-US" w:eastAsia="zh-CN"/>
        </w:rPr>
        <w:t>6,803,218.2</w:t>
      </w:r>
      <w:r>
        <w:rPr>
          <w:rFonts w:hint="eastAsia" w:ascii="仿宋_GB2312" w:eastAsia="仿宋_GB2312"/>
          <w:sz w:val="28"/>
          <w:szCs w:val="28"/>
          <w:shd w:val="clear"/>
        </w:rPr>
        <w:t>元，占比</w:t>
      </w:r>
      <w:r>
        <w:rPr>
          <w:rFonts w:hint="eastAsia" w:ascii="仿宋_GB2312" w:eastAsia="仿宋_GB2312"/>
          <w:sz w:val="28"/>
          <w:szCs w:val="28"/>
          <w:shd w:val="clear"/>
          <w:lang w:val="en-US" w:eastAsia="zh-CN"/>
        </w:rPr>
        <w:t>23.4</w:t>
      </w:r>
      <w:r>
        <w:rPr>
          <w:rFonts w:ascii="仿宋_GB2312" w:eastAsia="仿宋_GB2312"/>
          <w:sz w:val="28"/>
          <w:szCs w:val="28"/>
          <w:shd w:val="clear"/>
        </w:rPr>
        <w:t>%</w:t>
      </w:r>
      <w:r>
        <w:rPr>
          <w:rFonts w:hint="eastAsia" w:ascii="仿宋_GB2312" w:eastAsia="仿宋_GB2312"/>
          <w:sz w:val="28"/>
          <w:szCs w:val="28"/>
          <w:shd w:val="clear"/>
        </w:rPr>
        <w:t>；</w:t>
      </w:r>
      <w:r>
        <w:rPr>
          <w:rFonts w:hint="eastAsia" w:ascii="仿宋_GB2312" w:eastAsia="仿宋_GB2312"/>
          <w:sz w:val="28"/>
          <w:szCs w:val="28"/>
        </w:rPr>
        <w:t>其他支出</w:t>
      </w:r>
      <w:r>
        <w:rPr>
          <w:rFonts w:hint="eastAsia" w:ascii="仿宋_GB2312" w:eastAsia="仿宋_GB2312"/>
          <w:sz w:val="28"/>
          <w:szCs w:val="28"/>
          <w:lang w:val="en-US" w:eastAsia="zh-CN"/>
        </w:rPr>
        <w:t>0.00</w:t>
      </w:r>
      <w:r>
        <w:rPr>
          <w:rFonts w:hint="eastAsia" w:ascii="仿宋_GB2312" w:eastAsia="仿宋_GB2312"/>
          <w:sz w:val="28"/>
          <w:szCs w:val="28"/>
        </w:rPr>
        <w:t>万元，占比</w:t>
      </w:r>
      <w:r>
        <w:rPr>
          <w:rFonts w:hint="eastAsia" w:ascii="仿宋_GB2312" w:eastAsia="仿宋_GB2312"/>
          <w:sz w:val="28"/>
          <w:szCs w:val="28"/>
          <w:lang w:val="en-US" w:eastAsia="zh-CN"/>
        </w:rPr>
        <w:t>0.0</w:t>
      </w:r>
      <w:r>
        <w:rPr>
          <w:rFonts w:ascii="仿宋_GB2312" w:eastAsia="仿宋_GB2312"/>
          <w:sz w:val="28"/>
          <w:szCs w:val="28"/>
        </w:rPr>
        <w:t>%</w:t>
      </w:r>
      <w:r>
        <w:rPr>
          <w:rFonts w:hint="eastAsia" w:ascii="仿宋_GB2312" w:eastAsia="仿宋_GB2312"/>
          <w:sz w:val="28"/>
          <w:szCs w:val="28"/>
        </w:rPr>
        <w:t>。</w:t>
      </w:r>
    </w:p>
    <w:p>
      <w:pPr>
        <w:spacing w:line="520" w:lineRule="exact"/>
        <w:ind w:firstLine="640"/>
        <w:rPr>
          <w:rFonts w:ascii="仿宋_GB2312" w:eastAsia="仿宋_GB2312"/>
          <w:sz w:val="28"/>
          <w:szCs w:val="28"/>
        </w:rPr>
      </w:pPr>
      <w:r>
        <w:rPr>
          <w:rFonts w:hint="eastAsia" w:ascii="仿宋_GB2312" w:eastAsia="仿宋_GB2312"/>
          <w:sz w:val="28"/>
          <w:szCs w:val="28"/>
        </w:rPr>
        <w:t>截止到</w:t>
      </w:r>
      <w:r>
        <w:rPr>
          <w:rFonts w:ascii="仿宋_GB2312" w:eastAsia="仿宋_GB2312"/>
          <w:sz w:val="28"/>
          <w:szCs w:val="28"/>
        </w:rPr>
        <w:t>202</w:t>
      </w:r>
      <w:r>
        <w:rPr>
          <w:rFonts w:hint="eastAsia" w:ascii="仿宋_GB2312" w:eastAsia="仿宋_GB2312"/>
          <w:sz w:val="28"/>
          <w:szCs w:val="28"/>
        </w:rPr>
        <w:t>5年</w:t>
      </w:r>
      <w:r>
        <w:rPr>
          <w:rFonts w:ascii="仿宋_GB2312" w:eastAsia="仿宋_GB2312"/>
          <w:sz w:val="28"/>
          <w:szCs w:val="28"/>
        </w:rPr>
        <w:t>12</w:t>
      </w:r>
      <w:r>
        <w:rPr>
          <w:rFonts w:hint="eastAsia" w:ascii="仿宋_GB2312" w:eastAsia="仿宋_GB2312"/>
          <w:sz w:val="28"/>
          <w:szCs w:val="28"/>
        </w:rPr>
        <w:t>月</w:t>
      </w:r>
      <w:r>
        <w:rPr>
          <w:rFonts w:ascii="仿宋_GB2312" w:eastAsia="仿宋_GB2312"/>
          <w:sz w:val="28"/>
          <w:szCs w:val="28"/>
        </w:rPr>
        <w:t>31</w:t>
      </w:r>
      <w:r>
        <w:rPr>
          <w:rFonts w:hint="eastAsia" w:ascii="仿宋_GB2312" w:eastAsia="仿宋_GB2312"/>
          <w:sz w:val="28"/>
          <w:szCs w:val="28"/>
        </w:rPr>
        <w:t>日，预算资金总体支出</w:t>
      </w:r>
      <w:r>
        <w:rPr>
          <w:rFonts w:hint="eastAsia" w:ascii="仿宋_GB2312" w:eastAsia="仿宋_GB2312"/>
          <w:sz w:val="28"/>
          <w:szCs w:val="28"/>
          <w:lang w:val="en-US" w:eastAsia="zh-CN"/>
        </w:rPr>
        <w:t>28,697,910.88</w:t>
      </w:r>
      <w:r>
        <w:rPr>
          <w:rFonts w:hint="eastAsia" w:ascii="仿宋_GB2312" w:eastAsia="仿宋_GB2312"/>
          <w:sz w:val="28"/>
          <w:szCs w:val="28"/>
        </w:rPr>
        <w:t>元，其中：基本支出</w:t>
      </w:r>
      <w:r>
        <w:rPr>
          <w:rFonts w:hint="eastAsia" w:ascii="仿宋_GB2312" w:eastAsia="仿宋_GB2312"/>
          <w:sz w:val="28"/>
          <w:szCs w:val="28"/>
          <w:lang w:val="en-US" w:eastAsia="zh-CN"/>
        </w:rPr>
        <w:t>22,255,133.47</w:t>
      </w:r>
      <w:r>
        <w:rPr>
          <w:rFonts w:hint="eastAsia" w:ascii="仿宋_GB2312" w:eastAsia="仿宋_GB2312"/>
          <w:sz w:val="28"/>
          <w:szCs w:val="28"/>
        </w:rPr>
        <w:t>元，占比</w:t>
      </w:r>
      <w:r>
        <w:rPr>
          <w:rFonts w:hint="eastAsia" w:ascii="仿宋_GB2312" w:eastAsia="仿宋_GB2312"/>
          <w:sz w:val="28"/>
          <w:szCs w:val="28"/>
          <w:lang w:val="en-US" w:eastAsia="zh-CN"/>
        </w:rPr>
        <w:t>77.5</w:t>
      </w:r>
      <w:r>
        <w:rPr>
          <w:rFonts w:ascii="仿宋_GB2312" w:eastAsia="仿宋_GB2312"/>
          <w:sz w:val="28"/>
          <w:szCs w:val="28"/>
        </w:rPr>
        <w:t>%</w:t>
      </w:r>
      <w:r>
        <w:rPr>
          <w:rFonts w:hint="eastAsia" w:ascii="仿宋_GB2312" w:eastAsia="仿宋_GB2312"/>
          <w:sz w:val="28"/>
          <w:szCs w:val="28"/>
        </w:rPr>
        <w:t>；项目支出</w:t>
      </w:r>
      <w:r>
        <w:rPr>
          <w:rFonts w:hint="eastAsia" w:ascii="仿宋_GB2312" w:eastAsia="仿宋_GB2312"/>
          <w:sz w:val="28"/>
          <w:szCs w:val="28"/>
          <w:lang w:val="en-US" w:eastAsia="zh-CN"/>
        </w:rPr>
        <w:t>6,442,777.41</w:t>
      </w:r>
      <w:r>
        <w:rPr>
          <w:rFonts w:hint="eastAsia" w:ascii="仿宋_GB2312" w:eastAsia="仿宋_GB2312"/>
          <w:sz w:val="28"/>
          <w:szCs w:val="28"/>
        </w:rPr>
        <w:t>元，占比</w:t>
      </w:r>
      <w:r>
        <w:rPr>
          <w:rFonts w:hint="eastAsia" w:ascii="仿宋_GB2312" w:eastAsia="仿宋_GB2312"/>
          <w:sz w:val="28"/>
          <w:szCs w:val="28"/>
          <w:lang w:val="en-US" w:eastAsia="zh-CN"/>
        </w:rPr>
        <w:t>22.5</w:t>
      </w:r>
      <w:r>
        <w:rPr>
          <w:rFonts w:ascii="仿宋_GB2312" w:eastAsia="仿宋_GB2312"/>
          <w:sz w:val="28"/>
          <w:szCs w:val="28"/>
        </w:rPr>
        <w:t>%</w:t>
      </w:r>
      <w:r>
        <w:rPr>
          <w:rFonts w:hint="eastAsia" w:ascii="仿宋_GB2312" w:eastAsia="仿宋_GB2312"/>
          <w:sz w:val="28"/>
          <w:szCs w:val="28"/>
        </w:rPr>
        <w:t>；其他支出</w:t>
      </w:r>
      <w:r>
        <w:rPr>
          <w:rFonts w:hint="eastAsia" w:ascii="仿宋_GB2312" w:eastAsia="仿宋_GB2312"/>
          <w:sz w:val="28"/>
          <w:szCs w:val="28"/>
          <w:lang w:val="en-US" w:eastAsia="zh-CN"/>
        </w:rPr>
        <w:t>0.00</w:t>
      </w:r>
      <w:r>
        <w:rPr>
          <w:rFonts w:hint="eastAsia" w:ascii="仿宋_GB2312" w:eastAsia="仿宋_GB2312"/>
          <w:sz w:val="28"/>
          <w:szCs w:val="28"/>
        </w:rPr>
        <w:t>万元，占比</w:t>
      </w:r>
      <w:r>
        <w:rPr>
          <w:rFonts w:hint="eastAsia" w:ascii="仿宋_GB2312" w:eastAsia="仿宋_GB2312"/>
          <w:sz w:val="28"/>
          <w:szCs w:val="28"/>
          <w:lang w:val="en-US" w:eastAsia="zh-CN"/>
        </w:rPr>
        <w:t>0.0</w:t>
      </w:r>
      <w:r>
        <w:rPr>
          <w:rFonts w:ascii="仿宋_GB2312" w:eastAsia="仿宋_GB2312"/>
          <w:sz w:val="28"/>
          <w:szCs w:val="28"/>
        </w:rPr>
        <w:t>%</w:t>
      </w:r>
      <w:r>
        <w:rPr>
          <w:rFonts w:hint="eastAsia" w:ascii="仿宋_GB2312" w:eastAsia="仿宋_GB2312"/>
          <w:sz w:val="28"/>
          <w:szCs w:val="28"/>
        </w:rPr>
        <w:t>。部门预算执行率为</w:t>
      </w:r>
      <w:r>
        <w:rPr>
          <w:rFonts w:hint="eastAsia" w:ascii="仿宋_GB2312" w:eastAsia="仿宋_GB2312"/>
          <w:sz w:val="28"/>
          <w:szCs w:val="28"/>
          <w:lang w:val="en-US" w:eastAsia="zh-CN"/>
        </w:rPr>
        <w:t>98.8</w:t>
      </w:r>
      <w:r>
        <w:rPr>
          <w:rFonts w:ascii="仿宋_GB2312" w:eastAsia="仿宋_GB2312"/>
          <w:sz w:val="28"/>
          <w:szCs w:val="28"/>
        </w:rPr>
        <w:t>%</w:t>
      </w:r>
      <w:r>
        <w:rPr>
          <w:rFonts w:hint="eastAsia" w:ascii="仿宋_GB2312" w:eastAsia="仿宋_GB2312"/>
          <w:sz w:val="28"/>
          <w:szCs w:val="28"/>
        </w:rPr>
        <w:t>。</w:t>
      </w:r>
      <w:r>
        <w:rPr>
          <w:rFonts w:ascii="仿宋_GB2312" w:eastAsia="仿宋_GB2312"/>
          <w:sz w:val="28"/>
          <w:szCs w:val="28"/>
        </w:rPr>
        <w:t xml:space="preserve">                                     </w:t>
      </w:r>
    </w:p>
    <w:p>
      <w:pPr>
        <w:shd w:val="clear"/>
        <w:spacing w:line="580" w:lineRule="exact"/>
        <w:ind w:firstLine="641"/>
        <w:rPr>
          <w:rFonts w:hint="eastAsia" w:ascii="仿宋_GB2312" w:eastAsia="仿宋_GB2312"/>
          <w:sz w:val="32"/>
          <w:szCs w:val="32"/>
        </w:rPr>
      </w:pPr>
      <w:r>
        <w:rPr>
          <w:rFonts w:ascii="仿宋_GB2312" w:eastAsia="仿宋_GB2312"/>
          <w:sz w:val="28"/>
          <w:szCs w:val="28"/>
        </w:rPr>
        <w:t>202</w:t>
      </w:r>
      <w:r>
        <w:rPr>
          <w:rFonts w:hint="eastAsia" w:ascii="仿宋_GB2312" w:eastAsia="仿宋_GB2312"/>
          <w:sz w:val="28"/>
          <w:szCs w:val="28"/>
        </w:rPr>
        <w:t>5年年末结转结余资金总额为</w:t>
      </w:r>
      <w:r>
        <w:rPr>
          <w:rFonts w:hint="eastAsia" w:ascii="仿宋_GB2312" w:eastAsia="仿宋_GB2312"/>
          <w:sz w:val="28"/>
          <w:szCs w:val="28"/>
          <w:lang w:val="en-US" w:eastAsia="zh-CN"/>
        </w:rPr>
        <w:t>360,440.79</w:t>
      </w:r>
      <w:r>
        <w:rPr>
          <w:rFonts w:hint="eastAsia" w:ascii="仿宋_GB2312" w:eastAsia="仿宋_GB2312"/>
          <w:sz w:val="28"/>
          <w:szCs w:val="28"/>
        </w:rPr>
        <w:t>元，全年支出预算数为</w:t>
      </w:r>
      <w:r>
        <w:rPr>
          <w:rFonts w:hint="eastAsia" w:ascii="仿宋_GB2312" w:eastAsia="仿宋_GB2312"/>
          <w:sz w:val="28"/>
          <w:szCs w:val="28"/>
          <w:lang w:val="en-US" w:eastAsia="zh-CN"/>
        </w:rPr>
        <w:t>28,697,910.88</w:t>
      </w:r>
      <w:r>
        <w:rPr>
          <w:rFonts w:hint="eastAsia" w:ascii="仿宋_GB2312" w:eastAsia="仿宋_GB2312"/>
          <w:sz w:val="28"/>
          <w:szCs w:val="28"/>
        </w:rPr>
        <w:t>元，资金结转结余率为</w:t>
      </w:r>
      <w:r>
        <w:rPr>
          <w:rFonts w:hint="eastAsia" w:ascii="仿宋_GB2312" w:eastAsia="仿宋_GB2312"/>
          <w:sz w:val="28"/>
          <w:szCs w:val="28"/>
          <w:lang w:val="en-US" w:eastAsia="zh-CN"/>
        </w:rPr>
        <w:t>1.3</w:t>
      </w:r>
      <w:r>
        <w:rPr>
          <w:rFonts w:ascii="仿宋_GB2312" w:eastAsia="仿宋_GB2312"/>
          <w:sz w:val="28"/>
          <w:szCs w:val="28"/>
        </w:rPr>
        <w:t>%</w:t>
      </w:r>
      <w:r>
        <w:rPr>
          <w:rFonts w:hint="eastAsia" w:ascii="仿宋_GB2312" w:eastAsia="仿宋_GB2312"/>
          <w:sz w:val="28"/>
          <w:szCs w:val="28"/>
        </w:rPr>
        <w:t>；</w:t>
      </w:r>
      <w:r>
        <w:rPr>
          <w:rFonts w:ascii="仿宋_GB2312" w:eastAsia="仿宋_GB2312"/>
          <w:sz w:val="28"/>
          <w:szCs w:val="28"/>
        </w:rPr>
        <w:t>202</w:t>
      </w:r>
      <w:r>
        <w:rPr>
          <w:rFonts w:hint="eastAsia" w:ascii="仿宋_GB2312" w:eastAsia="仿宋_GB2312"/>
          <w:sz w:val="28"/>
          <w:szCs w:val="28"/>
        </w:rPr>
        <w:t>4年年末结转结余资金总额为</w:t>
      </w:r>
      <w:r>
        <w:rPr>
          <w:rFonts w:hint="eastAsia" w:ascii="仿宋_GB2312" w:hAnsi="Times New Roman" w:eastAsia="仿宋_GB2312" w:cs="Times New Roman"/>
          <w:sz w:val="32"/>
          <w:szCs w:val="32"/>
          <w:lang w:val="en-US" w:eastAsia="zh-CN"/>
        </w:rPr>
        <w:t>1</w:t>
      </w:r>
      <w:r>
        <w:rPr>
          <w:rFonts w:hint="eastAsia" w:ascii="仿宋_GB2312" w:eastAsia="仿宋_GB2312" w:cs="Times New Roman"/>
          <w:sz w:val="32"/>
          <w:szCs w:val="32"/>
          <w:lang w:val="en-US" w:eastAsia="zh-CN"/>
        </w:rPr>
        <w:t>,</w:t>
      </w:r>
      <w:r>
        <w:rPr>
          <w:rFonts w:hint="eastAsia" w:ascii="仿宋_GB2312" w:hAnsi="Times New Roman" w:eastAsia="仿宋_GB2312" w:cs="Times New Roman"/>
          <w:sz w:val="32"/>
          <w:szCs w:val="32"/>
          <w:lang w:val="en-US" w:eastAsia="zh-CN"/>
        </w:rPr>
        <w:t>124</w:t>
      </w:r>
      <w:r>
        <w:rPr>
          <w:rFonts w:hint="eastAsia" w:ascii="仿宋_GB2312" w:eastAsia="仿宋_GB2312" w:cs="Times New Roman"/>
          <w:sz w:val="32"/>
          <w:szCs w:val="32"/>
          <w:lang w:val="en-US" w:eastAsia="zh-CN"/>
        </w:rPr>
        <w:t>,</w:t>
      </w:r>
      <w:r>
        <w:rPr>
          <w:rFonts w:hint="eastAsia" w:ascii="仿宋_GB2312" w:hAnsi="Times New Roman" w:eastAsia="仿宋_GB2312" w:cs="Times New Roman"/>
          <w:sz w:val="32"/>
          <w:szCs w:val="32"/>
          <w:lang w:val="en-US" w:eastAsia="zh-CN"/>
        </w:rPr>
        <w:t>061</w:t>
      </w:r>
      <w:r>
        <w:rPr>
          <w:rFonts w:hint="eastAsia" w:ascii="仿宋_GB2312" w:eastAsia="仿宋_GB2312" w:cs="Times New Roman"/>
          <w:sz w:val="32"/>
          <w:szCs w:val="32"/>
          <w:lang w:val="en-US" w:eastAsia="zh-CN"/>
        </w:rPr>
        <w:t>.</w:t>
      </w:r>
      <w:r>
        <w:rPr>
          <w:rFonts w:hint="eastAsia" w:ascii="仿宋_GB2312" w:hAnsi="Times New Roman" w:eastAsia="仿宋_GB2312" w:cs="Times New Roman"/>
          <w:sz w:val="32"/>
          <w:szCs w:val="32"/>
          <w:lang w:val="en-US" w:eastAsia="zh-CN"/>
        </w:rPr>
        <w:t>76</w:t>
      </w:r>
      <w:r>
        <w:rPr>
          <w:rFonts w:hint="eastAsia" w:ascii="仿宋_GB2312" w:eastAsia="仿宋_GB2312"/>
          <w:sz w:val="28"/>
          <w:szCs w:val="28"/>
          <w:shd w:val="clear"/>
        </w:rPr>
        <w:t>元</w:t>
      </w:r>
      <w:r>
        <w:rPr>
          <w:rFonts w:hint="eastAsia" w:ascii="仿宋_GB2312" w:eastAsia="仿宋_GB2312"/>
          <w:sz w:val="28"/>
          <w:szCs w:val="28"/>
        </w:rPr>
        <w:t>，全年支出预算数为</w:t>
      </w:r>
      <w:r>
        <w:rPr>
          <w:rFonts w:hint="eastAsia" w:ascii="仿宋_GB2312" w:hAnsi="Times New Roman" w:eastAsia="仿宋_GB2312" w:cs="Times New Roman"/>
          <w:sz w:val="32"/>
          <w:szCs w:val="32"/>
          <w:lang w:val="en-US" w:eastAsia="zh-CN"/>
        </w:rPr>
        <w:t>28</w:t>
      </w:r>
      <w:r>
        <w:rPr>
          <w:rFonts w:hint="eastAsia" w:ascii="仿宋_GB2312" w:eastAsia="仿宋_GB2312" w:cs="Times New Roman"/>
          <w:sz w:val="32"/>
          <w:szCs w:val="32"/>
          <w:lang w:val="en-US" w:eastAsia="zh-CN"/>
        </w:rPr>
        <w:t>,</w:t>
      </w:r>
      <w:r>
        <w:rPr>
          <w:rFonts w:hint="eastAsia" w:ascii="仿宋_GB2312" w:hAnsi="Times New Roman" w:eastAsia="仿宋_GB2312" w:cs="Times New Roman"/>
          <w:sz w:val="32"/>
          <w:szCs w:val="32"/>
          <w:lang w:val="en-US" w:eastAsia="zh-CN"/>
        </w:rPr>
        <w:t>790</w:t>
      </w:r>
      <w:r>
        <w:rPr>
          <w:rFonts w:hint="eastAsia" w:ascii="仿宋_GB2312" w:eastAsia="仿宋_GB2312" w:cs="Times New Roman"/>
          <w:sz w:val="32"/>
          <w:szCs w:val="32"/>
          <w:lang w:val="en-US" w:eastAsia="zh-CN"/>
        </w:rPr>
        <w:t>,</w:t>
      </w:r>
      <w:r>
        <w:rPr>
          <w:rFonts w:hint="eastAsia" w:ascii="仿宋_GB2312" w:hAnsi="Times New Roman" w:eastAsia="仿宋_GB2312" w:cs="Times New Roman"/>
          <w:sz w:val="32"/>
          <w:szCs w:val="32"/>
          <w:lang w:val="en-US" w:eastAsia="zh-CN"/>
        </w:rPr>
        <w:t>841</w:t>
      </w:r>
      <w:r>
        <w:rPr>
          <w:rFonts w:hint="eastAsia" w:ascii="仿宋_GB2312" w:eastAsia="仿宋_GB2312" w:cs="Times New Roman"/>
          <w:sz w:val="32"/>
          <w:szCs w:val="32"/>
          <w:lang w:val="en-US" w:eastAsia="zh-CN"/>
        </w:rPr>
        <w:t>.</w:t>
      </w:r>
      <w:r>
        <w:rPr>
          <w:rFonts w:hint="eastAsia" w:ascii="仿宋_GB2312" w:hAnsi="Times New Roman" w:eastAsia="仿宋_GB2312" w:cs="Times New Roman"/>
          <w:sz w:val="32"/>
          <w:szCs w:val="32"/>
          <w:lang w:val="en-US" w:eastAsia="zh-CN"/>
        </w:rPr>
        <w:t>77</w:t>
      </w:r>
      <w:r>
        <w:rPr>
          <w:rFonts w:hint="eastAsia" w:ascii="仿宋_GB2312" w:eastAsia="仿宋_GB2312"/>
          <w:sz w:val="28"/>
          <w:szCs w:val="28"/>
          <w:shd w:val="clear"/>
        </w:rPr>
        <w:t>元，资金结转结余率为</w:t>
      </w:r>
      <w:r>
        <w:rPr>
          <w:rFonts w:hint="eastAsia" w:ascii="仿宋_GB2312" w:eastAsia="仿宋_GB2312"/>
          <w:sz w:val="28"/>
          <w:szCs w:val="28"/>
          <w:shd w:val="clear"/>
          <w:lang w:val="en-US" w:eastAsia="zh-CN"/>
        </w:rPr>
        <w:t>3.9</w:t>
      </w:r>
      <w:r>
        <w:rPr>
          <w:rFonts w:ascii="仿宋_GB2312" w:eastAsia="仿宋_GB2312"/>
          <w:sz w:val="28"/>
          <w:szCs w:val="28"/>
          <w:shd w:val="clear"/>
        </w:rPr>
        <w:t>%</w:t>
      </w:r>
      <w:r>
        <w:rPr>
          <w:rFonts w:hint="eastAsia" w:ascii="仿宋_GB2312" w:eastAsia="仿宋_GB2312"/>
          <w:sz w:val="28"/>
          <w:szCs w:val="28"/>
        </w:rPr>
        <w:t>；</w:t>
      </w:r>
      <w:r>
        <w:rPr>
          <w:rFonts w:ascii="仿宋_GB2312" w:eastAsia="仿宋_GB2312"/>
          <w:sz w:val="28"/>
          <w:szCs w:val="28"/>
        </w:rPr>
        <w:t>202</w:t>
      </w:r>
      <w:r>
        <w:rPr>
          <w:rFonts w:hint="eastAsia" w:ascii="仿宋_GB2312" w:eastAsia="仿宋_GB2312"/>
          <w:sz w:val="28"/>
          <w:szCs w:val="28"/>
        </w:rPr>
        <w:t>5年度部门结转结余率较上一年下降</w:t>
      </w:r>
      <w:r>
        <w:rPr>
          <w:rFonts w:hint="eastAsia" w:ascii="仿宋_GB2312" w:eastAsia="仿宋_GB2312"/>
          <w:sz w:val="28"/>
          <w:szCs w:val="28"/>
          <w:shd w:val="clear"/>
        </w:rPr>
        <w:t>了</w:t>
      </w:r>
      <w:r>
        <w:rPr>
          <w:rFonts w:hint="eastAsia" w:ascii="仿宋_GB2312" w:eastAsia="仿宋_GB2312"/>
          <w:sz w:val="28"/>
          <w:szCs w:val="28"/>
          <w:shd w:val="clear"/>
          <w:lang w:val="en-US" w:eastAsia="zh-CN"/>
        </w:rPr>
        <w:t>2.7</w:t>
      </w:r>
      <w:r>
        <w:rPr>
          <w:rFonts w:ascii="仿宋_GB2312" w:eastAsia="仿宋_GB2312"/>
          <w:sz w:val="28"/>
          <w:szCs w:val="28"/>
          <w:shd w:val="clear"/>
        </w:rPr>
        <w:t>%</w:t>
      </w:r>
      <w:r>
        <w:rPr>
          <w:rFonts w:hint="eastAsia" w:ascii="仿宋_GB2312" w:eastAsia="仿宋_GB2312"/>
          <w:sz w:val="28"/>
          <w:szCs w:val="28"/>
          <w:shd w:val="clear"/>
        </w:rPr>
        <w:t>。</w:t>
      </w:r>
    </w:p>
    <w:p>
      <w:pPr>
        <w:spacing w:line="580" w:lineRule="exact"/>
        <w:ind w:firstLine="641"/>
        <w:rPr>
          <w:rFonts w:hint="eastAsia" w:ascii="楷体_GB2312" w:eastAsia="楷体_GB2312"/>
          <w:b/>
          <w:sz w:val="32"/>
          <w:szCs w:val="32"/>
        </w:rPr>
      </w:pPr>
      <w:r>
        <w:rPr>
          <w:rFonts w:hint="eastAsia" w:ascii="楷体_GB2312" w:eastAsia="楷体_GB2312"/>
          <w:b/>
          <w:sz w:val="32"/>
          <w:szCs w:val="32"/>
        </w:rPr>
        <w:t>（三）整体绩效目标实现情况</w:t>
      </w:r>
    </w:p>
    <w:p>
      <w:pPr>
        <w:spacing w:line="580" w:lineRule="exact"/>
        <w:ind w:firstLine="641"/>
        <w:rPr>
          <w:rFonts w:hint="eastAsia" w:ascii="仿宋_GB2312" w:eastAsia="仿宋_GB2312"/>
          <w:sz w:val="32"/>
          <w:szCs w:val="32"/>
        </w:rPr>
      </w:pPr>
      <w:r>
        <w:rPr>
          <w:rFonts w:hint="eastAsia" w:ascii="仿宋_GB2312" w:eastAsia="仿宋_GB2312"/>
          <w:sz w:val="32"/>
          <w:szCs w:val="32"/>
        </w:rPr>
        <w:t>1.产出完成情况分析</w:t>
      </w:r>
    </w:p>
    <w:p>
      <w:pPr>
        <w:spacing w:line="580" w:lineRule="exact"/>
        <w:ind w:firstLine="641"/>
        <w:rPr>
          <w:rFonts w:hint="eastAsia" w:ascii="仿宋_GB2312" w:eastAsia="仿宋_GB2312"/>
          <w:sz w:val="32"/>
          <w:szCs w:val="32"/>
        </w:rPr>
      </w:pPr>
      <w:r>
        <w:rPr>
          <w:rFonts w:hint="eastAsia" w:ascii="仿宋_GB2312" w:eastAsia="仿宋_GB2312"/>
          <w:sz w:val="32"/>
          <w:szCs w:val="32"/>
        </w:rPr>
        <w:t>（1）产出数量</w:t>
      </w:r>
    </w:p>
    <w:tbl>
      <w:tblPr>
        <w:tblStyle w:val="14"/>
        <w:tblW w:w="9200" w:type="dxa"/>
        <w:jc w:val="center"/>
        <w:tblInd w:w="108" w:type="dxa"/>
        <w:tblLayout w:type="fixed"/>
        <w:tblCellMar>
          <w:top w:w="0" w:type="dxa"/>
          <w:left w:w="108" w:type="dxa"/>
          <w:bottom w:w="0" w:type="dxa"/>
          <w:right w:w="108" w:type="dxa"/>
        </w:tblCellMar>
      </w:tblPr>
      <w:tblGrid>
        <w:gridCol w:w="800"/>
        <w:gridCol w:w="2100"/>
        <w:gridCol w:w="2100"/>
        <w:gridCol w:w="2100"/>
        <w:gridCol w:w="2100"/>
      </w:tblGrid>
      <w:tr>
        <w:tblPrEx>
          <w:tblLayout w:type="fixed"/>
          <w:tblCellMar>
            <w:top w:w="0" w:type="dxa"/>
            <w:left w:w="108" w:type="dxa"/>
            <w:bottom w:w="0" w:type="dxa"/>
            <w:right w:w="108" w:type="dxa"/>
          </w:tblCellMar>
        </w:tblPrEx>
        <w:trPr>
          <w:trHeight w:val="510" w:hRule="atLeast"/>
          <w:jc w:val="center"/>
        </w:trPr>
        <w:tc>
          <w:tcPr>
            <w:tcW w:w="800" w:type="dxa"/>
            <w:tcBorders>
              <w:top w:val="single" w:color="auto" w:sz="4" w:space="0"/>
              <w:left w:val="single" w:color="auto" w:sz="4" w:space="0"/>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序号</w:t>
            </w:r>
          </w:p>
        </w:tc>
        <w:tc>
          <w:tcPr>
            <w:tcW w:w="2100" w:type="dxa"/>
            <w:tcBorders>
              <w:top w:val="single" w:color="auto" w:sz="4" w:space="0"/>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三级指标</w:t>
            </w:r>
          </w:p>
        </w:tc>
        <w:tc>
          <w:tcPr>
            <w:tcW w:w="2100" w:type="dxa"/>
            <w:tcBorders>
              <w:top w:val="single" w:color="auto" w:sz="4" w:space="0"/>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计划值</w:t>
            </w:r>
          </w:p>
        </w:tc>
        <w:tc>
          <w:tcPr>
            <w:tcW w:w="2100" w:type="dxa"/>
            <w:tcBorders>
              <w:top w:val="single" w:color="auto" w:sz="4" w:space="0"/>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完成值</w:t>
            </w:r>
          </w:p>
        </w:tc>
        <w:tc>
          <w:tcPr>
            <w:tcW w:w="2100" w:type="dxa"/>
            <w:tcBorders>
              <w:top w:val="single" w:color="auto" w:sz="4" w:space="0"/>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偏差原因</w:t>
            </w:r>
          </w:p>
        </w:tc>
      </w:tr>
      <w:tr>
        <w:tblPrEx>
          <w:tblLayout w:type="fixed"/>
          <w:tblCellMar>
            <w:top w:w="0" w:type="dxa"/>
            <w:left w:w="108" w:type="dxa"/>
            <w:bottom w:w="0" w:type="dxa"/>
            <w:right w:w="108" w:type="dxa"/>
          </w:tblCellMar>
        </w:tblPrEx>
        <w:trPr>
          <w:trHeight w:val="510" w:hRule="atLeast"/>
          <w:jc w:val="center"/>
        </w:trPr>
        <w:tc>
          <w:tcPr>
            <w:tcW w:w="800" w:type="dxa"/>
            <w:tcBorders>
              <w:top w:val="nil"/>
              <w:left w:val="single" w:color="auto" w:sz="4" w:space="0"/>
              <w:bottom w:val="single" w:color="auto" w:sz="4" w:space="0"/>
              <w:right w:val="single" w:color="auto" w:sz="4" w:space="0"/>
            </w:tcBorders>
            <w:vAlign w:val="center"/>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1</w:t>
            </w:r>
          </w:p>
        </w:tc>
        <w:tc>
          <w:tcPr>
            <w:tcW w:w="2100" w:type="dxa"/>
            <w:tcBorders>
              <w:top w:val="nil"/>
              <w:left w:val="nil"/>
              <w:bottom w:val="single" w:color="auto" w:sz="4" w:space="0"/>
              <w:right w:val="single" w:color="auto" w:sz="4" w:space="0"/>
            </w:tcBorders>
            <w:vAlign w:val="center"/>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民事案件</w:t>
            </w:r>
          </w:p>
        </w:tc>
        <w:tc>
          <w:tcPr>
            <w:tcW w:w="2100" w:type="dxa"/>
            <w:tcBorders>
              <w:top w:val="nil"/>
              <w:left w:val="nil"/>
              <w:bottom w:val="single" w:color="auto" w:sz="4" w:space="0"/>
              <w:right w:val="single" w:color="auto" w:sz="4" w:space="0"/>
            </w:tcBorders>
            <w:vAlign w:val="center"/>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170</w:t>
            </w:r>
          </w:p>
        </w:tc>
        <w:tc>
          <w:tcPr>
            <w:tcW w:w="2100" w:type="dxa"/>
            <w:tcBorders>
              <w:top w:val="nil"/>
              <w:left w:val="nil"/>
              <w:bottom w:val="single" w:color="auto" w:sz="4" w:space="0"/>
              <w:right w:val="single" w:color="auto" w:sz="4" w:space="0"/>
            </w:tcBorders>
            <w:vAlign w:val="center"/>
          </w:tcPr>
          <w:p>
            <w:pPr>
              <w:widowControl/>
              <w:jc w:val="left"/>
              <w:rPr>
                <w:rFonts w:hint="default"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328</w:t>
            </w:r>
          </w:p>
        </w:tc>
        <w:tc>
          <w:tcPr>
            <w:tcW w:w="2100" w:type="dxa"/>
            <w:tcBorders>
              <w:top w:val="nil"/>
              <w:left w:val="nil"/>
              <w:bottom w:val="single" w:color="auto" w:sz="4" w:space="0"/>
              <w:right w:val="single" w:color="auto" w:sz="4" w:space="0"/>
            </w:tcBorders>
            <w:vAlign w:val="center"/>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　无</w:t>
            </w:r>
          </w:p>
        </w:tc>
      </w:tr>
      <w:tr>
        <w:tblPrEx>
          <w:tblLayout w:type="fixed"/>
          <w:tblCellMar>
            <w:top w:w="0" w:type="dxa"/>
            <w:left w:w="108" w:type="dxa"/>
            <w:bottom w:w="0" w:type="dxa"/>
            <w:right w:w="108" w:type="dxa"/>
          </w:tblCellMar>
        </w:tblPrEx>
        <w:trPr>
          <w:trHeight w:val="510" w:hRule="atLeast"/>
          <w:jc w:val="center"/>
        </w:trPr>
        <w:tc>
          <w:tcPr>
            <w:tcW w:w="800" w:type="dxa"/>
            <w:tcBorders>
              <w:top w:val="nil"/>
              <w:left w:val="single" w:color="auto" w:sz="4" w:space="0"/>
              <w:bottom w:val="single" w:color="000000" w:themeColor="text1" w:sz="4" w:space="0"/>
              <w:right w:val="single" w:color="auto" w:sz="4" w:space="0"/>
            </w:tcBorders>
            <w:vAlign w:val="center"/>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2</w:t>
            </w:r>
          </w:p>
        </w:tc>
        <w:tc>
          <w:tcPr>
            <w:tcW w:w="2100" w:type="dxa"/>
            <w:tcBorders>
              <w:top w:val="nil"/>
              <w:left w:val="nil"/>
              <w:bottom w:val="single" w:color="000000" w:themeColor="text1" w:sz="4" w:space="0"/>
              <w:right w:val="single" w:color="auto" w:sz="4" w:space="0"/>
            </w:tcBorders>
            <w:vAlign w:val="center"/>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刑事案件</w:t>
            </w:r>
          </w:p>
        </w:tc>
        <w:tc>
          <w:tcPr>
            <w:tcW w:w="2100" w:type="dxa"/>
            <w:tcBorders>
              <w:top w:val="nil"/>
              <w:left w:val="nil"/>
              <w:bottom w:val="single" w:color="000000" w:themeColor="text1" w:sz="4" w:space="0"/>
              <w:right w:val="single" w:color="auto" w:sz="4" w:space="0"/>
            </w:tcBorders>
            <w:vAlign w:val="center"/>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115</w:t>
            </w:r>
          </w:p>
        </w:tc>
        <w:tc>
          <w:tcPr>
            <w:tcW w:w="2100" w:type="dxa"/>
            <w:tcBorders>
              <w:top w:val="nil"/>
              <w:left w:val="nil"/>
              <w:bottom w:val="single" w:color="000000" w:themeColor="text1" w:sz="4" w:space="0"/>
              <w:right w:val="single" w:color="auto" w:sz="4" w:space="0"/>
            </w:tcBorders>
            <w:vAlign w:val="center"/>
          </w:tcPr>
          <w:p>
            <w:pPr>
              <w:widowControl/>
              <w:jc w:val="left"/>
              <w:rPr>
                <w:rFonts w:hint="default"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212</w:t>
            </w:r>
          </w:p>
        </w:tc>
        <w:tc>
          <w:tcPr>
            <w:tcW w:w="2100" w:type="dxa"/>
            <w:tcBorders>
              <w:top w:val="nil"/>
              <w:left w:val="nil"/>
              <w:bottom w:val="single" w:color="000000" w:themeColor="text1" w:sz="4" w:space="0"/>
              <w:right w:val="single" w:color="auto" w:sz="4" w:space="0"/>
            </w:tcBorders>
            <w:vAlign w:val="center"/>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　无</w:t>
            </w:r>
          </w:p>
        </w:tc>
      </w:tr>
      <w:tr>
        <w:tblPrEx>
          <w:tblLayout w:type="fixed"/>
          <w:tblCellMar>
            <w:top w:w="0" w:type="dxa"/>
            <w:left w:w="108" w:type="dxa"/>
            <w:bottom w:w="0" w:type="dxa"/>
            <w:right w:w="108" w:type="dxa"/>
          </w:tblCellMar>
        </w:tblPrEx>
        <w:trPr>
          <w:trHeight w:val="510" w:hRule="atLeast"/>
          <w:jc w:val="center"/>
        </w:trPr>
        <w:tc>
          <w:tcPr>
            <w:tcW w:w="800" w:type="dxa"/>
            <w:tcBorders>
              <w:top w:val="single" w:color="000000" w:themeColor="text1" w:sz="4" w:space="0"/>
              <w:left w:val="single" w:color="auto" w:sz="4" w:space="0"/>
              <w:bottom w:val="single" w:color="000000" w:themeColor="text1" w:sz="4" w:space="0"/>
              <w:right w:val="single" w:color="000000" w:themeColor="text1" w:sz="4" w:space="0"/>
            </w:tcBorders>
            <w:vAlign w:val="center"/>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3</w:t>
            </w:r>
          </w:p>
        </w:tc>
        <w:tc>
          <w:tcPr>
            <w:tcW w:w="210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刑事值班</w:t>
            </w:r>
          </w:p>
        </w:tc>
        <w:tc>
          <w:tcPr>
            <w:tcW w:w="210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180</w:t>
            </w:r>
          </w:p>
        </w:tc>
        <w:tc>
          <w:tcPr>
            <w:tcW w:w="210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416　</w:t>
            </w:r>
          </w:p>
        </w:tc>
        <w:tc>
          <w:tcPr>
            <w:tcW w:w="2100" w:type="dxa"/>
            <w:tcBorders>
              <w:top w:val="single" w:color="000000" w:themeColor="text1" w:sz="4" w:space="0"/>
              <w:left w:val="single" w:color="000000" w:themeColor="text1" w:sz="4" w:space="0"/>
              <w:bottom w:val="single" w:color="000000" w:themeColor="text1" w:sz="4" w:space="0"/>
              <w:right w:val="single" w:color="auto" w:sz="4" w:space="0"/>
            </w:tcBorders>
            <w:vAlign w:val="center"/>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　无</w:t>
            </w:r>
          </w:p>
        </w:tc>
      </w:tr>
      <w:tr>
        <w:tblPrEx>
          <w:tblLayout w:type="fixed"/>
          <w:tblCellMar>
            <w:top w:w="0" w:type="dxa"/>
            <w:left w:w="108" w:type="dxa"/>
            <w:bottom w:w="0" w:type="dxa"/>
            <w:right w:w="108" w:type="dxa"/>
          </w:tblCellMar>
        </w:tblPrEx>
        <w:trPr>
          <w:trHeight w:val="510" w:hRule="atLeast"/>
          <w:jc w:val="center"/>
        </w:trPr>
        <w:tc>
          <w:tcPr>
            <w:tcW w:w="800" w:type="dxa"/>
            <w:tcBorders>
              <w:top w:val="single" w:color="000000" w:themeColor="text1" w:sz="4" w:space="0"/>
              <w:left w:val="single" w:color="auto" w:sz="4" w:space="0"/>
              <w:bottom w:val="single" w:color="000000" w:themeColor="text1" w:sz="4" w:space="0"/>
              <w:right w:val="single" w:color="000000" w:themeColor="text1" w:sz="4" w:space="0"/>
            </w:tcBorders>
            <w:vAlign w:val="center"/>
          </w:tcPr>
          <w:p>
            <w:pPr>
              <w:widowControl/>
              <w:jc w:val="left"/>
              <w:rPr>
                <w:rFonts w:hint="default"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4</w:t>
            </w:r>
          </w:p>
        </w:tc>
        <w:tc>
          <w:tcPr>
            <w:tcW w:w="210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村居公益法律服务律师服务次数</w:t>
            </w:r>
          </w:p>
        </w:tc>
        <w:tc>
          <w:tcPr>
            <w:tcW w:w="210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律师每月至少到结对村居开展一次以上服务</w:t>
            </w:r>
          </w:p>
        </w:tc>
        <w:tc>
          <w:tcPr>
            <w:tcW w:w="210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pPr>
              <w:widowControl/>
              <w:jc w:val="left"/>
              <w:rPr>
                <w:rFonts w:hint="default"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8931次</w:t>
            </w:r>
          </w:p>
        </w:tc>
        <w:tc>
          <w:tcPr>
            <w:tcW w:w="2100" w:type="dxa"/>
            <w:tcBorders>
              <w:top w:val="single" w:color="000000" w:themeColor="text1" w:sz="4" w:space="0"/>
              <w:left w:val="single" w:color="000000" w:themeColor="text1" w:sz="4" w:space="0"/>
              <w:bottom w:val="single" w:color="000000" w:themeColor="text1" w:sz="4" w:space="0"/>
              <w:right w:val="single" w:color="auto" w:sz="4" w:space="0"/>
            </w:tcBorders>
            <w:vAlign w:val="center"/>
          </w:tcPr>
          <w:p>
            <w:pPr>
              <w:widowControl/>
              <w:ind w:firstLine="210" w:firstLineChars="100"/>
              <w:jc w:val="left"/>
              <w:rPr>
                <w:rFonts w:hint="default"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无</w:t>
            </w:r>
          </w:p>
        </w:tc>
      </w:tr>
      <w:tr>
        <w:tblPrEx>
          <w:tblLayout w:type="fixed"/>
          <w:tblCellMar>
            <w:top w:w="0" w:type="dxa"/>
            <w:left w:w="108" w:type="dxa"/>
            <w:bottom w:w="0" w:type="dxa"/>
            <w:right w:w="108" w:type="dxa"/>
          </w:tblCellMar>
        </w:tblPrEx>
        <w:trPr>
          <w:trHeight w:val="510" w:hRule="atLeast"/>
          <w:jc w:val="center"/>
        </w:trPr>
        <w:tc>
          <w:tcPr>
            <w:tcW w:w="800" w:type="dxa"/>
            <w:tcBorders>
              <w:top w:val="single" w:color="000000" w:themeColor="text1" w:sz="4" w:space="0"/>
              <w:left w:val="single" w:color="auto" w:sz="4" w:space="0"/>
              <w:bottom w:val="single" w:color="000000" w:themeColor="text1" w:sz="4" w:space="0"/>
              <w:right w:val="single" w:color="000000" w:themeColor="text1" w:sz="4" w:space="0"/>
            </w:tcBorders>
            <w:vAlign w:val="center"/>
          </w:tcPr>
          <w:p>
            <w:pPr>
              <w:widowControl/>
              <w:jc w:val="left"/>
              <w:rPr>
                <w:rFonts w:hint="default"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5</w:t>
            </w:r>
          </w:p>
        </w:tc>
        <w:tc>
          <w:tcPr>
            <w:tcW w:w="210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pPr>
              <w:widowControl/>
              <w:jc w:val="left"/>
              <w:rPr>
                <w:rFonts w:hint="default"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区委区政府聘请律师事务所数量</w:t>
            </w:r>
          </w:p>
        </w:tc>
        <w:tc>
          <w:tcPr>
            <w:tcW w:w="210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pPr>
              <w:widowControl/>
              <w:jc w:val="left"/>
              <w:rPr>
                <w:rFonts w:hint="default"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9家</w:t>
            </w:r>
          </w:p>
        </w:tc>
        <w:tc>
          <w:tcPr>
            <w:tcW w:w="210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pPr>
              <w:widowControl/>
              <w:jc w:val="left"/>
              <w:rPr>
                <w:rFonts w:hint="default"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12家</w:t>
            </w:r>
          </w:p>
        </w:tc>
        <w:tc>
          <w:tcPr>
            <w:tcW w:w="2100" w:type="dxa"/>
            <w:tcBorders>
              <w:top w:val="single" w:color="000000" w:themeColor="text1" w:sz="4" w:space="0"/>
              <w:left w:val="single" w:color="000000" w:themeColor="text1" w:sz="4" w:space="0"/>
              <w:bottom w:val="single" w:color="000000" w:themeColor="text1" w:sz="4" w:space="0"/>
              <w:right w:val="single" w:color="auto" w:sz="4" w:space="0"/>
            </w:tcBorders>
            <w:vAlign w:val="center"/>
          </w:tcPr>
          <w:p>
            <w:pPr>
              <w:widowControl/>
              <w:ind w:firstLine="210" w:firstLineChars="100"/>
              <w:jc w:val="left"/>
              <w:rPr>
                <w:rFonts w:hint="default"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无</w:t>
            </w:r>
          </w:p>
        </w:tc>
      </w:tr>
    </w:tbl>
    <w:p>
      <w:pPr>
        <w:numPr>
          <w:ilvl w:val="0"/>
          <w:numId w:val="3"/>
        </w:numPr>
        <w:spacing w:line="580" w:lineRule="exact"/>
        <w:ind w:firstLine="640"/>
        <w:rPr>
          <w:rFonts w:hint="eastAsia" w:ascii="仿宋_GB2312" w:eastAsia="仿宋_GB2312"/>
          <w:sz w:val="32"/>
          <w:szCs w:val="32"/>
        </w:rPr>
      </w:pPr>
      <w:r>
        <w:rPr>
          <w:rFonts w:hint="eastAsia" w:ascii="仿宋_GB2312" w:eastAsia="仿宋_GB2312"/>
          <w:sz w:val="32"/>
          <w:szCs w:val="32"/>
        </w:rPr>
        <w:t>产出质量</w:t>
      </w:r>
    </w:p>
    <w:tbl>
      <w:tblPr>
        <w:tblStyle w:val="14"/>
        <w:tblW w:w="9500" w:type="dxa"/>
        <w:jc w:val="center"/>
        <w:tblInd w:w="-192" w:type="dxa"/>
        <w:tblLayout w:type="fixed"/>
        <w:tblCellMar>
          <w:top w:w="0" w:type="dxa"/>
          <w:left w:w="108" w:type="dxa"/>
          <w:bottom w:w="0" w:type="dxa"/>
          <w:right w:w="108" w:type="dxa"/>
        </w:tblCellMar>
      </w:tblPr>
      <w:tblGrid>
        <w:gridCol w:w="825"/>
        <w:gridCol w:w="2200"/>
        <w:gridCol w:w="2765"/>
        <w:gridCol w:w="1610"/>
        <w:gridCol w:w="2100"/>
      </w:tblGrid>
      <w:tr>
        <w:tblPrEx>
          <w:tblLayout w:type="fixed"/>
          <w:tblCellMar>
            <w:top w:w="0" w:type="dxa"/>
            <w:left w:w="108" w:type="dxa"/>
            <w:bottom w:w="0" w:type="dxa"/>
            <w:right w:w="108" w:type="dxa"/>
          </w:tblCellMar>
        </w:tblPrEx>
        <w:trPr>
          <w:trHeight w:val="510" w:hRule="atLeast"/>
          <w:jc w:val="center"/>
        </w:trPr>
        <w:tc>
          <w:tcPr>
            <w:tcW w:w="825" w:type="dxa"/>
            <w:tcBorders>
              <w:top w:val="single" w:color="auto" w:sz="4" w:space="0"/>
              <w:left w:val="single" w:color="auto" w:sz="4" w:space="0"/>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序号</w:t>
            </w:r>
          </w:p>
        </w:tc>
        <w:tc>
          <w:tcPr>
            <w:tcW w:w="2200" w:type="dxa"/>
            <w:tcBorders>
              <w:top w:val="single" w:color="auto" w:sz="4" w:space="0"/>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三级指标</w:t>
            </w:r>
          </w:p>
        </w:tc>
        <w:tc>
          <w:tcPr>
            <w:tcW w:w="2765" w:type="dxa"/>
            <w:tcBorders>
              <w:top w:val="single" w:color="auto" w:sz="4" w:space="0"/>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计划值</w:t>
            </w:r>
          </w:p>
        </w:tc>
        <w:tc>
          <w:tcPr>
            <w:tcW w:w="1610" w:type="dxa"/>
            <w:tcBorders>
              <w:top w:val="single" w:color="auto" w:sz="4" w:space="0"/>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完成值</w:t>
            </w:r>
          </w:p>
        </w:tc>
        <w:tc>
          <w:tcPr>
            <w:tcW w:w="2100" w:type="dxa"/>
            <w:tcBorders>
              <w:top w:val="single" w:color="auto" w:sz="4" w:space="0"/>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偏差原因</w:t>
            </w:r>
          </w:p>
        </w:tc>
      </w:tr>
      <w:tr>
        <w:tblPrEx>
          <w:tblLayout w:type="fixed"/>
          <w:tblCellMar>
            <w:top w:w="0" w:type="dxa"/>
            <w:left w:w="108" w:type="dxa"/>
            <w:bottom w:w="0" w:type="dxa"/>
            <w:right w:w="108" w:type="dxa"/>
          </w:tblCellMar>
        </w:tblPrEx>
        <w:trPr>
          <w:trHeight w:val="510" w:hRule="atLeast"/>
          <w:jc w:val="center"/>
        </w:trPr>
        <w:tc>
          <w:tcPr>
            <w:tcW w:w="825" w:type="dxa"/>
            <w:tcBorders>
              <w:top w:val="nil"/>
              <w:left w:val="single" w:color="auto" w:sz="4" w:space="0"/>
              <w:bottom w:val="single" w:color="auto" w:sz="4" w:space="0"/>
              <w:right w:val="single" w:color="auto" w:sz="4" w:space="0"/>
            </w:tcBorders>
            <w:vAlign w:val="center"/>
          </w:tcPr>
          <w:p>
            <w:pPr>
              <w:widowControl/>
              <w:jc w:val="left"/>
              <w:rPr>
                <w:rFonts w:hint="default"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1</w:t>
            </w:r>
          </w:p>
        </w:tc>
        <w:tc>
          <w:tcPr>
            <w:tcW w:w="2200" w:type="dxa"/>
            <w:tcBorders>
              <w:top w:val="nil"/>
              <w:left w:val="nil"/>
              <w:bottom w:val="single" w:color="auto" w:sz="4" w:space="0"/>
              <w:right w:val="single" w:color="auto" w:sz="4" w:space="0"/>
            </w:tcBorders>
            <w:vAlign w:val="center"/>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专家律师法律顾问团</w:t>
            </w:r>
          </w:p>
        </w:tc>
        <w:tc>
          <w:tcPr>
            <w:tcW w:w="2765" w:type="dxa"/>
            <w:tcBorders>
              <w:top w:val="nil"/>
              <w:left w:val="nil"/>
              <w:bottom w:val="single" w:color="auto" w:sz="4" w:space="0"/>
              <w:right w:val="single" w:color="auto" w:sz="4" w:space="0"/>
            </w:tcBorders>
            <w:vAlign w:val="center"/>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为门头沟区法治建设提供智力支撑</w:t>
            </w:r>
          </w:p>
        </w:tc>
        <w:tc>
          <w:tcPr>
            <w:tcW w:w="1610" w:type="dxa"/>
            <w:tcBorders>
              <w:top w:val="nil"/>
              <w:left w:val="nil"/>
              <w:bottom w:val="single" w:color="auto" w:sz="4" w:space="0"/>
              <w:right w:val="single" w:color="auto" w:sz="4" w:space="0"/>
            </w:tcBorders>
            <w:vAlign w:val="center"/>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优良</w:t>
            </w:r>
          </w:p>
        </w:tc>
        <w:tc>
          <w:tcPr>
            <w:tcW w:w="2100" w:type="dxa"/>
            <w:tcBorders>
              <w:top w:val="nil"/>
              <w:left w:val="nil"/>
              <w:bottom w:val="single" w:color="auto" w:sz="4" w:space="0"/>
              <w:right w:val="single" w:color="auto" w:sz="4" w:space="0"/>
            </w:tcBorders>
            <w:vAlign w:val="center"/>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无　</w:t>
            </w:r>
          </w:p>
        </w:tc>
      </w:tr>
      <w:tr>
        <w:tblPrEx>
          <w:tblLayout w:type="fixed"/>
          <w:tblCellMar>
            <w:top w:w="0" w:type="dxa"/>
            <w:left w:w="108" w:type="dxa"/>
            <w:bottom w:w="0" w:type="dxa"/>
            <w:right w:w="108" w:type="dxa"/>
          </w:tblCellMar>
        </w:tblPrEx>
        <w:trPr>
          <w:trHeight w:val="510" w:hRule="atLeast"/>
          <w:jc w:val="center"/>
        </w:trPr>
        <w:tc>
          <w:tcPr>
            <w:tcW w:w="825" w:type="dxa"/>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2</w:t>
            </w:r>
          </w:p>
        </w:tc>
        <w:tc>
          <w:tcPr>
            <w:tcW w:w="2200"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12</w:t>
            </w:r>
            <w:r>
              <w:rPr>
                <w:rFonts w:hint="eastAsia" w:ascii="微软雅黑" w:hAnsi="微软雅黑" w:eastAsia="微软雅黑" w:cs="微软雅黑"/>
                <w:sz w:val="21"/>
                <w:szCs w:val="21"/>
                <w:lang w:val="en-US" w:eastAsia="zh-CN"/>
              </w:rPr>
              <w:t>·</w:t>
            </w:r>
            <w:r>
              <w:rPr>
                <w:rFonts w:hint="eastAsia" w:ascii="仿宋_GB2312" w:hAnsi="仿宋" w:eastAsia="仿宋_GB2312" w:cs="Times New Roman"/>
                <w:sz w:val="21"/>
                <w:szCs w:val="21"/>
                <w:lang w:val="en-US" w:eastAsia="zh-CN"/>
              </w:rPr>
              <w:t>4国家宪法日法治宣传活动质量要求　</w:t>
            </w:r>
          </w:p>
        </w:tc>
        <w:tc>
          <w:tcPr>
            <w:tcW w:w="2765"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 xml:space="preserve"> 达到合同要求</w:t>
            </w:r>
          </w:p>
        </w:tc>
        <w:tc>
          <w:tcPr>
            <w:tcW w:w="1610"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优良</w:t>
            </w:r>
          </w:p>
        </w:tc>
        <w:tc>
          <w:tcPr>
            <w:tcW w:w="2100"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无　</w:t>
            </w:r>
          </w:p>
        </w:tc>
      </w:tr>
      <w:tr>
        <w:tblPrEx>
          <w:tblLayout w:type="fixed"/>
          <w:tblCellMar>
            <w:top w:w="0" w:type="dxa"/>
            <w:left w:w="108" w:type="dxa"/>
            <w:bottom w:w="0" w:type="dxa"/>
            <w:right w:w="108" w:type="dxa"/>
          </w:tblCellMar>
        </w:tblPrEx>
        <w:trPr>
          <w:trHeight w:val="510" w:hRule="atLeast"/>
          <w:jc w:val="center"/>
        </w:trPr>
        <w:tc>
          <w:tcPr>
            <w:tcW w:w="825" w:type="dxa"/>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3</w:t>
            </w:r>
          </w:p>
        </w:tc>
        <w:tc>
          <w:tcPr>
            <w:tcW w:w="2200"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完成案件全部诉讼审理程序，代为提交法律文件、出庭应诉。</w:t>
            </w:r>
          </w:p>
        </w:tc>
        <w:tc>
          <w:tcPr>
            <w:tcW w:w="2765"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优良</w:t>
            </w:r>
          </w:p>
        </w:tc>
        <w:tc>
          <w:tcPr>
            <w:tcW w:w="1610"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优良</w:t>
            </w:r>
          </w:p>
        </w:tc>
        <w:tc>
          <w:tcPr>
            <w:tcW w:w="2100"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无</w:t>
            </w:r>
          </w:p>
        </w:tc>
      </w:tr>
      <w:tr>
        <w:tblPrEx>
          <w:tblLayout w:type="fixed"/>
          <w:tblCellMar>
            <w:top w:w="0" w:type="dxa"/>
            <w:left w:w="108" w:type="dxa"/>
            <w:bottom w:w="0" w:type="dxa"/>
            <w:right w:w="108" w:type="dxa"/>
          </w:tblCellMar>
        </w:tblPrEx>
        <w:trPr>
          <w:trHeight w:val="510" w:hRule="atLeast"/>
          <w:jc w:val="center"/>
        </w:trPr>
        <w:tc>
          <w:tcPr>
            <w:tcW w:w="825" w:type="dxa"/>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4</w:t>
            </w:r>
          </w:p>
        </w:tc>
        <w:tc>
          <w:tcPr>
            <w:tcW w:w="2200"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租用房屋质量要求</w:t>
            </w:r>
          </w:p>
        </w:tc>
        <w:tc>
          <w:tcPr>
            <w:tcW w:w="2765"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达到文件及合同要求</w:t>
            </w:r>
          </w:p>
        </w:tc>
        <w:tc>
          <w:tcPr>
            <w:tcW w:w="1610"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符合相关要求</w:t>
            </w:r>
          </w:p>
        </w:tc>
        <w:tc>
          <w:tcPr>
            <w:tcW w:w="2100"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无</w:t>
            </w:r>
          </w:p>
        </w:tc>
      </w:tr>
    </w:tbl>
    <w:p>
      <w:pPr>
        <w:pStyle w:val="2"/>
        <w:numPr>
          <w:ilvl w:val="0"/>
          <w:numId w:val="0"/>
        </w:numPr>
        <w:rPr>
          <w:rFonts w:hint="eastAsia"/>
        </w:rPr>
      </w:pPr>
    </w:p>
    <w:p>
      <w:pPr>
        <w:spacing w:line="580" w:lineRule="exact"/>
        <w:ind w:firstLine="640"/>
        <w:rPr>
          <w:rFonts w:hint="eastAsia" w:ascii="仿宋_GB2312" w:eastAsia="仿宋_GB2312"/>
          <w:sz w:val="32"/>
          <w:szCs w:val="32"/>
        </w:rPr>
      </w:pPr>
      <w:r>
        <w:rPr>
          <w:rFonts w:hint="eastAsia" w:ascii="仿宋_GB2312" w:eastAsia="仿宋_GB2312"/>
          <w:sz w:val="32"/>
          <w:szCs w:val="32"/>
        </w:rPr>
        <w:t>（3）产出进度</w:t>
      </w:r>
    </w:p>
    <w:tbl>
      <w:tblPr>
        <w:tblStyle w:val="14"/>
        <w:tblW w:w="10000" w:type="dxa"/>
        <w:jc w:val="center"/>
        <w:tblInd w:w="0" w:type="dxa"/>
        <w:tblLayout w:type="fixed"/>
        <w:tblCellMar>
          <w:top w:w="0" w:type="dxa"/>
          <w:left w:w="108" w:type="dxa"/>
          <w:bottom w:w="0" w:type="dxa"/>
          <w:right w:w="108" w:type="dxa"/>
        </w:tblCellMar>
      </w:tblPr>
      <w:tblGrid>
        <w:gridCol w:w="825"/>
        <w:gridCol w:w="1847"/>
        <w:gridCol w:w="1885"/>
        <w:gridCol w:w="1575"/>
        <w:gridCol w:w="3868"/>
      </w:tblGrid>
      <w:tr>
        <w:tblPrEx>
          <w:tblLayout w:type="fixed"/>
          <w:tblCellMar>
            <w:top w:w="0" w:type="dxa"/>
            <w:left w:w="108" w:type="dxa"/>
            <w:bottom w:w="0" w:type="dxa"/>
            <w:right w:w="108" w:type="dxa"/>
          </w:tblCellMar>
        </w:tblPrEx>
        <w:trPr>
          <w:trHeight w:val="510" w:hRule="atLeast"/>
          <w:jc w:val="center"/>
        </w:trPr>
        <w:tc>
          <w:tcPr>
            <w:tcW w:w="825" w:type="dxa"/>
            <w:tcBorders>
              <w:top w:val="single" w:color="auto" w:sz="4" w:space="0"/>
              <w:left w:val="single" w:color="auto" w:sz="4" w:space="0"/>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序号</w:t>
            </w:r>
          </w:p>
        </w:tc>
        <w:tc>
          <w:tcPr>
            <w:tcW w:w="1847" w:type="dxa"/>
            <w:tcBorders>
              <w:top w:val="single" w:color="auto" w:sz="4" w:space="0"/>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三级指标</w:t>
            </w:r>
          </w:p>
        </w:tc>
        <w:tc>
          <w:tcPr>
            <w:tcW w:w="1885" w:type="dxa"/>
            <w:tcBorders>
              <w:top w:val="single" w:color="auto" w:sz="4" w:space="0"/>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计划值</w:t>
            </w:r>
          </w:p>
        </w:tc>
        <w:tc>
          <w:tcPr>
            <w:tcW w:w="1575" w:type="dxa"/>
            <w:tcBorders>
              <w:top w:val="single" w:color="auto" w:sz="4" w:space="0"/>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完成值</w:t>
            </w:r>
          </w:p>
        </w:tc>
        <w:tc>
          <w:tcPr>
            <w:tcW w:w="3868" w:type="dxa"/>
            <w:tcBorders>
              <w:top w:val="single" w:color="auto" w:sz="4" w:space="0"/>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偏差原因</w:t>
            </w:r>
          </w:p>
        </w:tc>
      </w:tr>
      <w:tr>
        <w:tblPrEx>
          <w:tblLayout w:type="fixed"/>
          <w:tblCellMar>
            <w:top w:w="0" w:type="dxa"/>
            <w:left w:w="108" w:type="dxa"/>
            <w:bottom w:w="0" w:type="dxa"/>
            <w:right w:w="108" w:type="dxa"/>
          </w:tblCellMar>
        </w:tblPrEx>
        <w:trPr>
          <w:trHeight w:val="510" w:hRule="atLeast"/>
          <w:jc w:val="center"/>
        </w:trPr>
        <w:tc>
          <w:tcPr>
            <w:tcW w:w="825" w:type="dxa"/>
            <w:tcBorders>
              <w:top w:val="nil"/>
              <w:left w:val="single" w:color="auto" w:sz="4" w:space="0"/>
              <w:bottom w:val="single" w:color="auto" w:sz="4" w:space="0"/>
              <w:right w:val="single" w:color="auto" w:sz="4" w:space="0"/>
            </w:tcBorders>
            <w:vAlign w:val="center"/>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1</w:t>
            </w:r>
          </w:p>
        </w:tc>
        <w:tc>
          <w:tcPr>
            <w:tcW w:w="1847" w:type="dxa"/>
            <w:tcBorders>
              <w:top w:val="nil"/>
              <w:left w:val="nil"/>
              <w:bottom w:val="single" w:color="auto" w:sz="4" w:space="0"/>
              <w:right w:val="single" w:color="auto" w:sz="4" w:space="0"/>
            </w:tcBorders>
            <w:vAlign w:val="center"/>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项目时效</w:t>
            </w:r>
          </w:p>
        </w:tc>
        <w:tc>
          <w:tcPr>
            <w:tcW w:w="1885" w:type="dxa"/>
            <w:tcBorders>
              <w:top w:val="nil"/>
              <w:left w:val="nil"/>
              <w:bottom w:val="single" w:color="auto" w:sz="4" w:space="0"/>
              <w:right w:val="single" w:color="auto" w:sz="4" w:space="0"/>
            </w:tcBorders>
            <w:vAlign w:val="center"/>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2025年全年</w:t>
            </w:r>
          </w:p>
        </w:tc>
        <w:tc>
          <w:tcPr>
            <w:tcW w:w="1575" w:type="dxa"/>
            <w:tcBorders>
              <w:top w:val="nil"/>
              <w:left w:val="nil"/>
              <w:bottom w:val="single" w:color="auto" w:sz="4" w:space="0"/>
              <w:right w:val="single" w:color="auto" w:sz="4" w:space="0"/>
            </w:tcBorders>
            <w:vAlign w:val="center"/>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个别项目未完成</w:t>
            </w:r>
          </w:p>
        </w:tc>
        <w:tc>
          <w:tcPr>
            <w:tcW w:w="3868" w:type="dxa"/>
            <w:tcBorders>
              <w:top w:val="nil"/>
              <w:left w:val="nil"/>
              <w:bottom w:val="single" w:color="auto" w:sz="4" w:space="0"/>
              <w:right w:val="single" w:color="auto" w:sz="4" w:space="0"/>
            </w:tcBorders>
            <w:vAlign w:val="center"/>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因预算申报时我局仅对项目费用进行了粗略概算，尚未进行可行性研究报告及设计方案申报，因此存在部分费用未纳入概算，部分费用估算不准确的情形，需对预算细目进行调整，因此整体项目延迟。</w:t>
            </w:r>
          </w:p>
        </w:tc>
      </w:tr>
    </w:tbl>
    <w:p>
      <w:pPr>
        <w:spacing w:line="580" w:lineRule="exact"/>
        <w:ind w:firstLine="640"/>
        <w:rPr>
          <w:rFonts w:hint="eastAsia" w:ascii="仿宋_GB2312" w:eastAsia="仿宋_GB2312"/>
          <w:sz w:val="32"/>
          <w:szCs w:val="32"/>
        </w:rPr>
      </w:pPr>
    </w:p>
    <w:p>
      <w:pPr>
        <w:spacing w:line="580" w:lineRule="exact"/>
        <w:ind w:firstLine="640"/>
        <w:rPr>
          <w:rFonts w:hint="eastAsia" w:ascii="仿宋_GB2312" w:eastAsia="仿宋_GB2312"/>
          <w:sz w:val="32"/>
          <w:szCs w:val="32"/>
        </w:rPr>
      </w:pPr>
      <w:r>
        <w:rPr>
          <w:rFonts w:hint="eastAsia" w:ascii="仿宋_GB2312" w:eastAsia="仿宋_GB2312"/>
          <w:sz w:val="32"/>
          <w:szCs w:val="32"/>
        </w:rPr>
        <w:t>（4）产出成本</w:t>
      </w:r>
    </w:p>
    <w:tbl>
      <w:tblPr>
        <w:tblStyle w:val="14"/>
        <w:tblW w:w="10000" w:type="dxa"/>
        <w:jc w:val="center"/>
        <w:tblInd w:w="-192" w:type="dxa"/>
        <w:tblLayout w:type="fixed"/>
        <w:tblCellMar>
          <w:top w:w="0" w:type="dxa"/>
          <w:left w:w="108" w:type="dxa"/>
          <w:bottom w:w="0" w:type="dxa"/>
          <w:right w:w="108" w:type="dxa"/>
        </w:tblCellMar>
      </w:tblPr>
      <w:tblGrid>
        <w:gridCol w:w="825"/>
        <w:gridCol w:w="1847"/>
        <w:gridCol w:w="1885"/>
        <w:gridCol w:w="2872"/>
        <w:gridCol w:w="2571"/>
      </w:tblGrid>
      <w:tr>
        <w:tblPrEx>
          <w:tblLayout w:type="fixed"/>
          <w:tblCellMar>
            <w:top w:w="0" w:type="dxa"/>
            <w:left w:w="108" w:type="dxa"/>
            <w:bottom w:w="0" w:type="dxa"/>
            <w:right w:w="108" w:type="dxa"/>
          </w:tblCellMar>
        </w:tblPrEx>
        <w:trPr>
          <w:trHeight w:val="510" w:hRule="atLeast"/>
          <w:jc w:val="center"/>
        </w:trPr>
        <w:tc>
          <w:tcPr>
            <w:tcW w:w="825" w:type="dxa"/>
            <w:tcBorders>
              <w:top w:val="single" w:color="auto" w:sz="4" w:space="0"/>
              <w:left w:val="single" w:color="auto" w:sz="4" w:space="0"/>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序号</w:t>
            </w:r>
          </w:p>
        </w:tc>
        <w:tc>
          <w:tcPr>
            <w:tcW w:w="1847" w:type="dxa"/>
            <w:tcBorders>
              <w:top w:val="single" w:color="auto" w:sz="4" w:space="0"/>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三级指标</w:t>
            </w:r>
          </w:p>
        </w:tc>
        <w:tc>
          <w:tcPr>
            <w:tcW w:w="1885" w:type="dxa"/>
            <w:tcBorders>
              <w:top w:val="single" w:color="auto" w:sz="4" w:space="0"/>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计划值</w:t>
            </w:r>
          </w:p>
        </w:tc>
        <w:tc>
          <w:tcPr>
            <w:tcW w:w="2872" w:type="dxa"/>
            <w:tcBorders>
              <w:top w:val="single" w:color="auto" w:sz="4" w:space="0"/>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完成值</w:t>
            </w:r>
          </w:p>
        </w:tc>
        <w:tc>
          <w:tcPr>
            <w:tcW w:w="2571" w:type="dxa"/>
            <w:tcBorders>
              <w:top w:val="single" w:color="auto" w:sz="4" w:space="0"/>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偏差原因</w:t>
            </w:r>
          </w:p>
        </w:tc>
      </w:tr>
      <w:tr>
        <w:tblPrEx>
          <w:tblLayout w:type="fixed"/>
          <w:tblCellMar>
            <w:top w:w="0" w:type="dxa"/>
            <w:left w:w="108" w:type="dxa"/>
            <w:bottom w:w="0" w:type="dxa"/>
            <w:right w:w="108" w:type="dxa"/>
          </w:tblCellMar>
        </w:tblPrEx>
        <w:trPr>
          <w:trHeight w:val="510" w:hRule="atLeast"/>
          <w:jc w:val="center"/>
        </w:trPr>
        <w:tc>
          <w:tcPr>
            <w:tcW w:w="825" w:type="dxa"/>
            <w:tcBorders>
              <w:top w:val="nil"/>
              <w:left w:val="single" w:color="auto" w:sz="4" w:space="0"/>
              <w:bottom w:val="single" w:color="auto" w:sz="4" w:space="0"/>
              <w:right w:val="single" w:color="auto" w:sz="4" w:space="0"/>
            </w:tcBorders>
            <w:vAlign w:val="center"/>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1</w:t>
            </w:r>
          </w:p>
        </w:tc>
        <w:tc>
          <w:tcPr>
            <w:tcW w:w="1847" w:type="dxa"/>
            <w:tcBorders>
              <w:top w:val="nil"/>
              <w:left w:val="nil"/>
              <w:bottom w:val="single" w:color="auto" w:sz="4" w:space="0"/>
              <w:right w:val="single" w:color="auto" w:sz="4" w:space="0"/>
            </w:tcBorders>
            <w:vAlign w:val="center"/>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预算控制数</w:t>
            </w:r>
          </w:p>
        </w:tc>
        <w:tc>
          <w:tcPr>
            <w:tcW w:w="1885" w:type="dxa"/>
            <w:tcBorders>
              <w:top w:val="nil"/>
              <w:left w:val="nil"/>
              <w:bottom w:val="single" w:color="auto" w:sz="4" w:space="0"/>
              <w:right w:val="single" w:color="auto" w:sz="4" w:space="0"/>
            </w:tcBorders>
            <w:vAlign w:val="center"/>
          </w:tcPr>
          <w:p>
            <w:pPr>
              <w:widowControl/>
              <w:jc w:val="left"/>
              <w:rPr>
                <w:rFonts w:hint="default"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29,058,351.67元</w:t>
            </w:r>
          </w:p>
        </w:tc>
        <w:tc>
          <w:tcPr>
            <w:tcW w:w="2872" w:type="dxa"/>
            <w:tcBorders>
              <w:top w:val="nil"/>
              <w:left w:val="nil"/>
              <w:bottom w:val="single" w:color="auto" w:sz="4" w:space="0"/>
              <w:right w:val="single" w:color="auto" w:sz="4" w:space="0"/>
            </w:tcBorders>
            <w:vAlign w:val="center"/>
          </w:tcPr>
          <w:p>
            <w:pPr>
              <w:widowControl/>
              <w:jc w:val="left"/>
              <w:rPr>
                <w:rFonts w:hint="default"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28,697,910.88元</w:t>
            </w:r>
          </w:p>
        </w:tc>
        <w:tc>
          <w:tcPr>
            <w:tcW w:w="2571" w:type="dxa"/>
            <w:tcBorders>
              <w:top w:val="nil"/>
              <w:left w:val="nil"/>
              <w:bottom w:val="single" w:color="auto" w:sz="4" w:space="0"/>
              <w:right w:val="single" w:color="auto" w:sz="4" w:space="0"/>
            </w:tcBorders>
            <w:vAlign w:val="center"/>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因预算申报时我局仅对行政规范性文审平台项目费用进行了粗略概算，尚未进行可行性研究报告及设计方案申报，因此存在部分费用未纳入概算，部分费用估算不准确的情形，需对预算细目进行调整，因此整体项目延迟。</w:t>
            </w:r>
          </w:p>
        </w:tc>
      </w:tr>
    </w:tbl>
    <w:p>
      <w:pPr>
        <w:spacing w:line="580" w:lineRule="exact"/>
        <w:ind w:firstLine="640"/>
        <w:rPr>
          <w:rFonts w:hint="eastAsia" w:ascii="仿宋_GB2312" w:eastAsia="仿宋_GB2312"/>
          <w:sz w:val="32"/>
          <w:szCs w:val="32"/>
        </w:rPr>
      </w:pPr>
    </w:p>
    <w:p>
      <w:pPr>
        <w:spacing w:line="580" w:lineRule="exact"/>
        <w:ind w:firstLine="640"/>
        <w:rPr>
          <w:rFonts w:hint="eastAsia" w:ascii="仿宋_GB2312" w:eastAsia="仿宋_GB2312"/>
          <w:sz w:val="32"/>
          <w:szCs w:val="32"/>
        </w:rPr>
      </w:pPr>
      <w:r>
        <w:rPr>
          <w:rFonts w:hint="eastAsia" w:ascii="仿宋_GB2312" w:eastAsia="仿宋_GB2312"/>
          <w:sz w:val="32"/>
          <w:szCs w:val="32"/>
        </w:rPr>
        <w:t>2.效果实现情况分析</w:t>
      </w:r>
    </w:p>
    <w:p>
      <w:pPr>
        <w:spacing w:line="520" w:lineRule="exact"/>
        <w:ind w:firstLine="640"/>
        <w:rPr>
          <w:rFonts w:hint="eastAsia" w:ascii="仿宋_GB2312" w:eastAsia="仿宋_GB2312"/>
          <w:sz w:val="32"/>
          <w:szCs w:val="32"/>
        </w:rPr>
      </w:pPr>
      <w:r>
        <w:rPr>
          <w:rFonts w:hint="eastAsia" w:ascii="仿宋_GB2312" w:eastAsia="仿宋_GB2312"/>
          <w:sz w:val="32"/>
          <w:szCs w:val="32"/>
        </w:rPr>
        <w:t>（1）经济效益</w:t>
      </w:r>
    </w:p>
    <w:p>
      <w:pPr>
        <w:spacing w:line="520" w:lineRule="exact"/>
        <w:ind w:firstLine="640"/>
        <w:rPr>
          <w:rFonts w:hint="eastAsia" w:ascii="仿宋_GB2312" w:eastAsia="仿宋_GB2312"/>
          <w:sz w:val="32"/>
          <w:szCs w:val="32"/>
        </w:rPr>
      </w:pPr>
      <w:r>
        <w:rPr>
          <w:rFonts w:hint="eastAsia" w:ascii="仿宋_GB2312" w:eastAsia="仿宋_GB2312"/>
          <w:sz w:val="28"/>
          <w:szCs w:val="28"/>
          <w:lang w:val="en-US" w:eastAsia="zh-CN"/>
        </w:rPr>
        <w:t>不涉及。</w:t>
      </w:r>
    </w:p>
    <w:p>
      <w:pPr>
        <w:spacing w:line="580" w:lineRule="exact"/>
        <w:ind w:firstLine="640"/>
        <w:rPr>
          <w:rFonts w:hint="eastAsia" w:ascii="仿宋_GB2312" w:eastAsia="仿宋_GB2312"/>
          <w:sz w:val="32"/>
          <w:szCs w:val="32"/>
        </w:rPr>
      </w:pPr>
      <w:r>
        <w:rPr>
          <w:rFonts w:hint="eastAsia" w:ascii="仿宋_GB2312" w:eastAsia="仿宋_GB2312"/>
          <w:sz w:val="32"/>
          <w:szCs w:val="32"/>
        </w:rPr>
        <w:t>（2）社会效益</w:t>
      </w:r>
    </w:p>
    <w:tbl>
      <w:tblPr>
        <w:tblStyle w:val="14"/>
        <w:tblW w:w="9200" w:type="dxa"/>
        <w:jc w:val="center"/>
        <w:tblInd w:w="108" w:type="dxa"/>
        <w:tblLayout w:type="fixed"/>
        <w:tblCellMar>
          <w:top w:w="0" w:type="dxa"/>
          <w:left w:w="108" w:type="dxa"/>
          <w:bottom w:w="0" w:type="dxa"/>
          <w:right w:w="108" w:type="dxa"/>
        </w:tblCellMar>
      </w:tblPr>
      <w:tblGrid>
        <w:gridCol w:w="800"/>
        <w:gridCol w:w="3768"/>
        <w:gridCol w:w="1157"/>
        <w:gridCol w:w="1564"/>
        <w:gridCol w:w="1911"/>
      </w:tblGrid>
      <w:tr>
        <w:tblPrEx>
          <w:tblLayout w:type="fixed"/>
          <w:tblCellMar>
            <w:top w:w="0" w:type="dxa"/>
            <w:left w:w="108" w:type="dxa"/>
            <w:bottom w:w="0" w:type="dxa"/>
            <w:right w:w="108" w:type="dxa"/>
          </w:tblCellMar>
        </w:tblPrEx>
        <w:trPr>
          <w:trHeight w:val="510" w:hRule="atLeast"/>
          <w:jc w:val="center"/>
        </w:trPr>
        <w:tc>
          <w:tcPr>
            <w:tcW w:w="800" w:type="dxa"/>
            <w:tcBorders>
              <w:top w:val="single" w:color="auto" w:sz="4" w:space="0"/>
              <w:left w:val="single" w:color="auto" w:sz="4" w:space="0"/>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序号</w:t>
            </w:r>
          </w:p>
        </w:tc>
        <w:tc>
          <w:tcPr>
            <w:tcW w:w="3768" w:type="dxa"/>
            <w:tcBorders>
              <w:top w:val="single" w:color="auto" w:sz="4" w:space="0"/>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三级指标</w:t>
            </w:r>
          </w:p>
        </w:tc>
        <w:tc>
          <w:tcPr>
            <w:tcW w:w="1157" w:type="dxa"/>
            <w:tcBorders>
              <w:top w:val="single" w:color="auto" w:sz="4" w:space="0"/>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计划值</w:t>
            </w:r>
          </w:p>
        </w:tc>
        <w:tc>
          <w:tcPr>
            <w:tcW w:w="1564" w:type="dxa"/>
            <w:tcBorders>
              <w:top w:val="single" w:color="auto" w:sz="4" w:space="0"/>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完成值</w:t>
            </w:r>
          </w:p>
        </w:tc>
        <w:tc>
          <w:tcPr>
            <w:tcW w:w="1911" w:type="dxa"/>
            <w:tcBorders>
              <w:top w:val="single" w:color="auto" w:sz="4" w:space="0"/>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偏差原因</w:t>
            </w:r>
          </w:p>
        </w:tc>
      </w:tr>
      <w:tr>
        <w:tblPrEx>
          <w:tblLayout w:type="fixed"/>
          <w:tblCellMar>
            <w:top w:w="0" w:type="dxa"/>
            <w:left w:w="108" w:type="dxa"/>
            <w:bottom w:w="0" w:type="dxa"/>
            <w:right w:w="108" w:type="dxa"/>
          </w:tblCellMar>
        </w:tblPrEx>
        <w:trPr>
          <w:trHeight w:val="510" w:hRule="atLeast"/>
          <w:jc w:val="center"/>
        </w:trPr>
        <w:tc>
          <w:tcPr>
            <w:tcW w:w="800" w:type="dxa"/>
            <w:tcBorders>
              <w:top w:val="nil"/>
              <w:left w:val="single" w:color="auto" w:sz="4" w:space="0"/>
              <w:bottom w:val="single" w:color="auto" w:sz="4" w:space="0"/>
              <w:right w:val="single" w:color="auto" w:sz="4" w:space="0"/>
            </w:tcBorders>
            <w:vAlign w:val="center"/>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1</w:t>
            </w:r>
          </w:p>
        </w:tc>
        <w:tc>
          <w:tcPr>
            <w:tcW w:w="3768" w:type="dxa"/>
            <w:tcBorders>
              <w:top w:val="nil"/>
              <w:left w:val="nil"/>
              <w:bottom w:val="single" w:color="auto" w:sz="4" w:space="0"/>
              <w:right w:val="single" w:color="auto" w:sz="4" w:space="0"/>
            </w:tcBorders>
            <w:vAlign w:val="center"/>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通过对全区弱势群体法律宣传和法律服务，使得弱势群体得到法律援助保障。</w:t>
            </w:r>
          </w:p>
        </w:tc>
        <w:tc>
          <w:tcPr>
            <w:tcW w:w="1157" w:type="dxa"/>
            <w:tcBorders>
              <w:top w:val="nil"/>
              <w:left w:val="nil"/>
              <w:bottom w:val="single" w:color="auto" w:sz="4" w:space="0"/>
              <w:right w:val="single" w:color="auto" w:sz="4" w:space="0"/>
            </w:tcBorders>
            <w:vAlign w:val="center"/>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优良</w:t>
            </w:r>
          </w:p>
        </w:tc>
        <w:tc>
          <w:tcPr>
            <w:tcW w:w="1564" w:type="dxa"/>
            <w:tcBorders>
              <w:top w:val="nil"/>
              <w:left w:val="nil"/>
              <w:bottom w:val="single" w:color="auto" w:sz="4" w:space="0"/>
              <w:right w:val="single" w:color="auto" w:sz="4" w:space="0"/>
            </w:tcBorders>
            <w:vAlign w:val="center"/>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优良</w:t>
            </w:r>
          </w:p>
        </w:tc>
        <w:tc>
          <w:tcPr>
            <w:tcW w:w="1911" w:type="dxa"/>
            <w:tcBorders>
              <w:top w:val="nil"/>
              <w:left w:val="nil"/>
              <w:bottom w:val="single" w:color="auto" w:sz="4" w:space="0"/>
              <w:right w:val="single" w:color="auto" w:sz="4" w:space="0"/>
            </w:tcBorders>
            <w:vAlign w:val="center"/>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　无</w:t>
            </w:r>
          </w:p>
        </w:tc>
      </w:tr>
      <w:tr>
        <w:tblPrEx>
          <w:tblLayout w:type="fixed"/>
          <w:tblCellMar>
            <w:top w:w="0" w:type="dxa"/>
            <w:left w:w="108" w:type="dxa"/>
            <w:bottom w:w="0" w:type="dxa"/>
            <w:right w:w="108" w:type="dxa"/>
          </w:tblCellMar>
        </w:tblPrEx>
        <w:trPr>
          <w:trHeight w:val="510" w:hRule="atLeast"/>
          <w:jc w:val="center"/>
        </w:trPr>
        <w:tc>
          <w:tcPr>
            <w:tcW w:w="800" w:type="dxa"/>
            <w:tcBorders>
              <w:top w:val="nil"/>
              <w:left w:val="single" w:color="auto" w:sz="4" w:space="0"/>
              <w:bottom w:val="single" w:color="auto" w:sz="4" w:space="0"/>
              <w:right w:val="single" w:color="auto" w:sz="4" w:space="0"/>
            </w:tcBorders>
            <w:vAlign w:val="center"/>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2</w:t>
            </w:r>
          </w:p>
        </w:tc>
        <w:tc>
          <w:tcPr>
            <w:tcW w:w="3768" w:type="dxa"/>
            <w:tcBorders>
              <w:top w:val="nil"/>
              <w:left w:val="nil"/>
              <w:bottom w:val="single" w:color="auto" w:sz="4" w:space="0"/>
              <w:right w:val="single" w:color="auto" w:sz="4" w:space="0"/>
            </w:tcBorders>
            <w:vAlign w:val="center"/>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群众法治宣传教育知晓率、满意度进一步提升，法治宣传教育覆盖面进一步扩大，市民法治素养进一步提升，地区法治环境进一步优化。</w:t>
            </w:r>
          </w:p>
        </w:tc>
        <w:tc>
          <w:tcPr>
            <w:tcW w:w="1157" w:type="dxa"/>
            <w:tcBorders>
              <w:top w:val="nil"/>
              <w:left w:val="nil"/>
              <w:bottom w:val="single" w:color="auto" w:sz="4" w:space="0"/>
              <w:right w:val="single" w:color="auto" w:sz="4" w:space="0"/>
            </w:tcBorders>
            <w:vAlign w:val="center"/>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优良</w:t>
            </w:r>
          </w:p>
        </w:tc>
        <w:tc>
          <w:tcPr>
            <w:tcW w:w="1564" w:type="dxa"/>
            <w:tcBorders>
              <w:top w:val="nil"/>
              <w:left w:val="nil"/>
              <w:bottom w:val="single" w:color="auto" w:sz="4" w:space="0"/>
              <w:right w:val="single" w:color="auto" w:sz="4" w:space="0"/>
            </w:tcBorders>
            <w:vAlign w:val="center"/>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优良</w:t>
            </w:r>
          </w:p>
        </w:tc>
        <w:tc>
          <w:tcPr>
            <w:tcW w:w="1911" w:type="dxa"/>
            <w:tcBorders>
              <w:top w:val="nil"/>
              <w:left w:val="nil"/>
              <w:bottom w:val="single" w:color="auto" w:sz="4" w:space="0"/>
              <w:right w:val="single" w:color="auto" w:sz="4" w:space="0"/>
            </w:tcBorders>
            <w:vAlign w:val="center"/>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无</w:t>
            </w:r>
          </w:p>
        </w:tc>
      </w:tr>
      <w:tr>
        <w:tblPrEx>
          <w:tblLayout w:type="fixed"/>
          <w:tblCellMar>
            <w:top w:w="0" w:type="dxa"/>
            <w:left w:w="108" w:type="dxa"/>
            <w:bottom w:w="0" w:type="dxa"/>
            <w:right w:w="108" w:type="dxa"/>
          </w:tblCellMar>
        </w:tblPrEx>
        <w:trPr>
          <w:trHeight w:val="510" w:hRule="atLeast"/>
          <w:jc w:val="center"/>
        </w:trPr>
        <w:tc>
          <w:tcPr>
            <w:tcW w:w="800" w:type="dxa"/>
            <w:tcBorders>
              <w:top w:val="nil"/>
              <w:left w:val="single" w:color="auto" w:sz="4" w:space="0"/>
              <w:bottom w:val="single" w:color="auto" w:sz="4" w:space="0"/>
              <w:right w:val="single" w:color="auto" w:sz="4" w:space="0"/>
            </w:tcBorders>
            <w:vAlign w:val="center"/>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3</w:t>
            </w:r>
          </w:p>
        </w:tc>
        <w:tc>
          <w:tcPr>
            <w:tcW w:w="3768" w:type="dxa"/>
            <w:tcBorders>
              <w:top w:val="nil"/>
              <w:left w:val="nil"/>
              <w:bottom w:val="single" w:color="auto" w:sz="4" w:space="0"/>
              <w:right w:val="single" w:color="auto" w:sz="4" w:space="0"/>
            </w:tcBorders>
            <w:vAlign w:val="center"/>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依法行政水平提升。</w:t>
            </w:r>
          </w:p>
        </w:tc>
        <w:tc>
          <w:tcPr>
            <w:tcW w:w="1157" w:type="dxa"/>
            <w:tcBorders>
              <w:top w:val="nil"/>
              <w:left w:val="nil"/>
              <w:bottom w:val="single" w:color="auto" w:sz="4" w:space="0"/>
              <w:right w:val="single" w:color="auto" w:sz="4" w:space="0"/>
            </w:tcBorders>
            <w:vAlign w:val="center"/>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优良</w:t>
            </w:r>
          </w:p>
        </w:tc>
        <w:tc>
          <w:tcPr>
            <w:tcW w:w="1564" w:type="dxa"/>
            <w:tcBorders>
              <w:top w:val="nil"/>
              <w:left w:val="nil"/>
              <w:bottom w:val="single" w:color="auto" w:sz="4" w:space="0"/>
              <w:right w:val="single" w:color="auto" w:sz="4" w:space="0"/>
            </w:tcBorders>
            <w:vAlign w:val="center"/>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优良</w:t>
            </w:r>
          </w:p>
        </w:tc>
        <w:tc>
          <w:tcPr>
            <w:tcW w:w="1911" w:type="dxa"/>
            <w:tcBorders>
              <w:top w:val="nil"/>
              <w:left w:val="nil"/>
              <w:bottom w:val="single" w:color="auto" w:sz="4" w:space="0"/>
              <w:right w:val="single" w:color="auto" w:sz="4" w:space="0"/>
            </w:tcBorders>
            <w:vAlign w:val="center"/>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　无</w:t>
            </w:r>
          </w:p>
        </w:tc>
      </w:tr>
      <w:tr>
        <w:tblPrEx>
          <w:tblLayout w:type="fixed"/>
          <w:tblCellMar>
            <w:top w:w="0" w:type="dxa"/>
            <w:left w:w="108" w:type="dxa"/>
            <w:bottom w:w="0" w:type="dxa"/>
            <w:right w:w="108" w:type="dxa"/>
          </w:tblCellMar>
        </w:tblPrEx>
        <w:trPr>
          <w:trHeight w:val="510" w:hRule="atLeast"/>
          <w:jc w:val="center"/>
        </w:trPr>
        <w:tc>
          <w:tcPr>
            <w:tcW w:w="800"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4</w:t>
            </w:r>
          </w:p>
        </w:tc>
        <w:tc>
          <w:tcPr>
            <w:tcW w:w="3768"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开展社区矫正和安置帮教教育帮扶工作，维护社会稳定。</w:t>
            </w:r>
          </w:p>
        </w:tc>
        <w:tc>
          <w:tcPr>
            <w:tcW w:w="1157"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优良</w:t>
            </w:r>
          </w:p>
        </w:tc>
        <w:tc>
          <w:tcPr>
            <w:tcW w:w="1564"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　优良</w:t>
            </w:r>
          </w:p>
        </w:tc>
        <w:tc>
          <w:tcPr>
            <w:tcW w:w="1911"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　无</w:t>
            </w:r>
          </w:p>
        </w:tc>
      </w:tr>
    </w:tbl>
    <w:p>
      <w:pPr>
        <w:spacing w:line="580" w:lineRule="exact"/>
        <w:ind w:firstLine="640"/>
        <w:rPr>
          <w:rFonts w:hint="eastAsia" w:ascii="仿宋_GB2312" w:eastAsia="仿宋_GB2312"/>
          <w:sz w:val="32"/>
          <w:szCs w:val="32"/>
        </w:rPr>
      </w:pPr>
    </w:p>
    <w:p>
      <w:pPr>
        <w:numPr>
          <w:ilvl w:val="0"/>
          <w:numId w:val="3"/>
        </w:numPr>
        <w:spacing w:line="580" w:lineRule="exact"/>
        <w:ind w:firstLine="640" w:firstLineChars="0"/>
        <w:rPr>
          <w:rFonts w:hint="eastAsia" w:ascii="仿宋_GB2312" w:eastAsia="仿宋_GB2312"/>
          <w:sz w:val="32"/>
          <w:szCs w:val="32"/>
        </w:rPr>
      </w:pPr>
      <w:r>
        <w:rPr>
          <w:rFonts w:hint="eastAsia" w:ascii="仿宋_GB2312" w:eastAsia="仿宋_GB2312"/>
          <w:sz w:val="32"/>
          <w:szCs w:val="32"/>
        </w:rPr>
        <w:t>环境效益</w:t>
      </w:r>
    </w:p>
    <w:p>
      <w:pPr>
        <w:spacing w:line="520" w:lineRule="exact"/>
        <w:ind w:firstLine="640"/>
        <w:rPr>
          <w:rFonts w:hint="eastAsia" w:ascii="仿宋_GB2312" w:eastAsia="仿宋_GB2312"/>
          <w:sz w:val="32"/>
          <w:szCs w:val="32"/>
        </w:rPr>
      </w:pPr>
      <w:r>
        <w:rPr>
          <w:rFonts w:hint="eastAsia" w:ascii="仿宋_GB2312" w:eastAsia="仿宋_GB2312"/>
          <w:sz w:val="28"/>
          <w:szCs w:val="28"/>
          <w:lang w:val="en-US" w:eastAsia="zh-CN"/>
        </w:rPr>
        <w:t>不涉及。</w:t>
      </w:r>
    </w:p>
    <w:p>
      <w:pPr>
        <w:pStyle w:val="2"/>
        <w:numPr>
          <w:ilvl w:val="0"/>
          <w:numId w:val="0"/>
        </w:numPr>
        <w:rPr>
          <w:rFonts w:hint="eastAsia"/>
        </w:rPr>
      </w:pPr>
    </w:p>
    <w:p>
      <w:pPr>
        <w:numPr>
          <w:ilvl w:val="0"/>
          <w:numId w:val="3"/>
        </w:numPr>
        <w:spacing w:line="520" w:lineRule="exact"/>
        <w:ind w:firstLine="640" w:firstLineChars="0"/>
        <w:rPr>
          <w:rFonts w:hint="eastAsia" w:ascii="仿宋_GB2312" w:eastAsia="仿宋_GB2312"/>
          <w:sz w:val="32"/>
          <w:szCs w:val="32"/>
        </w:rPr>
      </w:pPr>
      <w:r>
        <w:rPr>
          <w:rFonts w:hint="eastAsia" w:ascii="仿宋_GB2312" w:eastAsia="仿宋_GB2312"/>
          <w:sz w:val="32"/>
          <w:szCs w:val="32"/>
        </w:rPr>
        <w:t>可持续影响</w:t>
      </w:r>
    </w:p>
    <w:p>
      <w:pPr>
        <w:numPr>
          <w:ilvl w:val="0"/>
          <w:numId w:val="0"/>
        </w:numPr>
        <w:spacing w:line="520" w:lineRule="exact"/>
        <w:ind w:firstLine="560" w:firstLineChars="200"/>
        <w:rPr>
          <w:rFonts w:hint="eastAsia" w:ascii="仿宋_GB2312" w:eastAsia="仿宋_GB2312"/>
          <w:sz w:val="32"/>
          <w:szCs w:val="32"/>
        </w:rPr>
      </w:pPr>
      <w:r>
        <w:rPr>
          <w:rFonts w:hint="eastAsia" w:ascii="仿宋_GB2312" w:eastAsia="仿宋_GB2312"/>
          <w:sz w:val="28"/>
          <w:szCs w:val="28"/>
          <w:lang w:val="en-US" w:eastAsia="zh-CN"/>
        </w:rPr>
        <w:t>不涉及。</w:t>
      </w:r>
    </w:p>
    <w:p>
      <w:pPr>
        <w:spacing w:line="580" w:lineRule="exact"/>
        <w:ind w:firstLine="640"/>
        <w:rPr>
          <w:rFonts w:hint="eastAsia" w:ascii="仿宋_GB2312" w:eastAsia="仿宋_GB2312"/>
          <w:sz w:val="32"/>
          <w:szCs w:val="32"/>
        </w:rPr>
      </w:pPr>
      <w:r>
        <w:rPr>
          <w:rFonts w:hint="eastAsia" w:ascii="仿宋_GB2312" w:eastAsia="仿宋_GB2312"/>
          <w:sz w:val="32"/>
          <w:szCs w:val="32"/>
        </w:rPr>
        <w:t>（5）服务对象满意度</w:t>
      </w:r>
    </w:p>
    <w:tbl>
      <w:tblPr>
        <w:tblStyle w:val="14"/>
        <w:tblW w:w="9200" w:type="dxa"/>
        <w:jc w:val="center"/>
        <w:tblInd w:w="108" w:type="dxa"/>
        <w:tblLayout w:type="fixed"/>
        <w:tblCellMar>
          <w:top w:w="0" w:type="dxa"/>
          <w:left w:w="108" w:type="dxa"/>
          <w:bottom w:w="0" w:type="dxa"/>
          <w:right w:w="108" w:type="dxa"/>
        </w:tblCellMar>
      </w:tblPr>
      <w:tblGrid>
        <w:gridCol w:w="800"/>
        <w:gridCol w:w="2100"/>
        <w:gridCol w:w="2100"/>
        <w:gridCol w:w="2100"/>
        <w:gridCol w:w="2100"/>
      </w:tblGrid>
      <w:tr>
        <w:tblPrEx>
          <w:tblLayout w:type="fixed"/>
          <w:tblCellMar>
            <w:top w:w="0" w:type="dxa"/>
            <w:left w:w="108" w:type="dxa"/>
            <w:bottom w:w="0" w:type="dxa"/>
            <w:right w:w="108" w:type="dxa"/>
          </w:tblCellMar>
        </w:tblPrEx>
        <w:trPr>
          <w:trHeight w:val="510" w:hRule="atLeast"/>
          <w:jc w:val="center"/>
        </w:trPr>
        <w:tc>
          <w:tcPr>
            <w:tcW w:w="800" w:type="dxa"/>
            <w:tcBorders>
              <w:top w:val="single" w:color="auto" w:sz="4" w:space="0"/>
              <w:left w:val="single" w:color="auto" w:sz="4" w:space="0"/>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bookmarkStart w:id="9" w:name="_GoBack"/>
            <w:r>
              <w:rPr>
                <w:rFonts w:hint="eastAsia" w:ascii="仿宋_GB2312" w:hAnsi="宋体" w:eastAsia="仿宋_GB2312" w:cs="宋体"/>
                <w:color w:val="000000"/>
                <w:kern w:val="0"/>
                <w:sz w:val="28"/>
                <w:szCs w:val="28"/>
              </w:rPr>
              <w:t>序号</w:t>
            </w:r>
          </w:p>
        </w:tc>
        <w:tc>
          <w:tcPr>
            <w:tcW w:w="2100" w:type="dxa"/>
            <w:tcBorders>
              <w:top w:val="single" w:color="auto" w:sz="4" w:space="0"/>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三级指标</w:t>
            </w:r>
          </w:p>
        </w:tc>
        <w:tc>
          <w:tcPr>
            <w:tcW w:w="2100" w:type="dxa"/>
            <w:tcBorders>
              <w:top w:val="single" w:color="auto" w:sz="4" w:space="0"/>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计划值</w:t>
            </w:r>
          </w:p>
        </w:tc>
        <w:tc>
          <w:tcPr>
            <w:tcW w:w="2100" w:type="dxa"/>
            <w:tcBorders>
              <w:top w:val="single" w:color="auto" w:sz="4" w:space="0"/>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完成值</w:t>
            </w:r>
          </w:p>
        </w:tc>
        <w:tc>
          <w:tcPr>
            <w:tcW w:w="2100" w:type="dxa"/>
            <w:tcBorders>
              <w:top w:val="single" w:color="auto" w:sz="4" w:space="0"/>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偏差原因</w:t>
            </w:r>
          </w:p>
        </w:tc>
      </w:tr>
      <w:tr>
        <w:tblPrEx>
          <w:tblLayout w:type="fixed"/>
          <w:tblCellMar>
            <w:top w:w="0" w:type="dxa"/>
            <w:left w:w="108" w:type="dxa"/>
            <w:bottom w:w="0" w:type="dxa"/>
            <w:right w:w="108" w:type="dxa"/>
          </w:tblCellMar>
        </w:tblPrEx>
        <w:trPr>
          <w:trHeight w:val="510" w:hRule="atLeast"/>
          <w:jc w:val="center"/>
        </w:trPr>
        <w:tc>
          <w:tcPr>
            <w:tcW w:w="800" w:type="dxa"/>
            <w:tcBorders>
              <w:top w:val="nil"/>
              <w:left w:val="single" w:color="auto" w:sz="4" w:space="0"/>
              <w:bottom w:val="single" w:color="auto" w:sz="4" w:space="0"/>
              <w:right w:val="single" w:color="auto" w:sz="4" w:space="0"/>
            </w:tcBorders>
            <w:vAlign w:val="center"/>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1</w:t>
            </w:r>
          </w:p>
        </w:tc>
        <w:tc>
          <w:tcPr>
            <w:tcW w:w="2100" w:type="dxa"/>
            <w:tcBorders>
              <w:top w:val="nil"/>
              <w:left w:val="nil"/>
              <w:bottom w:val="single" w:color="auto" w:sz="4" w:space="0"/>
              <w:right w:val="single" w:color="auto" w:sz="4" w:space="0"/>
            </w:tcBorders>
            <w:vAlign w:val="center"/>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村民满意度</w:t>
            </w:r>
          </w:p>
        </w:tc>
        <w:tc>
          <w:tcPr>
            <w:tcW w:w="2100" w:type="dxa"/>
            <w:tcBorders>
              <w:top w:val="nil"/>
              <w:left w:val="nil"/>
              <w:bottom w:val="single" w:color="auto" w:sz="4" w:space="0"/>
              <w:right w:val="single" w:color="auto" w:sz="4" w:space="0"/>
            </w:tcBorders>
            <w:vAlign w:val="center"/>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90%</w:t>
            </w:r>
          </w:p>
        </w:tc>
        <w:tc>
          <w:tcPr>
            <w:tcW w:w="2100" w:type="dxa"/>
            <w:tcBorders>
              <w:top w:val="nil"/>
              <w:left w:val="nil"/>
              <w:bottom w:val="single" w:color="auto" w:sz="4" w:space="0"/>
              <w:right w:val="single" w:color="auto" w:sz="4" w:space="0"/>
            </w:tcBorders>
            <w:vAlign w:val="center"/>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100%</w:t>
            </w:r>
          </w:p>
        </w:tc>
        <w:tc>
          <w:tcPr>
            <w:tcW w:w="2100" w:type="dxa"/>
            <w:tcBorders>
              <w:top w:val="nil"/>
              <w:left w:val="nil"/>
              <w:bottom w:val="single" w:color="auto" w:sz="4" w:space="0"/>
              <w:right w:val="single" w:color="auto" w:sz="4" w:space="0"/>
            </w:tcBorders>
            <w:vAlign w:val="center"/>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　无</w:t>
            </w:r>
          </w:p>
        </w:tc>
      </w:tr>
      <w:tr>
        <w:tblPrEx>
          <w:tblLayout w:type="fixed"/>
          <w:tblCellMar>
            <w:top w:w="0" w:type="dxa"/>
            <w:left w:w="108" w:type="dxa"/>
            <w:bottom w:w="0" w:type="dxa"/>
            <w:right w:w="108" w:type="dxa"/>
          </w:tblCellMar>
        </w:tblPrEx>
        <w:trPr>
          <w:trHeight w:val="510" w:hRule="atLeast"/>
          <w:jc w:val="center"/>
        </w:trPr>
        <w:tc>
          <w:tcPr>
            <w:tcW w:w="800" w:type="dxa"/>
            <w:tcBorders>
              <w:top w:val="nil"/>
              <w:left w:val="single" w:color="auto" w:sz="4" w:space="0"/>
              <w:bottom w:val="single" w:color="auto" w:sz="4" w:space="0"/>
              <w:right w:val="single" w:color="auto" w:sz="4" w:space="0"/>
            </w:tcBorders>
            <w:vAlign w:val="center"/>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2</w:t>
            </w:r>
          </w:p>
        </w:tc>
        <w:tc>
          <w:tcPr>
            <w:tcW w:w="2100" w:type="dxa"/>
            <w:tcBorders>
              <w:top w:val="nil"/>
              <w:left w:val="nil"/>
              <w:bottom w:val="single" w:color="auto" w:sz="4" w:space="0"/>
              <w:right w:val="single" w:color="auto" w:sz="4" w:space="0"/>
            </w:tcBorders>
            <w:vAlign w:val="center"/>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村居满意度</w:t>
            </w:r>
          </w:p>
        </w:tc>
        <w:tc>
          <w:tcPr>
            <w:tcW w:w="2100" w:type="dxa"/>
            <w:tcBorders>
              <w:top w:val="nil"/>
              <w:left w:val="nil"/>
              <w:bottom w:val="single" w:color="auto" w:sz="4" w:space="0"/>
              <w:right w:val="single" w:color="auto" w:sz="4" w:space="0"/>
            </w:tcBorders>
            <w:vAlign w:val="center"/>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90%</w:t>
            </w:r>
          </w:p>
        </w:tc>
        <w:tc>
          <w:tcPr>
            <w:tcW w:w="2100" w:type="dxa"/>
            <w:tcBorders>
              <w:top w:val="nil"/>
              <w:left w:val="nil"/>
              <w:bottom w:val="single" w:color="auto" w:sz="4" w:space="0"/>
              <w:right w:val="single" w:color="auto" w:sz="4" w:space="0"/>
            </w:tcBorders>
            <w:vAlign w:val="center"/>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100%</w:t>
            </w:r>
          </w:p>
        </w:tc>
        <w:tc>
          <w:tcPr>
            <w:tcW w:w="2100" w:type="dxa"/>
            <w:tcBorders>
              <w:top w:val="nil"/>
              <w:left w:val="nil"/>
              <w:bottom w:val="single" w:color="auto" w:sz="4" w:space="0"/>
              <w:right w:val="single" w:color="auto" w:sz="4" w:space="0"/>
            </w:tcBorders>
            <w:vAlign w:val="center"/>
          </w:tcPr>
          <w:p>
            <w:pPr>
              <w:widowControl/>
              <w:jc w:val="left"/>
              <w:rPr>
                <w:rFonts w:hint="eastAsia" w:ascii="仿宋_GB2312" w:hAnsi="仿宋" w:eastAsia="仿宋_GB2312" w:cs="Times New Roman"/>
                <w:sz w:val="21"/>
                <w:szCs w:val="21"/>
                <w:lang w:val="en-US" w:eastAsia="zh-CN"/>
              </w:rPr>
            </w:pPr>
            <w:r>
              <w:rPr>
                <w:rFonts w:hint="eastAsia" w:ascii="仿宋_GB2312" w:hAnsi="仿宋" w:eastAsia="仿宋_GB2312" w:cs="Times New Roman"/>
                <w:sz w:val="21"/>
                <w:szCs w:val="21"/>
                <w:lang w:val="en-US" w:eastAsia="zh-CN"/>
              </w:rPr>
              <w:t>　无</w:t>
            </w:r>
          </w:p>
        </w:tc>
      </w:tr>
      <w:bookmarkEnd w:id="9"/>
    </w:tbl>
    <w:p>
      <w:pPr>
        <w:spacing w:line="580" w:lineRule="exact"/>
        <w:ind w:firstLine="640"/>
        <w:rPr>
          <w:rFonts w:hint="eastAsia" w:ascii="仿宋_GB2312" w:eastAsia="仿宋_GB2312"/>
          <w:sz w:val="32"/>
          <w:szCs w:val="32"/>
        </w:rPr>
      </w:pPr>
    </w:p>
    <w:p>
      <w:pPr>
        <w:spacing w:line="580" w:lineRule="exact"/>
        <w:ind w:firstLine="640"/>
        <w:rPr>
          <w:rFonts w:hint="eastAsia" w:ascii="楷体_GB2312" w:eastAsia="楷体_GB2312"/>
          <w:b/>
          <w:sz w:val="32"/>
          <w:szCs w:val="32"/>
        </w:rPr>
      </w:pPr>
      <w:r>
        <w:rPr>
          <w:rFonts w:hint="eastAsia" w:ascii="楷体_GB2312" w:eastAsia="楷体_GB2312"/>
          <w:b/>
          <w:sz w:val="32"/>
          <w:szCs w:val="32"/>
        </w:rPr>
        <w:t>（四）预算管理情况分析</w:t>
      </w:r>
    </w:p>
    <w:p>
      <w:pPr>
        <w:spacing w:line="580" w:lineRule="exact"/>
        <w:ind w:firstLine="640"/>
        <w:rPr>
          <w:rFonts w:hint="eastAsia" w:ascii="仿宋_GB2312" w:eastAsia="仿宋_GB2312"/>
          <w:sz w:val="32"/>
          <w:szCs w:val="32"/>
        </w:rPr>
      </w:pPr>
      <w:r>
        <w:rPr>
          <w:rFonts w:hint="eastAsia" w:ascii="仿宋_GB2312" w:eastAsia="仿宋_GB2312"/>
          <w:sz w:val="32"/>
          <w:szCs w:val="32"/>
        </w:rPr>
        <w:t>1.财务管理</w:t>
      </w:r>
    </w:p>
    <w:p>
      <w:pPr>
        <w:keepNext w:val="0"/>
        <w:keepLines w:val="0"/>
        <w:pageBreakBefore w:val="0"/>
        <w:widowControl w:val="0"/>
        <w:numPr>
          <w:ilvl w:val="0"/>
          <w:numId w:val="0"/>
        </w:numPr>
        <w:pBdr>
          <w:bottom w:val="single" w:color="FFFFFF" w:sz="4" w:space="31"/>
        </w:pBdr>
        <w:shd w:val="clear" w:color="auto" w:fill="auto"/>
        <w:kinsoku/>
        <w:wordWrap/>
        <w:overflowPunct/>
        <w:topLinePunct/>
        <w:autoSpaceDE/>
        <w:autoSpaceDN/>
        <w:bidi w:val="0"/>
        <w:adjustRightInd w:val="0"/>
        <w:snapToGrid/>
        <w:spacing w:line="560" w:lineRule="exact"/>
        <w:ind w:right="0" w:rightChars="0" w:firstLine="560" w:firstLineChars="200"/>
        <w:jc w:val="both"/>
        <w:textAlignment w:val="auto"/>
        <w:outlineLvl w:val="9"/>
        <w:rPr>
          <w:rFonts w:hint="eastAsia" w:ascii="仿宋_GB2312" w:hAnsi="Calibri" w:eastAsia="仿宋_GB2312" w:cs="Times New Roman"/>
          <w:kern w:val="2"/>
          <w:sz w:val="28"/>
          <w:szCs w:val="28"/>
          <w:lang w:val="en-US" w:eastAsia="zh-CN" w:bidi="ar-SA"/>
        </w:rPr>
      </w:pPr>
      <w:r>
        <w:rPr>
          <w:rFonts w:hint="eastAsia" w:ascii="仿宋_GB2312" w:hAnsi="Calibri" w:eastAsia="仿宋_GB2312" w:cs="Times New Roman"/>
          <w:kern w:val="2"/>
          <w:sz w:val="28"/>
          <w:szCs w:val="28"/>
          <w:lang w:val="en-US" w:eastAsia="zh-CN" w:bidi="ar-SA"/>
        </w:rPr>
        <w:t>截止到202</w:t>
      </w:r>
      <w:r>
        <w:rPr>
          <w:rFonts w:hint="eastAsia" w:ascii="仿宋_GB2312" w:eastAsia="仿宋_GB2312" w:cs="Times New Roman"/>
          <w:kern w:val="2"/>
          <w:sz w:val="28"/>
          <w:szCs w:val="28"/>
          <w:lang w:val="en-US" w:eastAsia="zh-CN" w:bidi="ar-SA"/>
        </w:rPr>
        <w:t>5</w:t>
      </w:r>
      <w:r>
        <w:rPr>
          <w:rFonts w:hint="eastAsia" w:ascii="仿宋_GB2312" w:hAnsi="Calibri" w:eastAsia="仿宋_GB2312" w:cs="Times New Roman"/>
          <w:kern w:val="2"/>
          <w:sz w:val="28"/>
          <w:szCs w:val="28"/>
          <w:lang w:val="en-US" w:eastAsia="zh-CN" w:bidi="ar-SA"/>
        </w:rPr>
        <w:t>年12月31日，本单位已建立健全财务、收支等管理制度，明确了本局收支管理流程的流程节点、岗位分工等，并对涉及的科室进行明确的规定，包括需求科室、归口管理科室、分管主管领导，及需经局长办公会及党组会讨论通过的要求等，并且严格按照相关规定执行。</w:t>
      </w:r>
    </w:p>
    <w:p>
      <w:pPr>
        <w:keepNext w:val="0"/>
        <w:keepLines w:val="0"/>
        <w:pageBreakBefore w:val="0"/>
        <w:widowControl w:val="0"/>
        <w:numPr>
          <w:ilvl w:val="0"/>
          <w:numId w:val="0"/>
        </w:numPr>
        <w:pBdr>
          <w:bottom w:val="single" w:color="FFFFFF" w:sz="4" w:space="31"/>
        </w:pBdr>
        <w:shd w:val="clear" w:color="auto" w:fill="auto"/>
        <w:kinsoku/>
        <w:wordWrap/>
        <w:overflowPunct/>
        <w:topLinePunct/>
        <w:autoSpaceDE/>
        <w:autoSpaceDN/>
        <w:bidi w:val="0"/>
        <w:adjustRightInd w:val="0"/>
        <w:snapToGrid/>
        <w:spacing w:line="560" w:lineRule="exact"/>
        <w:ind w:left="0" w:leftChars="0" w:right="0" w:rightChars="0" w:firstLine="560" w:firstLineChars="200"/>
        <w:jc w:val="both"/>
        <w:textAlignment w:val="auto"/>
        <w:outlineLvl w:val="9"/>
        <w:rPr>
          <w:rFonts w:hint="eastAsia" w:ascii="仿宋_GB2312" w:hAnsi="Times New Roman" w:eastAsia="仿宋_GB2312" w:cs="Times New Roman"/>
          <w:sz w:val="28"/>
          <w:szCs w:val="28"/>
          <w:lang w:val="en-US" w:eastAsia="zh-CN"/>
        </w:rPr>
      </w:pPr>
      <w:r>
        <w:rPr>
          <w:rFonts w:hint="eastAsia" w:ascii="仿宋_GB2312" w:hAnsi="Times New Roman" w:eastAsia="仿宋_GB2312" w:cs="Times New Roman"/>
          <w:sz w:val="28"/>
          <w:szCs w:val="28"/>
          <w:lang w:val="en-US" w:eastAsia="zh-CN"/>
        </w:rPr>
        <w:t>财务信息及资料均由具有财务知识的人管理归纳，定期移交档案室。并且定期对财务管理情况进行监督检查。</w:t>
      </w:r>
    </w:p>
    <w:p>
      <w:pPr>
        <w:keepNext w:val="0"/>
        <w:keepLines w:val="0"/>
        <w:pageBreakBefore w:val="0"/>
        <w:widowControl w:val="0"/>
        <w:numPr>
          <w:ilvl w:val="0"/>
          <w:numId w:val="4"/>
        </w:numPr>
        <w:pBdr>
          <w:bottom w:val="single" w:color="FFFFFF" w:sz="4" w:space="31"/>
        </w:pBdr>
        <w:shd w:val="clear" w:color="auto" w:fill="auto"/>
        <w:kinsoku/>
        <w:wordWrap/>
        <w:overflowPunct/>
        <w:topLinePunct/>
        <w:autoSpaceDE/>
        <w:autoSpaceDN/>
        <w:bidi w:val="0"/>
        <w:adjustRightInd w:val="0"/>
        <w:snapToGrid/>
        <w:spacing w:line="560" w:lineRule="exact"/>
        <w:ind w:left="0" w:leftChars="0" w:right="0" w:rightChars="0" w:firstLine="640" w:firstLineChars="200"/>
        <w:jc w:val="both"/>
        <w:textAlignment w:val="auto"/>
        <w:outlineLvl w:val="9"/>
        <w:rPr>
          <w:rFonts w:hint="eastAsia" w:ascii="仿宋_GB2312" w:eastAsia="仿宋_GB2312"/>
          <w:sz w:val="32"/>
          <w:szCs w:val="32"/>
        </w:rPr>
      </w:pPr>
      <w:r>
        <w:rPr>
          <w:rFonts w:hint="eastAsia" w:ascii="仿宋_GB2312" w:eastAsia="仿宋_GB2312"/>
          <w:sz w:val="32"/>
          <w:szCs w:val="32"/>
        </w:rPr>
        <w:t>资产管理</w:t>
      </w:r>
    </w:p>
    <w:p>
      <w:pPr>
        <w:keepNext w:val="0"/>
        <w:keepLines w:val="0"/>
        <w:pageBreakBefore w:val="0"/>
        <w:widowControl w:val="0"/>
        <w:numPr>
          <w:ilvl w:val="0"/>
          <w:numId w:val="0"/>
        </w:numPr>
        <w:pBdr>
          <w:bottom w:val="single" w:color="FFFFFF" w:sz="4" w:space="31"/>
        </w:pBdr>
        <w:shd w:val="clear" w:color="auto"/>
        <w:kinsoku/>
        <w:wordWrap/>
        <w:overflowPunct/>
        <w:topLinePunct/>
        <w:autoSpaceDE/>
        <w:autoSpaceDN/>
        <w:bidi w:val="0"/>
        <w:adjustRightInd w:val="0"/>
        <w:snapToGrid/>
        <w:spacing w:line="560" w:lineRule="exact"/>
        <w:ind w:right="0" w:rightChars="0" w:firstLine="560" w:firstLineChars="200"/>
        <w:jc w:val="both"/>
        <w:textAlignment w:val="auto"/>
        <w:outlineLvl w:val="9"/>
        <w:rPr>
          <w:rFonts w:hint="eastAsia"/>
        </w:rPr>
      </w:pPr>
      <w:r>
        <w:rPr>
          <w:rFonts w:hint="eastAsia" w:ascii="仿宋_GB2312" w:hAnsi="Calibri" w:eastAsia="仿宋_GB2312" w:cs="Times New Roman"/>
          <w:kern w:val="2"/>
          <w:sz w:val="28"/>
          <w:szCs w:val="28"/>
          <w:lang w:val="en-US" w:eastAsia="zh-CN" w:bidi="ar-SA"/>
        </w:rPr>
        <w:t>本年度年末固定资产原值为</w:t>
      </w:r>
      <w:r>
        <w:rPr>
          <w:rFonts w:ascii="宋体" w:hAnsi="宋体" w:eastAsia="宋体" w:cs="宋体"/>
          <w:sz w:val="24"/>
          <w:szCs w:val="24"/>
        </w:rPr>
        <w:t>13,654,896.95</w:t>
      </w:r>
      <w:r>
        <w:rPr>
          <w:rFonts w:hint="eastAsia" w:ascii="仿宋_GB2312" w:hAnsi="Calibri" w:eastAsia="仿宋_GB2312" w:cs="Times New Roman"/>
          <w:kern w:val="2"/>
          <w:sz w:val="28"/>
          <w:szCs w:val="28"/>
          <w:lang w:val="en-US" w:eastAsia="zh-CN" w:bidi="ar-SA"/>
        </w:rPr>
        <w:t>万元，上年度为</w:t>
      </w:r>
      <w:r>
        <w:rPr>
          <w:rFonts w:hint="eastAsia" w:ascii="宋体" w:hAnsi="宋体" w:eastAsia="宋体" w:cs="宋体"/>
          <w:sz w:val="24"/>
          <w:szCs w:val="24"/>
        </w:rPr>
        <w:t>14,406,377.95</w:t>
      </w:r>
      <w:r>
        <w:rPr>
          <w:rFonts w:hint="eastAsia" w:ascii="仿宋_GB2312" w:hAnsi="Calibri" w:eastAsia="仿宋_GB2312" w:cs="Times New Roman"/>
          <w:kern w:val="2"/>
          <w:sz w:val="28"/>
          <w:szCs w:val="28"/>
          <w:lang w:val="en-US" w:eastAsia="zh-CN" w:bidi="ar-SA"/>
        </w:rPr>
        <w:t>元，差异较小；净资产本年度</w:t>
      </w:r>
      <w:r>
        <w:rPr>
          <w:rFonts w:hint="eastAsia" w:ascii="仿宋_GB2312" w:hAnsi="Calibri" w:eastAsia="仿宋_GB2312" w:cs="Times New Roman"/>
          <w:kern w:val="2"/>
          <w:sz w:val="28"/>
          <w:szCs w:val="28"/>
          <w:shd w:val="clear"/>
          <w:lang w:val="en-US" w:eastAsia="zh-CN" w:bidi="ar-SA"/>
        </w:rPr>
        <w:t>2,584,370.68</w:t>
      </w:r>
      <w:r>
        <w:rPr>
          <w:rFonts w:hint="eastAsia" w:ascii="仿宋_GB2312" w:hAnsi="Calibri" w:eastAsia="仿宋_GB2312" w:cs="Times New Roman"/>
          <w:kern w:val="2"/>
          <w:sz w:val="28"/>
          <w:szCs w:val="28"/>
          <w:lang w:val="en-US" w:eastAsia="zh-CN" w:bidi="ar-SA"/>
        </w:rPr>
        <w:t>元，上年度为</w:t>
      </w:r>
      <w:r>
        <w:rPr>
          <w:rFonts w:hint="eastAsia" w:ascii="仿宋_GB2312" w:hAnsi="Calibri" w:eastAsia="仿宋_GB2312" w:cs="Times New Roman"/>
          <w:kern w:val="2"/>
          <w:sz w:val="28"/>
          <w:szCs w:val="28"/>
          <w:shd w:val="clear"/>
          <w:lang w:val="en-US" w:eastAsia="zh-CN" w:bidi="ar-SA"/>
        </w:rPr>
        <w:t>2,535,725.02</w:t>
      </w:r>
      <w:r>
        <w:rPr>
          <w:rFonts w:hint="eastAsia" w:ascii="仿宋_GB2312" w:hAnsi="Calibri" w:eastAsia="仿宋_GB2312" w:cs="Times New Roman"/>
          <w:kern w:val="2"/>
          <w:sz w:val="28"/>
          <w:szCs w:val="28"/>
          <w:lang w:val="en-US" w:eastAsia="zh-CN" w:bidi="ar-SA"/>
        </w:rPr>
        <w:t>元，差异较小；本年度年末无形资产原值为1,582,255.00万元，无形资产摊销153,830.32元，增加原因主要为2024年建设的行政规范性管理平台项目于2025年6月完工，验收合格后，由在建工程转为无形资产，无形资产增加。</w:t>
      </w:r>
    </w:p>
    <w:p>
      <w:pPr>
        <w:spacing w:line="580" w:lineRule="exact"/>
        <w:ind w:firstLine="640"/>
        <w:rPr>
          <w:rFonts w:hint="eastAsia" w:ascii="仿宋_GB2312" w:eastAsia="仿宋_GB2312"/>
          <w:sz w:val="32"/>
          <w:szCs w:val="32"/>
        </w:rPr>
      </w:pPr>
      <w:r>
        <w:rPr>
          <w:rFonts w:hint="eastAsia" w:ascii="仿宋_GB2312" w:eastAsia="仿宋_GB2312"/>
          <w:sz w:val="32"/>
          <w:szCs w:val="32"/>
        </w:rPr>
        <w:t>3.绩效管理</w:t>
      </w:r>
    </w:p>
    <w:p>
      <w:pPr>
        <w:spacing w:line="580" w:lineRule="exact"/>
        <w:ind w:firstLine="640"/>
        <w:rPr>
          <w:rFonts w:hint="eastAsia" w:ascii="仿宋_GB2312" w:eastAsia="仿宋_GB2312"/>
          <w:sz w:val="32"/>
          <w:szCs w:val="32"/>
        </w:rPr>
      </w:pPr>
      <w:r>
        <w:rPr>
          <w:rFonts w:hint="eastAsia" w:ascii="仿宋_GB2312" w:eastAsia="仿宋_GB2312"/>
          <w:sz w:val="32"/>
          <w:szCs w:val="32"/>
        </w:rPr>
        <w:t>（1）预算绩效管理制度情况</w:t>
      </w:r>
    </w:p>
    <w:p>
      <w:pPr>
        <w:keepNext w:val="0"/>
        <w:keepLines w:val="0"/>
        <w:pageBreakBefore w:val="0"/>
        <w:widowControl w:val="0"/>
        <w:numPr>
          <w:ilvl w:val="0"/>
          <w:numId w:val="0"/>
        </w:numPr>
        <w:pBdr>
          <w:bottom w:val="single" w:color="FFFFFF" w:sz="4" w:space="31"/>
        </w:pBdr>
        <w:shd w:val="clear" w:color="auto" w:fill="auto"/>
        <w:kinsoku/>
        <w:wordWrap/>
        <w:overflowPunct/>
        <w:topLinePunct/>
        <w:autoSpaceDE/>
        <w:autoSpaceDN/>
        <w:bidi w:val="0"/>
        <w:adjustRightInd w:val="0"/>
        <w:snapToGrid/>
        <w:spacing w:line="560" w:lineRule="exact"/>
        <w:ind w:right="0" w:rightChars="0" w:firstLine="560" w:firstLineChars="200"/>
        <w:jc w:val="both"/>
        <w:textAlignment w:val="auto"/>
        <w:outlineLvl w:val="9"/>
        <w:rPr>
          <w:rFonts w:hint="eastAsia" w:ascii="仿宋_GB2312" w:eastAsia="仿宋_GB2312" w:cs="Times New Roman"/>
          <w:sz w:val="28"/>
          <w:szCs w:val="28"/>
          <w:lang w:val="en-US" w:eastAsia="zh-CN"/>
        </w:rPr>
      </w:pPr>
      <w:r>
        <w:rPr>
          <w:rFonts w:hint="eastAsia" w:ascii="仿宋_GB2312" w:eastAsia="仿宋_GB2312" w:cs="Times New Roman"/>
          <w:sz w:val="28"/>
          <w:szCs w:val="28"/>
          <w:lang w:val="en-US" w:eastAsia="zh-CN"/>
        </w:rPr>
        <w:t>绩效目标方面：制定绩效目标编制管理要求，完成财政的绩效目标编报工作，将绩效目标作为项目前期评审和预算审核的重要内容之一。　　</w:t>
      </w:r>
    </w:p>
    <w:p>
      <w:pPr>
        <w:keepNext w:val="0"/>
        <w:keepLines w:val="0"/>
        <w:pageBreakBefore w:val="0"/>
        <w:widowControl w:val="0"/>
        <w:numPr>
          <w:ilvl w:val="0"/>
          <w:numId w:val="0"/>
        </w:numPr>
        <w:pBdr>
          <w:bottom w:val="single" w:color="FFFFFF" w:sz="4" w:space="31"/>
        </w:pBdr>
        <w:shd w:val="clear" w:color="auto" w:fill="auto"/>
        <w:kinsoku/>
        <w:wordWrap/>
        <w:overflowPunct/>
        <w:topLinePunct/>
        <w:autoSpaceDE/>
        <w:autoSpaceDN/>
        <w:bidi w:val="0"/>
        <w:adjustRightInd w:val="0"/>
        <w:snapToGrid/>
        <w:spacing w:line="560" w:lineRule="exact"/>
        <w:ind w:right="0" w:rightChars="0" w:firstLine="560" w:firstLineChars="200"/>
        <w:jc w:val="both"/>
        <w:textAlignment w:val="auto"/>
        <w:outlineLvl w:val="9"/>
        <w:rPr>
          <w:rFonts w:hint="eastAsia" w:ascii="仿宋_GB2312" w:eastAsia="仿宋_GB2312" w:cs="Times New Roman"/>
          <w:sz w:val="28"/>
          <w:szCs w:val="28"/>
          <w:lang w:val="en-US" w:eastAsia="zh-CN"/>
        </w:rPr>
      </w:pPr>
      <w:r>
        <w:rPr>
          <w:rFonts w:hint="eastAsia" w:ascii="仿宋_GB2312" w:eastAsia="仿宋_GB2312" w:cs="Times New Roman"/>
          <w:sz w:val="28"/>
          <w:szCs w:val="28"/>
          <w:lang w:val="en-US" w:eastAsia="zh-CN"/>
        </w:rPr>
        <w:t>绩效跟踪方面：重点推进以预算部门为主体的绩效跟踪，加强项目预算执行，优化项目资金管理，促进绩效目标实现。</w:t>
      </w:r>
    </w:p>
    <w:p>
      <w:pPr>
        <w:pStyle w:val="2"/>
        <w:rPr>
          <w:rFonts w:hint="eastAsia"/>
        </w:rPr>
      </w:pPr>
      <w:r>
        <w:rPr>
          <w:rFonts w:hint="eastAsia" w:ascii="仿宋_GB2312" w:eastAsia="仿宋_GB2312" w:cs="Times New Roman"/>
          <w:sz w:val="28"/>
          <w:szCs w:val="28"/>
          <w:lang w:val="en-US" w:eastAsia="zh-CN"/>
        </w:rPr>
        <w:t>绩效评价方面：一是预算主管部门开展绩效评价，进一步落实支出责任。二是进一步拓展绩效评价管理模式，在重点项目绩效评价的基础上，开展部门整体支出绩效评价工作。三是加强对预算部门和评价机构的政策业务培训，进一步提高绩效评价质量。</w:t>
      </w:r>
    </w:p>
    <w:p>
      <w:pPr>
        <w:spacing w:line="580" w:lineRule="exact"/>
        <w:ind w:firstLine="640"/>
        <w:rPr>
          <w:rFonts w:hint="eastAsia" w:ascii="仿宋_GB2312" w:eastAsia="仿宋_GB2312"/>
          <w:sz w:val="32"/>
          <w:szCs w:val="32"/>
        </w:rPr>
      </w:pPr>
      <w:r>
        <w:rPr>
          <w:rFonts w:hint="eastAsia" w:ascii="仿宋_GB2312" w:eastAsia="仿宋_GB2312"/>
          <w:sz w:val="32"/>
          <w:szCs w:val="32"/>
        </w:rPr>
        <w:t>（2）绩效目标管理情况</w:t>
      </w:r>
    </w:p>
    <w:p>
      <w:pPr>
        <w:spacing w:line="580" w:lineRule="exact"/>
        <w:ind w:firstLine="640"/>
        <w:rPr>
          <w:rFonts w:hint="eastAsia" w:ascii="仿宋_GB2312" w:eastAsia="仿宋_GB2312"/>
          <w:sz w:val="32"/>
          <w:szCs w:val="32"/>
        </w:rPr>
      </w:pPr>
      <w:r>
        <w:rPr>
          <w:rFonts w:hint="eastAsia" w:ascii="仿宋_GB2312" w:eastAsia="仿宋_GB2312"/>
          <w:sz w:val="32"/>
          <w:szCs w:val="32"/>
        </w:rPr>
        <w:t>2025年部门预算项目</w:t>
      </w:r>
      <w:r>
        <w:rPr>
          <w:rFonts w:hint="eastAsia" w:ascii="仿宋_GB2312" w:eastAsia="仿宋_GB2312"/>
          <w:sz w:val="32"/>
          <w:szCs w:val="32"/>
          <w:lang w:val="en-US" w:eastAsia="zh-CN"/>
        </w:rPr>
        <w:t>18</w:t>
      </w:r>
      <w:r>
        <w:rPr>
          <w:rFonts w:hint="eastAsia" w:ascii="仿宋_GB2312" w:eastAsia="仿宋_GB2312"/>
          <w:sz w:val="32"/>
          <w:szCs w:val="32"/>
        </w:rPr>
        <w:t>个，部门预算公开绩效目标的预算项目</w:t>
      </w:r>
      <w:r>
        <w:rPr>
          <w:rFonts w:hint="eastAsia" w:ascii="仿宋_GB2312" w:eastAsia="仿宋_GB2312"/>
          <w:sz w:val="32"/>
          <w:szCs w:val="32"/>
          <w:lang w:val="en-US" w:eastAsia="zh-CN"/>
        </w:rPr>
        <w:t>18</w:t>
      </w:r>
      <w:r>
        <w:rPr>
          <w:rFonts w:hint="eastAsia" w:ascii="仿宋_GB2312" w:eastAsia="仿宋_GB2312"/>
          <w:sz w:val="32"/>
          <w:szCs w:val="32"/>
        </w:rPr>
        <w:t>个，占本部门全部预算项目的</w:t>
      </w:r>
      <w:r>
        <w:rPr>
          <w:rFonts w:hint="eastAsia" w:ascii="仿宋_GB2312" w:eastAsia="仿宋_GB2312"/>
          <w:sz w:val="32"/>
          <w:szCs w:val="32"/>
          <w:lang w:val="en-US" w:eastAsia="zh-CN"/>
        </w:rPr>
        <w:t>100.0</w:t>
      </w:r>
      <w:r>
        <w:rPr>
          <w:rFonts w:hint="eastAsia" w:ascii="仿宋_GB2312" w:eastAsia="仿宋_GB2312"/>
          <w:sz w:val="32"/>
          <w:szCs w:val="32"/>
        </w:rPr>
        <w:t>%。</w:t>
      </w:r>
    </w:p>
    <w:p>
      <w:pPr>
        <w:spacing w:line="580" w:lineRule="exact"/>
        <w:ind w:firstLine="640"/>
        <w:rPr>
          <w:rFonts w:hint="eastAsia" w:ascii="仿宋_GB2312" w:eastAsia="仿宋_GB2312"/>
          <w:sz w:val="32"/>
          <w:szCs w:val="32"/>
        </w:rPr>
      </w:pPr>
      <w:r>
        <w:rPr>
          <w:rFonts w:hint="eastAsia" w:ascii="仿宋_GB2312" w:eastAsia="仿宋_GB2312"/>
          <w:sz w:val="32"/>
          <w:szCs w:val="32"/>
        </w:rPr>
        <w:t>（3）绩效自评情况</w:t>
      </w:r>
    </w:p>
    <w:p>
      <w:pPr>
        <w:shd w:val="clear"/>
        <w:spacing w:line="580" w:lineRule="exact"/>
        <w:ind w:firstLine="640"/>
        <w:rPr>
          <w:rFonts w:hint="eastAsia" w:ascii="仿宋_GB2312" w:eastAsia="仿宋_GB2312"/>
          <w:sz w:val="32"/>
          <w:szCs w:val="32"/>
        </w:rPr>
      </w:pPr>
      <w:r>
        <w:rPr>
          <w:rFonts w:ascii="仿宋_GB2312" w:hAnsi="微软雅黑" w:eastAsia="仿宋_GB2312" w:cs="微软雅黑"/>
          <w:color w:val="404040"/>
          <w:sz w:val="32"/>
          <w:szCs w:val="32"/>
          <w:shd w:val="clear" w:color="auto" w:fill="FFFFFF"/>
        </w:rPr>
        <w:t>202</w:t>
      </w:r>
      <w:r>
        <w:rPr>
          <w:rFonts w:hint="eastAsia" w:ascii="仿宋_GB2312" w:hAnsi="微软雅黑" w:eastAsia="仿宋_GB2312" w:cs="微软雅黑"/>
          <w:color w:val="404040"/>
          <w:sz w:val="32"/>
          <w:szCs w:val="32"/>
          <w:shd w:val="clear" w:color="auto" w:fill="FFFFFF"/>
        </w:rPr>
        <w:t>5</w:t>
      </w:r>
      <w:r>
        <w:rPr>
          <w:rFonts w:hint="eastAsia" w:ascii="仿宋_GB2312" w:hAnsi="仿宋" w:eastAsia="仿宋_GB2312" w:cs="Times New Roman"/>
          <w:sz w:val="32"/>
          <w:szCs w:val="32"/>
        </w:rPr>
        <w:t>年</w:t>
      </w:r>
      <w:r>
        <w:rPr>
          <w:rFonts w:hint="eastAsia" w:ascii="仿宋_GB2312" w:hAnsi="Times New Roman" w:eastAsia="仿宋_GB2312" w:cs="Times New Roman"/>
          <w:sz w:val="32"/>
          <w:szCs w:val="32"/>
        </w:rPr>
        <w:t>对本部门及所属单位</w:t>
      </w:r>
      <w:r>
        <w:rPr>
          <w:rFonts w:ascii="仿宋_GB2312" w:hAnsi="Times New Roman" w:eastAsia="仿宋_GB2312" w:cs="Times New Roman"/>
          <w:sz w:val="32"/>
          <w:szCs w:val="32"/>
        </w:rPr>
        <w:t>202</w:t>
      </w:r>
      <w:r>
        <w:rPr>
          <w:rFonts w:hint="eastAsia" w:ascii="仿宋_GB2312" w:hAnsi="Times New Roman" w:eastAsia="仿宋_GB2312" w:cs="Times New Roman"/>
          <w:sz w:val="32"/>
          <w:szCs w:val="32"/>
          <w:lang w:val="en-US" w:eastAsia="zh-CN"/>
        </w:rPr>
        <w:t>5</w:t>
      </w:r>
      <w:r>
        <w:rPr>
          <w:rFonts w:hint="eastAsia" w:ascii="仿宋_GB2312" w:hAnsi="Times New Roman" w:eastAsia="仿宋_GB2312" w:cs="Times New Roman"/>
          <w:sz w:val="32"/>
          <w:szCs w:val="32"/>
        </w:rPr>
        <w:t>年项目支出实施了绩效自评，评价项目</w:t>
      </w:r>
      <w:r>
        <w:rPr>
          <w:rFonts w:hint="eastAsia" w:ascii="仿宋_GB2312" w:hAnsi="Times New Roman" w:eastAsia="仿宋_GB2312" w:cs="Times New Roman"/>
          <w:sz w:val="32"/>
          <w:szCs w:val="32"/>
          <w:lang w:val="en-US" w:eastAsia="zh-CN"/>
        </w:rPr>
        <w:t>18</w:t>
      </w:r>
      <w:r>
        <w:rPr>
          <w:rFonts w:hint="eastAsia" w:ascii="仿宋_GB2312" w:hAnsi="Times New Roman" w:eastAsia="仿宋_GB2312" w:cs="Times New Roman"/>
          <w:sz w:val="32"/>
          <w:szCs w:val="32"/>
        </w:rPr>
        <w:t>个，涉及金额</w:t>
      </w:r>
      <w:r>
        <w:rPr>
          <w:rFonts w:hint="eastAsia" w:ascii="仿宋_GB2312" w:hAnsi="仿宋" w:eastAsia="仿宋_GB2312" w:cs="Times New Roman"/>
          <w:sz w:val="32"/>
          <w:szCs w:val="32"/>
          <w:lang w:val="en-US" w:eastAsia="zh-CN"/>
        </w:rPr>
        <w:t>6,442,777.41</w:t>
      </w:r>
      <w:r>
        <w:rPr>
          <w:rFonts w:hint="eastAsia" w:ascii="仿宋_GB2312" w:hAnsi="Times New Roman" w:eastAsia="仿宋_GB2312" w:cs="Times New Roman"/>
          <w:sz w:val="32"/>
          <w:szCs w:val="32"/>
        </w:rPr>
        <w:t>元</w:t>
      </w:r>
      <w:r>
        <w:rPr>
          <w:rFonts w:hint="eastAsia" w:ascii="仿宋_GB2312" w:eastAsia="仿宋_GB2312"/>
          <w:sz w:val="32"/>
          <w:szCs w:val="32"/>
        </w:rPr>
        <w:t>。</w:t>
      </w:r>
    </w:p>
    <w:p>
      <w:pPr>
        <w:spacing w:line="580" w:lineRule="exact"/>
        <w:ind w:firstLine="640"/>
        <w:rPr>
          <w:rFonts w:hint="eastAsia" w:ascii="楷体_GB2312" w:eastAsia="楷体_GB2312"/>
          <w:b/>
          <w:sz w:val="32"/>
          <w:szCs w:val="32"/>
        </w:rPr>
      </w:pPr>
      <w:r>
        <w:rPr>
          <w:rFonts w:hint="eastAsia" w:ascii="楷体_GB2312" w:eastAsia="楷体_GB2312"/>
          <w:b/>
          <w:sz w:val="32"/>
          <w:szCs w:val="32"/>
        </w:rPr>
        <w:t>（五）总体评价结论</w:t>
      </w:r>
    </w:p>
    <w:p>
      <w:pPr>
        <w:spacing w:line="580" w:lineRule="exact"/>
        <w:ind w:firstLine="640"/>
        <w:rPr>
          <w:rFonts w:hint="eastAsia" w:ascii="仿宋_GB2312" w:eastAsia="仿宋_GB2312"/>
          <w:sz w:val="32"/>
          <w:szCs w:val="32"/>
        </w:rPr>
      </w:pPr>
      <w:r>
        <w:rPr>
          <w:rFonts w:hint="eastAsia" w:ascii="仿宋_GB2312" w:eastAsia="仿宋_GB2312"/>
          <w:sz w:val="32"/>
          <w:szCs w:val="32"/>
        </w:rPr>
        <w:t>1.评价得分情况</w:t>
      </w:r>
    </w:p>
    <w:p>
      <w:pPr>
        <w:spacing w:line="580" w:lineRule="exact"/>
        <w:ind w:firstLine="640"/>
        <w:rPr>
          <w:rFonts w:hint="eastAsia" w:ascii="仿宋_GB2312" w:eastAsia="仿宋_GB2312"/>
          <w:sz w:val="32"/>
          <w:szCs w:val="32"/>
        </w:rPr>
      </w:pPr>
      <w:r>
        <w:rPr>
          <w:rFonts w:hint="eastAsia" w:ascii="仿宋_GB2312" w:eastAsia="仿宋_GB2312"/>
          <w:sz w:val="32"/>
          <w:szCs w:val="32"/>
        </w:rPr>
        <w:t>绩效自评总分：98.8分</w:t>
      </w:r>
    </w:p>
    <w:p>
      <w:pPr>
        <w:spacing w:line="580" w:lineRule="exact"/>
        <w:ind w:firstLine="640"/>
        <w:rPr>
          <w:rFonts w:hint="eastAsia" w:ascii="仿宋_GB2312" w:eastAsia="仿宋_GB2312"/>
          <w:sz w:val="32"/>
          <w:szCs w:val="32"/>
        </w:rPr>
      </w:pPr>
      <w:r>
        <w:rPr>
          <w:rFonts w:hint="eastAsia" w:ascii="仿宋_GB2312" w:eastAsia="仿宋_GB2312"/>
          <w:sz w:val="32"/>
          <w:szCs w:val="32"/>
        </w:rPr>
        <w:t>绩效自评等级：</w:t>
      </w:r>
    </w:p>
    <w:p>
      <w:pPr>
        <w:spacing w:line="580" w:lineRule="exact"/>
        <w:ind w:firstLine="640"/>
        <w:rPr>
          <w:rFonts w:hint="eastAsia" w:ascii="仿宋_GB2312" w:eastAsia="仿宋_GB2312"/>
          <w:sz w:val="32"/>
          <w:szCs w:val="32"/>
        </w:rPr>
      </w:pPr>
      <w:r>
        <w:rPr>
          <w:rFonts w:hint="eastAsia" w:ascii="仿宋_GB2312" w:eastAsia="仿宋_GB2312"/>
          <w:sz w:val="32"/>
          <w:szCs w:val="32"/>
        </w:rPr>
        <w:t>2.存在的问题及原因分析</w:t>
      </w:r>
    </w:p>
    <w:p>
      <w:pPr>
        <w:spacing w:line="580" w:lineRule="exact"/>
        <w:ind w:firstLine="640"/>
        <w:rPr>
          <w:rFonts w:hint="eastAsia" w:ascii="仿宋_GB2312" w:eastAsia="仿宋_GB2312"/>
          <w:sz w:val="32"/>
          <w:szCs w:val="32"/>
        </w:rPr>
      </w:pPr>
      <w:r>
        <w:rPr>
          <w:rFonts w:hint="eastAsia" w:ascii="仿宋_GB2312" w:eastAsia="仿宋_GB2312"/>
          <w:sz w:val="32"/>
          <w:szCs w:val="32"/>
        </w:rPr>
        <w:t>（1）个别部门绩效评价意识有待提高。对绩效评价工作认识不够，在一定程度上影响了绩效评价工作的效率。</w:t>
      </w:r>
    </w:p>
    <w:p>
      <w:pPr>
        <w:spacing w:line="580" w:lineRule="exact"/>
        <w:ind w:firstLine="640"/>
        <w:rPr>
          <w:rFonts w:hint="eastAsia" w:ascii="仿宋_GB2312" w:eastAsia="仿宋_GB2312"/>
          <w:sz w:val="32"/>
          <w:szCs w:val="32"/>
        </w:rPr>
      </w:pPr>
      <w:r>
        <w:rPr>
          <w:rFonts w:hint="eastAsia" w:ascii="仿宋_GB2312" w:eastAsia="仿宋_GB2312"/>
          <w:sz w:val="32"/>
          <w:szCs w:val="32"/>
        </w:rPr>
        <w:t>（2）个别项目支出进度有待加快。个别项目因预算编制不准确，需要对预算细目重新调整，项目整体延迟，导致出现支出进度缓慢的问题。</w:t>
      </w:r>
    </w:p>
    <w:p>
      <w:pPr>
        <w:spacing w:line="580" w:lineRule="exact"/>
        <w:ind w:firstLine="640"/>
        <w:rPr>
          <w:rFonts w:hint="eastAsia" w:ascii="仿宋_GB2312" w:eastAsia="仿宋_GB2312"/>
          <w:sz w:val="32"/>
          <w:szCs w:val="32"/>
        </w:rPr>
      </w:pPr>
      <w:r>
        <w:rPr>
          <w:rFonts w:hint="eastAsia" w:ascii="仿宋_GB2312" w:eastAsia="仿宋_GB2312"/>
          <w:sz w:val="32"/>
          <w:szCs w:val="32"/>
        </w:rPr>
        <w:t>3.改进措施</w:t>
      </w:r>
    </w:p>
    <w:bookmarkEnd w:id="2"/>
    <w:p>
      <w:pPr>
        <w:spacing w:line="580" w:lineRule="exact"/>
        <w:ind w:firstLine="640"/>
        <w:rPr>
          <w:rFonts w:hint="eastAsia" w:ascii="仿宋_GB2312" w:eastAsia="仿宋_GB2312"/>
          <w:sz w:val="32"/>
          <w:szCs w:val="32"/>
        </w:rPr>
      </w:pPr>
      <w:r>
        <w:rPr>
          <w:rFonts w:hint="eastAsia" w:ascii="仿宋_GB2312" w:eastAsia="仿宋_GB2312"/>
          <w:sz w:val="32"/>
          <w:szCs w:val="32"/>
        </w:rPr>
        <w:t>（1）持续强化绩效评价意识，不断加大绩效评价培训。加强组织协调，划分职责，积极开展单位内部项目绩效跟踪、评价及结果应用，做到各部门协调配合，共同推进。掌握项目绩效目标的制定、完成情况、项目的管理情况、资金使用情况等，分析项目资金的使用是否有效合规，分析存在的问题及原因，为下一年预算及绩效目标的编制提供参考和依据。</w:t>
      </w:r>
    </w:p>
    <w:p>
      <w:pPr>
        <w:spacing w:line="580" w:lineRule="exact"/>
        <w:ind w:firstLine="640"/>
        <w:rPr>
          <w:rFonts w:hint="eastAsia" w:ascii="仿宋_GB2312" w:eastAsia="仿宋_GB2312"/>
          <w:sz w:val="32"/>
          <w:szCs w:val="32"/>
        </w:rPr>
      </w:pPr>
      <w:r>
        <w:rPr>
          <w:rFonts w:hint="eastAsia" w:ascii="仿宋_GB2312" w:eastAsia="仿宋_GB2312"/>
          <w:sz w:val="32"/>
          <w:szCs w:val="32"/>
        </w:rPr>
        <w:t>（2）加强日常绩效评价管理，加强对项目资金的监督和指导，了解工作进展情况，督促支出进度缓慢的部门加快资金支出，研究并解决财务支出方面存在的问题，定期对项目资金使用进度进行公示，力争项目按时完成。</w:t>
      </w:r>
    </w:p>
    <w:p>
      <w:pPr>
        <w:spacing w:line="580" w:lineRule="exact"/>
        <w:ind w:firstLine="640"/>
        <w:rPr>
          <w:rFonts w:hint="eastAsia" w:ascii="黑体" w:hAnsi="黑体" w:eastAsia="黑体"/>
          <w:sz w:val="32"/>
          <w:szCs w:val="32"/>
        </w:rPr>
      </w:pPr>
      <w:r>
        <w:rPr>
          <w:rFonts w:hint="eastAsia" w:ascii="黑体" w:hAnsi="黑体" w:eastAsia="黑体"/>
          <w:sz w:val="32"/>
          <w:szCs w:val="32"/>
        </w:rPr>
        <w:t>二、项目支出绩效自评情况</w:t>
      </w:r>
    </w:p>
    <w:p>
      <w:pPr>
        <w:spacing w:line="580" w:lineRule="exact"/>
        <w:ind w:firstLine="809" w:firstLineChars="253"/>
        <w:rPr>
          <w:rFonts w:hint="eastAsia" w:ascii="楷体_GB2312" w:hAnsi="仿宋" w:eastAsia="楷体_GB2312"/>
          <w:b/>
          <w:sz w:val="32"/>
          <w:szCs w:val="32"/>
        </w:rPr>
      </w:pPr>
      <w:r>
        <w:rPr>
          <w:rFonts w:hint="eastAsia" w:ascii="楷体_GB2312" w:hAnsi="仿宋" w:eastAsia="楷体_GB2312"/>
          <w:b/>
          <w:sz w:val="32"/>
          <w:szCs w:val="32"/>
        </w:rPr>
        <w:t>（一）绩效自评开展总体情况</w:t>
      </w:r>
    </w:p>
    <w:p>
      <w:pPr>
        <w:spacing w:line="580" w:lineRule="exact"/>
        <w:ind w:firstLine="809" w:firstLineChars="253"/>
        <w:rPr>
          <w:rFonts w:hint="eastAsia" w:ascii="仿宋_GB2312" w:hAnsi="Calibri" w:eastAsia="仿宋_GB2312"/>
          <w:sz w:val="32"/>
          <w:szCs w:val="32"/>
        </w:rPr>
      </w:pPr>
      <w:r>
        <w:rPr>
          <w:rFonts w:hint="eastAsia" w:ascii="仿宋_GB2312" w:eastAsia="仿宋_GB2312"/>
          <w:sz w:val="32"/>
          <w:szCs w:val="32"/>
        </w:rPr>
        <w:t>2025年度区财政批复项目支出预算项目18个，涉及金额</w:t>
      </w:r>
      <w:r>
        <w:rPr>
          <w:rFonts w:hint="eastAsia" w:ascii="仿宋_GB2312" w:eastAsia="仿宋_GB2312"/>
          <w:sz w:val="32"/>
          <w:szCs w:val="32"/>
          <w:lang w:val="en-US" w:eastAsia="zh-CN"/>
        </w:rPr>
        <w:t>6,803,218.2</w:t>
      </w:r>
      <w:r>
        <w:rPr>
          <w:rFonts w:hint="eastAsia" w:ascii="仿宋_GB2312" w:eastAsia="仿宋_GB2312"/>
          <w:sz w:val="32"/>
          <w:szCs w:val="32"/>
        </w:rPr>
        <w:t>元。本次实施绩效自评项目18个，涉及金额6,442,777.41元。评价得分在90分（含90分）以上的18个，评价得分在80-90分（含80分）的0个，评价得分在60-80分（含60分）的0个，评价得分在60分以下的0个。</w:t>
      </w:r>
    </w:p>
    <w:p>
      <w:pPr>
        <w:shd w:val="clear"/>
        <w:spacing w:line="580" w:lineRule="exact"/>
        <w:ind w:firstLine="809" w:firstLineChars="253"/>
        <w:rPr>
          <w:rFonts w:hint="eastAsia" w:ascii="楷体_GB2312" w:hAnsi="仿宋" w:eastAsia="楷体_GB2312"/>
          <w:b/>
          <w:sz w:val="32"/>
          <w:szCs w:val="32"/>
        </w:rPr>
      </w:pPr>
      <w:r>
        <w:rPr>
          <w:rFonts w:hint="eastAsia" w:ascii="楷体_GB2312" w:hAnsi="仿宋" w:eastAsia="楷体_GB2312"/>
          <w:b/>
          <w:sz w:val="32"/>
          <w:szCs w:val="32"/>
        </w:rPr>
        <w:t>（二）重点支出项目绩效自评报告</w:t>
      </w:r>
    </w:p>
    <w:p>
      <w:pPr>
        <w:shd w:val="clear"/>
        <w:spacing w:line="580" w:lineRule="exact"/>
        <w:ind w:firstLine="640" w:firstLineChars="200"/>
        <w:outlineLvl w:val="0"/>
        <w:rPr>
          <w:rFonts w:hint="eastAsia" w:ascii="仿宋_GB2312" w:hAnsi="Calibri" w:eastAsia="仿宋_GB2312"/>
          <w:sz w:val="32"/>
          <w:szCs w:val="32"/>
        </w:rPr>
      </w:pPr>
      <w:r>
        <w:rPr>
          <w:rFonts w:hint="eastAsia" w:ascii="仿宋_GB2312" w:eastAsia="仿宋_GB2312"/>
          <w:sz w:val="32"/>
          <w:szCs w:val="32"/>
          <w:lang w:eastAsia="zh-CN"/>
        </w:rPr>
        <w:t>见附件</w:t>
      </w:r>
      <w:r>
        <w:rPr>
          <w:rFonts w:hint="eastAsia" w:ascii="仿宋_GB2312" w:eastAsia="仿宋_GB2312"/>
          <w:sz w:val="32"/>
          <w:szCs w:val="32"/>
          <w:lang w:val="en-US" w:eastAsia="zh-CN"/>
        </w:rPr>
        <w:t>1</w:t>
      </w:r>
      <w:r>
        <w:rPr>
          <w:rFonts w:hint="eastAsia" w:ascii="仿宋_GB2312" w:eastAsia="仿宋_GB2312"/>
          <w:sz w:val="32"/>
          <w:szCs w:val="32"/>
        </w:rPr>
        <w:t>。</w:t>
      </w:r>
    </w:p>
    <w:p>
      <w:pPr>
        <w:spacing w:line="580" w:lineRule="exact"/>
        <w:ind w:firstLine="809" w:firstLineChars="253"/>
        <w:rPr>
          <w:rFonts w:hint="eastAsia" w:ascii="楷体_GB2312" w:hAnsi="仿宋" w:eastAsia="楷体_GB2312"/>
          <w:b/>
          <w:sz w:val="32"/>
          <w:szCs w:val="32"/>
        </w:rPr>
      </w:pPr>
      <w:r>
        <w:rPr>
          <w:rFonts w:hint="eastAsia" w:ascii="楷体_GB2312" w:hAnsi="仿宋" w:eastAsia="楷体_GB2312"/>
          <w:b/>
          <w:sz w:val="32"/>
          <w:szCs w:val="32"/>
        </w:rPr>
        <w:t>（三）项目支出绩效自评表</w:t>
      </w:r>
    </w:p>
    <w:p>
      <w:pPr>
        <w:spacing w:line="580" w:lineRule="exact"/>
        <w:ind w:firstLine="640" w:firstLineChars="200"/>
        <w:outlineLvl w:val="0"/>
        <w:rPr>
          <w:rFonts w:hint="eastAsia" w:ascii="仿宋_GB2312" w:hAnsi="Calibri" w:eastAsia="仿宋_GB2312"/>
          <w:sz w:val="32"/>
          <w:szCs w:val="32"/>
        </w:rPr>
      </w:pPr>
      <w:r>
        <w:rPr>
          <w:rFonts w:hint="eastAsia" w:ascii="仿宋_GB2312" w:eastAsia="仿宋_GB2312"/>
          <w:sz w:val="32"/>
          <w:szCs w:val="32"/>
          <w:lang w:eastAsia="zh-CN"/>
        </w:rPr>
        <w:t>见附件</w:t>
      </w:r>
      <w:r>
        <w:rPr>
          <w:rFonts w:hint="eastAsia" w:ascii="仿宋_GB2312" w:eastAsia="仿宋_GB2312"/>
          <w:sz w:val="32"/>
          <w:szCs w:val="32"/>
          <w:lang w:val="en-US" w:eastAsia="zh-CN"/>
        </w:rPr>
        <w:t>2</w:t>
      </w:r>
      <w:r>
        <w:rPr>
          <w:rFonts w:hint="eastAsia" w:ascii="仿宋_GB2312" w:eastAsia="仿宋_GB2312"/>
          <w:sz w:val="32"/>
          <w:szCs w:val="32"/>
        </w:rPr>
        <w:t>。</w:t>
      </w:r>
    </w:p>
    <w:p>
      <w:pPr>
        <w:spacing w:line="580" w:lineRule="exact"/>
        <w:ind w:firstLine="800" w:firstLineChars="250"/>
        <w:rPr>
          <w:rFonts w:hint="eastAsia" w:ascii="仿宋_GB2312" w:eastAsia="仿宋_GB2312"/>
          <w:sz w:val="32"/>
          <w:szCs w:val="32"/>
        </w:rPr>
      </w:pPr>
    </w:p>
    <w:p>
      <w:pPr>
        <w:spacing w:line="580" w:lineRule="exact"/>
        <w:ind w:firstLine="800" w:firstLineChars="250"/>
        <w:rPr>
          <w:rFonts w:hint="eastAsia" w:ascii="仿宋_GB2312" w:eastAsia="仿宋_GB2312"/>
          <w:sz w:val="32"/>
          <w:szCs w:val="32"/>
        </w:rPr>
      </w:pPr>
      <w:r>
        <w:rPr>
          <w:rFonts w:hint="eastAsia" w:ascii="仿宋_GB2312" w:eastAsia="仿宋_GB2312"/>
          <w:sz w:val="32"/>
          <w:szCs w:val="32"/>
        </w:rPr>
        <w:t>附件：1.重点支出项目绩效自评报告</w:t>
      </w:r>
    </w:p>
    <w:p>
      <w:pPr>
        <w:spacing w:line="580" w:lineRule="exact"/>
        <w:ind w:firstLine="1760" w:firstLineChars="550"/>
        <w:rPr>
          <w:rFonts w:hint="eastAsia" w:ascii="仿宋_GB2312" w:eastAsia="仿宋_GB2312"/>
          <w:sz w:val="32"/>
          <w:szCs w:val="32"/>
        </w:rPr>
      </w:pPr>
      <w:r>
        <w:rPr>
          <w:rFonts w:hint="eastAsia" w:ascii="仿宋_GB2312" w:eastAsia="仿宋_GB2312"/>
          <w:sz w:val="32"/>
          <w:szCs w:val="32"/>
        </w:rPr>
        <w:t>2.项目支出绩效自评表</w:t>
      </w:r>
    </w:p>
    <w:sectPr>
      <w:footerReference r:id="rId4" w:type="default"/>
      <w:footerReference r:id="rId5" w:type="even"/>
      <w:pgSz w:w="16838" w:h="11906" w:orient="landscape"/>
      <w:pgMar w:top="1134" w:right="1134" w:bottom="1134" w:left="1134"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 w:name="Droid Sans">
    <w:altName w:val="微软雅黑"/>
    <w:panose1 w:val="00000000000000000000"/>
    <w:charset w:val="00"/>
    <w:family w:val="auto"/>
    <w:pitch w:val="default"/>
    <w:sig w:usb0="00000000" w:usb1="00000000" w:usb2="00000000" w:usb3="00000000" w:csb0="00040001" w:csb1="00000000"/>
  </w:font>
  <w:font w:name="华文中宋">
    <w:panose1 w:val="02010600040101010101"/>
    <w:charset w:val="86"/>
    <w:family w:val="auto"/>
    <w:pitch w:val="default"/>
    <w:sig w:usb0="00000287" w:usb1="080F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汉仪新人文宋简">
    <w:altName w:val="宋体"/>
    <w:panose1 w:val="00000000000000000000"/>
    <w:charset w:val="00"/>
    <w:family w:val="auto"/>
    <w:pitch w:val="default"/>
    <w:sig w:usb0="00000000" w:usb1="00000000" w:usb2="00000000" w:usb3="00000000" w:csb0="00000000" w:csb1="00000000"/>
  </w:font>
  <w:font w:name="KSOFE44F9426">
    <w:altName w:val="宋体"/>
    <w:panose1 w:val="02010609060101010101"/>
    <w:charset w:val="86"/>
    <w:family w:val="auto"/>
    <w:pitch w:val="default"/>
    <w:sig w:usb0="00000000" w:usb1="00000000" w:usb2="00000000" w:usb3="00000000" w:csb0="00040001" w:csb1="00000000"/>
  </w:font>
  <w:font w:name="KSOFE4500885">
    <w:altName w:val="宋体"/>
    <w:panose1 w:val="02010609060101010101"/>
    <w:charset w:val="86"/>
    <w:family w:val="auto"/>
    <w:pitch w:val="default"/>
    <w:sig w:usb0="00000000" w:usb1="00000000" w:usb2="00000000" w:usb3="00000000" w:csb0="00040001" w:csb1="00000000"/>
  </w:font>
  <w:font w:name="KSOFF9CC6125">
    <w:altName w:val="宋体"/>
    <w:panose1 w:val="02010609060101010101"/>
    <w:charset w:val="86"/>
    <w:family w:val="auto"/>
    <w:pitch w:val="default"/>
    <w:sig w:usb0="00000000" w:usb1="00000000" w:usb2="00000000" w:usb3="00000000" w:csb0="00040001" w:csb1="00000000"/>
  </w:font>
  <w:font w:name="Noto Serif SC">
    <w:altName w:val="宋体"/>
    <w:panose1 w:val="02020200000000000000"/>
    <w:charset w:val="86"/>
    <w:family w:val="auto"/>
    <w:pitch w:val="default"/>
    <w:sig w:usb0="00000000" w:usb1="00000000" w:usb2="00000016" w:usb3="00000000" w:csb0="60060107" w:csb1="00000000"/>
  </w:font>
  <w:font w:name="KSOFF9CBECC6">
    <w:altName w:val="宋体"/>
    <w:panose1 w:val="02010609060101010101"/>
    <w:charset w:val="86"/>
    <w:family w:val="auto"/>
    <w:pitch w:val="default"/>
    <w:sig w:usb0="00000000" w:usb1="00000000" w:usb2="00000000" w:usb3="00000000" w:csb0="00040001" w:csb1="00000000"/>
  </w:font>
  <w:font w:name="汉仪典雅体简">
    <w:altName w:val="宋体"/>
    <w:panose1 w:val="00020600040101010101"/>
    <w:charset w:val="86"/>
    <w:family w:val="auto"/>
    <w:pitch w:val="default"/>
    <w:sig w:usb0="00000000" w:usb1="00000000" w:usb2="00000016" w:usb3="00000000" w:csb0="00040000" w:csb1="00000000"/>
  </w:font>
  <w:font w:name="Microsoft YaHei UI">
    <w:altName w:val="宋体"/>
    <w:panose1 w:val="020B0503020204020204"/>
    <w:charset w:val="86"/>
    <w:family w:val="swiss"/>
    <w:pitch w:val="default"/>
    <w:sig w:usb0="00000000" w:usb1="00000000" w:usb2="00000016" w:usb3="00000000" w:csb0="0004001F" w:csb1="00000000"/>
  </w:font>
  <w:font w:name="Calibri Light">
    <w:panose1 w:val="020F0302020204030204"/>
    <w:charset w:val="00"/>
    <w:family w:val="swiss"/>
    <w:pitch w:val="default"/>
    <w:sig w:usb0="A00002EF" w:usb1="4000207B" w:usb2="00000000" w:usb3="00000000" w:csb0="2000019F" w:csb1="00000000"/>
  </w:font>
  <w:font w:name="Arial">
    <w:panose1 w:val="020B0604020202020204"/>
    <w:charset w:val="00"/>
    <w:family w:val="swiss"/>
    <w:pitch w:val="default"/>
    <w:sig w:usb0="E0002AFF" w:usb1="C0007843" w:usb2="00000009" w:usb3="00000000" w:csb0="400001FF" w:csb1="FFFF0000"/>
  </w:font>
  <w:font w:name="方正小标宋简体">
    <w:panose1 w:val="03000509000000000000"/>
    <w:charset w:val="86"/>
    <w:family w:val="script"/>
    <w:pitch w:val="default"/>
    <w:sig w:usb0="00000001" w:usb1="080E0000" w:usb2="00000000" w:usb3="00000000" w:csb0="00040000" w:csb1="00000000"/>
  </w:font>
  <w:font w:name="华文仿宋">
    <w:altName w:val="仿宋"/>
    <w:panose1 w:val="02010600040101010101"/>
    <w:charset w:val="86"/>
    <w:family w:val="auto"/>
    <w:pitch w:val="default"/>
    <w:sig w:usb0="00000000" w:usb1="00000000" w:usb2="00000000" w:usb3="00000000" w:csb0="0004009F" w:csb1="DFD70000"/>
  </w:font>
  <w:font w:name="MingLiU_HKSCS">
    <w:panose1 w:val="02020500000000000000"/>
    <w:charset w:val="88"/>
    <w:family w:val="auto"/>
    <w:pitch w:val="default"/>
    <w:sig w:usb0="A00002FF" w:usb1="38CFFCFA" w:usb2="00000016" w:usb3="00000000" w:csb0="00100001" w:csb1="00000000"/>
  </w:font>
  <w:font w:name="MingLiU-ExtB">
    <w:panose1 w:val="02020500000000000000"/>
    <w:charset w:val="88"/>
    <w:family w:val="auto"/>
    <w:pitch w:val="default"/>
    <w:sig w:usb0="8000002F" w:usb1="02000008" w:usb2="00000000" w:usb3="00000000" w:csb0="00100001" w:csb1="00000000"/>
  </w:font>
  <w:font w:name="Meiryo UI">
    <w:panose1 w:val="020B0604030504040204"/>
    <w:charset w:val="80"/>
    <w:family w:val="auto"/>
    <w:pitch w:val="default"/>
    <w:sig w:usb0="E10102FF" w:usb1="EAC7FFFF" w:usb2="00010012" w:usb3="00000000" w:csb0="6002009F" w:csb1="DFD70000"/>
  </w:font>
  <w:font w:name="新宋体">
    <w:panose1 w:val="02010609030101010101"/>
    <w:charset w:val="86"/>
    <w:family w:val="auto"/>
    <w:pitch w:val="default"/>
    <w:sig w:usb0="00000003" w:usb1="288F0000" w:usb2="00000006" w:usb3="00000000" w:csb0="00040001" w:csb1="00000000"/>
  </w:font>
  <w:font w:name="Batang">
    <w:panose1 w:val="02030600000101010101"/>
    <w:charset w:val="81"/>
    <w:family w:val="auto"/>
    <w:pitch w:val="default"/>
    <w:sig w:usb0="B00002AF" w:usb1="69D77CFB" w:usb2="00000030" w:usb3="00000000" w:csb0="4008009F" w:csb1="DFD70000"/>
  </w:font>
  <w:font w:name="DFKai-SB">
    <w:panose1 w:val="03000509000000000000"/>
    <w:charset w:val="88"/>
    <w:family w:val="auto"/>
    <w:pitch w:val="default"/>
    <w:sig w:usb0="00000003" w:usb1="082E0000" w:usb2="00000016" w:usb3="00000000" w:csb0="00100001" w:csb1="00000000"/>
  </w:font>
  <w:font w:name="Dotum">
    <w:panose1 w:val="020B0600000101010101"/>
    <w:charset w:val="81"/>
    <w:family w:val="auto"/>
    <w:pitch w:val="default"/>
    <w:sig w:usb0="B00002AF" w:usb1="69D77CFB" w:usb2="00000030" w:usb3="00000000" w:csb0="4008009F" w:csb1="DFD70000"/>
  </w:font>
  <w:font w:name="DotumChe">
    <w:panose1 w:val="020B0609000101010101"/>
    <w:charset w:val="81"/>
    <w:family w:val="auto"/>
    <w:pitch w:val="default"/>
    <w:sig w:usb0="B00002AF" w:usb1="69D77CFB" w:usb2="00000030" w:usb3="00000000" w:csb0="4008009F" w:csb1="DFD70000"/>
  </w:font>
  <w:font w:name="Gulim">
    <w:panose1 w:val="020B0600000101010101"/>
    <w:charset w:val="81"/>
    <w:family w:val="auto"/>
    <w:pitch w:val="default"/>
    <w:sig w:usb0="B00002AF" w:usb1="69D77CFB" w:usb2="00000030" w:usb3="00000000" w:csb0="4008009F" w:csb1="DFD70000"/>
  </w:font>
  <w:font w:name="GulimChe">
    <w:panose1 w:val="020B0609000101010101"/>
    <w:charset w:val="81"/>
    <w:family w:val="auto"/>
    <w:pitch w:val="default"/>
    <w:sig w:usb0="B00002AF" w:usb1="69D77CFB" w:usb2="00000030" w:usb3="00000000" w:csb0="4008009F" w:csb1="DFD70000"/>
  </w:font>
  <w:font w:name="Gungsuh">
    <w:panose1 w:val="02030600000101010101"/>
    <w:charset w:val="81"/>
    <w:family w:val="auto"/>
    <w:pitch w:val="default"/>
    <w:sig w:usb0="B00002AF" w:usb1="69D77CFB" w:usb2="00000030" w:usb3="00000000" w:csb0="4008009F" w:csb1="DFD70000"/>
  </w:font>
  <w:font w:name="GungsuhChe">
    <w:panose1 w:val="02030609000101010101"/>
    <w:charset w:val="81"/>
    <w:family w:val="auto"/>
    <w:pitch w:val="default"/>
    <w:sig w:usb0="B00002AF" w:usb1="69D77CFB" w:usb2="00000030" w:usb3="00000000" w:csb0="4008009F" w:csb1="DFD70000"/>
  </w:font>
  <w:font w:name="Malgun Gothic">
    <w:panose1 w:val="020B0503020000020004"/>
    <w:charset w:val="81"/>
    <w:family w:val="auto"/>
    <w:pitch w:val="default"/>
    <w:sig w:usb0="900002AF" w:usb1="01D77CFB" w:usb2="00000012" w:usb3="00000000" w:csb0="00080001" w:csb1="00000000"/>
  </w:font>
  <w:font w:name="Meiryo">
    <w:panose1 w:val="020B0604030504040204"/>
    <w:charset w:val="80"/>
    <w:family w:val="auto"/>
    <w:pitch w:val="default"/>
    <w:sig w:usb0="E10102FF" w:usb1="EAC7FFFF" w:usb2="00010012" w:usb3="00000000" w:csb0="6002009F" w:csb1="DFD70000"/>
  </w:font>
  <w:font w:name="等线">
    <w:altName w:val="宋体"/>
    <w:panose1 w:val="02010600030101010101"/>
    <w:charset w:val="86"/>
    <w:family w:val="auto"/>
    <w:pitch w:val="default"/>
    <w:sig w:usb0="00000000" w:usb1="00000000" w:usb2="00000016" w:usb3="00000000" w:csb0="0004000F" w:csb1="00000000"/>
  </w:font>
  <w:font w:name="DejaVu Sans">
    <w:altName w:val="Segoe Print"/>
    <w:panose1 w:val="020B0603030804020204"/>
    <w:charset w:val="00"/>
    <w:family w:val="auto"/>
    <w:pitch w:val="default"/>
    <w:sig w:usb0="00000000" w:usb1="00000000" w:usb2="0A246029" w:usb3="0400200C" w:csb0="600001FF" w:csb1="DFFF0000"/>
  </w:font>
  <w:font w:name="Segoe Print">
    <w:panose1 w:val="02000600000000000000"/>
    <w:charset w:val="00"/>
    <w:family w:val="auto"/>
    <w:pitch w:val="default"/>
    <w:sig w:usb0="0000028F" w:usb1="00000000" w:usb2="00000000" w:usb3="00000000" w:csb0="2000009F" w:csb1="47010000"/>
  </w:font>
  <w:font w:name="方正宋体S-超大字符集(SIP)">
    <w:altName w:val="宋体"/>
    <w:panose1 w:val="03000509000000000000"/>
    <w:charset w:val="86"/>
    <w:family w:val="auto"/>
    <w:pitch w:val="default"/>
    <w:sig w:usb0="00000000" w:usb1="00000000" w:usb2="00000006" w:usb3="00000000" w:csb0="00040001" w:csb1="00000000"/>
  </w:font>
  <w:font w:name="汉仪中宋简">
    <w:altName w:val="宋体"/>
    <w:panose1 w:val="02010600000101010101"/>
    <w:charset w:val="86"/>
    <w:family w:val="auto"/>
    <w:pitch w:val="default"/>
    <w:sig w:usb0="00000000" w:usb1="00000000" w:usb2="00000002" w:usb3="00000000" w:csb0="00040000" w:csb1="00000000"/>
  </w:font>
  <w:font w:name="GWZT-EN">
    <w:altName w:val="Nyala"/>
    <w:panose1 w:val="02020400000000000000"/>
    <w:charset w:val="00"/>
    <w:family w:val="auto"/>
    <w:pitch w:val="default"/>
    <w:sig w:usb0="00000000" w:usb1="00000000" w:usb2="00082016" w:usb3="00000000" w:csb0="00000003" w:csb1="00000000"/>
  </w:font>
  <w:font w:name="Perpetua Titling MT">
    <w:altName w:val="PMingLiU-ExtB"/>
    <w:panose1 w:val="02020502060505020804"/>
    <w:charset w:val="00"/>
    <w:family w:val="auto"/>
    <w:pitch w:val="default"/>
    <w:sig w:usb0="00000000" w:usb1="00000000" w:usb2="00000000" w:usb3="00000000" w:csb0="20000001" w:csb1="00000000"/>
  </w:font>
  <w:font w:name="Nyala">
    <w:panose1 w:val="02000504070300020003"/>
    <w:charset w:val="00"/>
    <w:family w:val="auto"/>
    <w:pitch w:val="default"/>
    <w:sig w:usb0="A000006F" w:usb1="00000000" w:usb2="00000800" w:usb3="00000000" w:csb0="00000093" w:csb1="00000000"/>
  </w:font>
  <w:font w:name="ksdb">
    <w:altName w:val="Vrinda"/>
    <w:panose1 w:val="02000500000000000000"/>
    <w:charset w:val="00"/>
    <w:family w:val="auto"/>
    <w:pitch w:val="default"/>
    <w:sig w:usb0="00000000" w:usb1="00000000" w:usb2="00000000" w:usb3="00000000" w:csb0="00000001" w:csb1="00000000"/>
  </w:font>
  <w:font w:name="Vrinda">
    <w:panose1 w:val="020B0502040204020203"/>
    <w:charset w:val="00"/>
    <w:family w:val="auto"/>
    <w:pitch w:val="default"/>
    <w:sig w:usb0="00010003" w:usb1="00000000" w:usb2="00000000" w:usb3="00000000" w:csb0="00000001" w:csb1="00000000"/>
  </w:font>
  <w:font w:name="P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center" w:y="1"/>
      <w:rPr>
        <w:rStyle w:val="13"/>
      </w:rPr>
    </w:pPr>
    <w:r>
      <w:fldChar w:fldCharType="begin"/>
    </w:r>
    <w:r>
      <w:rPr>
        <w:rStyle w:val="13"/>
      </w:rPr>
      <w:instrText xml:space="preserve">PAGE  </w:instrText>
    </w:r>
    <w:r>
      <w:fldChar w:fldCharType="separate"/>
    </w:r>
    <w:r>
      <w:rPr>
        <w:rStyle w:val="13"/>
      </w:rPr>
      <w:t>3</w:t>
    </w:r>
    <w:r>
      <w:fldChar w:fldCharType="end"/>
    </w:r>
  </w:p>
  <w:p>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center" w:y="1"/>
      <w:rPr>
        <w:rStyle w:val="13"/>
      </w:rPr>
    </w:pPr>
    <w:r>
      <w:fldChar w:fldCharType="begin"/>
    </w:r>
    <w:r>
      <w:rPr>
        <w:rStyle w:val="13"/>
      </w:rPr>
      <w:instrText xml:space="preserve">PAGE  </w:instrText>
    </w:r>
    <w:r>
      <w:fldChar w:fldCharType="separate"/>
    </w:r>
    <w:r>
      <w:rPr>
        <w:rStyle w:val="13"/>
      </w:rPr>
      <w:t>16</w:t>
    </w:r>
    <w:r>
      <w:fldChar w:fldCharType="end"/>
    </w:r>
  </w:p>
  <w:p>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center" w:y="1"/>
      <w:rPr>
        <w:rStyle w:val="13"/>
      </w:rPr>
    </w:pPr>
    <w:r>
      <w:fldChar w:fldCharType="begin"/>
    </w:r>
    <w:r>
      <w:rPr>
        <w:rStyle w:val="13"/>
      </w:rPr>
      <w:instrText xml:space="preserve">PAGE  </w:instrText>
    </w:r>
    <w:r>
      <w:fldChar w:fldCharType="separate"/>
    </w:r>
    <w:r>
      <w:rPr>
        <w:rStyle w:val="13"/>
      </w:rPr>
      <w:t>15</w:t>
    </w:r>
    <w:r>
      <w:fldChar w:fldCharType="end"/>
    </w:r>
  </w:p>
  <w:p>
    <w:pPr>
      <w:pStyle w:val="8"/>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A842CCE"/>
    <w:multiLevelType w:val="singleLevel"/>
    <w:tmpl w:val="6A842CCE"/>
    <w:lvl w:ilvl="0" w:tentative="0">
      <w:start w:val="2"/>
      <w:numFmt w:val="decimal"/>
      <w:suff w:val="nothing"/>
      <w:lvlText w:val="%1."/>
      <w:lvlJc w:val="left"/>
    </w:lvl>
  </w:abstractNum>
  <w:abstractNum w:abstractNumId="1">
    <w:nsid w:val="6A867255"/>
    <w:multiLevelType w:val="singleLevel"/>
    <w:tmpl w:val="6A867255"/>
    <w:lvl w:ilvl="0" w:tentative="0">
      <w:start w:val="2"/>
      <w:numFmt w:val="decimal"/>
      <w:suff w:val="nothing"/>
      <w:lvlText w:val="（%1）"/>
      <w:lvlJc w:val="left"/>
    </w:lvl>
  </w:abstractNum>
  <w:abstractNum w:abstractNumId="2">
    <w:nsid w:val="6A867301"/>
    <w:multiLevelType w:val="singleLevel"/>
    <w:tmpl w:val="6A867301"/>
    <w:lvl w:ilvl="0" w:tentative="0">
      <w:start w:val="2"/>
      <w:numFmt w:val="decimal"/>
      <w:suff w:val="nothing"/>
      <w:lvlText w:val="%1."/>
      <w:lvlJc w:val="left"/>
    </w:lvl>
  </w:abstractNum>
  <w:abstractNum w:abstractNumId="3">
    <w:nsid w:val="6A87EB8B"/>
    <w:multiLevelType w:val="singleLevel"/>
    <w:tmpl w:val="6A87EB8B"/>
    <w:lvl w:ilvl="0" w:tentative="0">
      <w:start w:val="2"/>
      <w:numFmt w:val="decimal"/>
      <w:suff w:val="nothing"/>
      <w:lvlText w:val="%1、"/>
      <w:lvlJc w:val="left"/>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val="1"/>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ZmNWE4NzRhMTczNjJlZDE5ZTE5YTczN2QxMzcyMjAifQ=="/>
  </w:docVars>
  <w:rsids>
    <w:rsidRoot w:val="00100246"/>
    <w:rsid w:val="00003B03"/>
    <w:rsid w:val="000040E6"/>
    <w:rsid w:val="00011D72"/>
    <w:rsid w:val="0002352D"/>
    <w:rsid w:val="00027CD5"/>
    <w:rsid w:val="00031B8E"/>
    <w:rsid w:val="00033EC1"/>
    <w:rsid w:val="00034224"/>
    <w:rsid w:val="00040275"/>
    <w:rsid w:val="0004719C"/>
    <w:rsid w:val="00047F6E"/>
    <w:rsid w:val="00051B00"/>
    <w:rsid w:val="000601B1"/>
    <w:rsid w:val="00063034"/>
    <w:rsid w:val="00066E19"/>
    <w:rsid w:val="0006752F"/>
    <w:rsid w:val="00071797"/>
    <w:rsid w:val="00071860"/>
    <w:rsid w:val="0007258E"/>
    <w:rsid w:val="00077A9E"/>
    <w:rsid w:val="00077F4A"/>
    <w:rsid w:val="00077FE5"/>
    <w:rsid w:val="00080447"/>
    <w:rsid w:val="00085663"/>
    <w:rsid w:val="00095948"/>
    <w:rsid w:val="00095C26"/>
    <w:rsid w:val="00096504"/>
    <w:rsid w:val="00096B86"/>
    <w:rsid w:val="000A1770"/>
    <w:rsid w:val="000A283C"/>
    <w:rsid w:val="000B15B7"/>
    <w:rsid w:val="000B70F1"/>
    <w:rsid w:val="000C4611"/>
    <w:rsid w:val="000D1B61"/>
    <w:rsid w:val="000D6854"/>
    <w:rsid w:val="000E0B26"/>
    <w:rsid w:val="000E3291"/>
    <w:rsid w:val="000F08FE"/>
    <w:rsid w:val="000F208B"/>
    <w:rsid w:val="000F2A48"/>
    <w:rsid w:val="000F49BE"/>
    <w:rsid w:val="00100246"/>
    <w:rsid w:val="0010682D"/>
    <w:rsid w:val="001073C6"/>
    <w:rsid w:val="00107DB5"/>
    <w:rsid w:val="00113613"/>
    <w:rsid w:val="0011483D"/>
    <w:rsid w:val="00115724"/>
    <w:rsid w:val="00130995"/>
    <w:rsid w:val="00131FF9"/>
    <w:rsid w:val="00132320"/>
    <w:rsid w:val="00135B6A"/>
    <w:rsid w:val="001369A7"/>
    <w:rsid w:val="001428C5"/>
    <w:rsid w:val="001503D8"/>
    <w:rsid w:val="00157540"/>
    <w:rsid w:val="0017111F"/>
    <w:rsid w:val="00173CF6"/>
    <w:rsid w:val="00180DAD"/>
    <w:rsid w:val="0018370E"/>
    <w:rsid w:val="001852E1"/>
    <w:rsid w:val="00191568"/>
    <w:rsid w:val="001A4277"/>
    <w:rsid w:val="001A7D2E"/>
    <w:rsid w:val="001B1DF9"/>
    <w:rsid w:val="001B1E93"/>
    <w:rsid w:val="001B375E"/>
    <w:rsid w:val="001B4A46"/>
    <w:rsid w:val="001B5E87"/>
    <w:rsid w:val="001B5E91"/>
    <w:rsid w:val="001B69BF"/>
    <w:rsid w:val="001B7988"/>
    <w:rsid w:val="001D78D9"/>
    <w:rsid w:val="001E0556"/>
    <w:rsid w:val="001E2355"/>
    <w:rsid w:val="001E2379"/>
    <w:rsid w:val="001E29A9"/>
    <w:rsid w:val="001F5857"/>
    <w:rsid w:val="00206EC3"/>
    <w:rsid w:val="0021047C"/>
    <w:rsid w:val="00211E4E"/>
    <w:rsid w:val="00213D1C"/>
    <w:rsid w:val="00214C3A"/>
    <w:rsid w:val="00217517"/>
    <w:rsid w:val="00222628"/>
    <w:rsid w:val="002253CB"/>
    <w:rsid w:val="002267A6"/>
    <w:rsid w:val="002326DE"/>
    <w:rsid w:val="00234314"/>
    <w:rsid w:val="00241724"/>
    <w:rsid w:val="0024390C"/>
    <w:rsid w:val="002441F4"/>
    <w:rsid w:val="00244204"/>
    <w:rsid w:val="002448A4"/>
    <w:rsid w:val="00245A0A"/>
    <w:rsid w:val="00246C42"/>
    <w:rsid w:val="002515CC"/>
    <w:rsid w:val="00253EC4"/>
    <w:rsid w:val="00254515"/>
    <w:rsid w:val="0026479D"/>
    <w:rsid w:val="002673C4"/>
    <w:rsid w:val="0027112B"/>
    <w:rsid w:val="00271C3F"/>
    <w:rsid w:val="00272460"/>
    <w:rsid w:val="00273070"/>
    <w:rsid w:val="0027394A"/>
    <w:rsid w:val="00274D50"/>
    <w:rsid w:val="002760D5"/>
    <w:rsid w:val="00276289"/>
    <w:rsid w:val="0028081D"/>
    <w:rsid w:val="0028458C"/>
    <w:rsid w:val="002911BD"/>
    <w:rsid w:val="00291C98"/>
    <w:rsid w:val="00294DE9"/>
    <w:rsid w:val="002A1488"/>
    <w:rsid w:val="002A4C2B"/>
    <w:rsid w:val="002B19D0"/>
    <w:rsid w:val="002B3682"/>
    <w:rsid w:val="002B5464"/>
    <w:rsid w:val="002C0443"/>
    <w:rsid w:val="002C12FB"/>
    <w:rsid w:val="002C24BC"/>
    <w:rsid w:val="002D03C6"/>
    <w:rsid w:val="002D0FDF"/>
    <w:rsid w:val="002D3955"/>
    <w:rsid w:val="002D68A9"/>
    <w:rsid w:val="002E06AE"/>
    <w:rsid w:val="002E4B75"/>
    <w:rsid w:val="002E68DD"/>
    <w:rsid w:val="002F17C2"/>
    <w:rsid w:val="002F32EE"/>
    <w:rsid w:val="002F4054"/>
    <w:rsid w:val="002F5574"/>
    <w:rsid w:val="00301D20"/>
    <w:rsid w:val="00302B19"/>
    <w:rsid w:val="00303428"/>
    <w:rsid w:val="003053C4"/>
    <w:rsid w:val="003058A3"/>
    <w:rsid w:val="00307204"/>
    <w:rsid w:val="00307DA5"/>
    <w:rsid w:val="0031169D"/>
    <w:rsid w:val="0031170D"/>
    <w:rsid w:val="00313E14"/>
    <w:rsid w:val="003167DD"/>
    <w:rsid w:val="00320C8B"/>
    <w:rsid w:val="00321BD8"/>
    <w:rsid w:val="00325687"/>
    <w:rsid w:val="00332C14"/>
    <w:rsid w:val="00335079"/>
    <w:rsid w:val="003352CE"/>
    <w:rsid w:val="00341D8E"/>
    <w:rsid w:val="003502B9"/>
    <w:rsid w:val="00351B8F"/>
    <w:rsid w:val="00353226"/>
    <w:rsid w:val="00353717"/>
    <w:rsid w:val="00354630"/>
    <w:rsid w:val="00365A24"/>
    <w:rsid w:val="003712DB"/>
    <w:rsid w:val="00373DDC"/>
    <w:rsid w:val="00382A86"/>
    <w:rsid w:val="00383BCC"/>
    <w:rsid w:val="00385243"/>
    <w:rsid w:val="003925D4"/>
    <w:rsid w:val="0039318C"/>
    <w:rsid w:val="00393366"/>
    <w:rsid w:val="003937DC"/>
    <w:rsid w:val="00393D75"/>
    <w:rsid w:val="003A2F2D"/>
    <w:rsid w:val="003A43AC"/>
    <w:rsid w:val="003A4EB6"/>
    <w:rsid w:val="003A7AE9"/>
    <w:rsid w:val="003A7BC5"/>
    <w:rsid w:val="003A7FF5"/>
    <w:rsid w:val="003B0352"/>
    <w:rsid w:val="003B4437"/>
    <w:rsid w:val="003B48C4"/>
    <w:rsid w:val="003B5E20"/>
    <w:rsid w:val="003B6DAD"/>
    <w:rsid w:val="003B735F"/>
    <w:rsid w:val="003C030C"/>
    <w:rsid w:val="003C55FC"/>
    <w:rsid w:val="003D0EC3"/>
    <w:rsid w:val="003D7274"/>
    <w:rsid w:val="003E4D82"/>
    <w:rsid w:val="003E5BC1"/>
    <w:rsid w:val="003F0D1B"/>
    <w:rsid w:val="003F1DD6"/>
    <w:rsid w:val="00401087"/>
    <w:rsid w:val="00402E26"/>
    <w:rsid w:val="00405701"/>
    <w:rsid w:val="004110BC"/>
    <w:rsid w:val="0041271F"/>
    <w:rsid w:val="0041688E"/>
    <w:rsid w:val="004170EF"/>
    <w:rsid w:val="0042093C"/>
    <w:rsid w:val="004233DD"/>
    <w:rsid w:val="00424405"/>
    <w:rsid w:val="00425B25"/>
    <w:rsid w:val="00425D24"/>
    <w:rsid w:val="00426A4D"/>
    <w:rsid w:val="00427687"/>
    <w:rsid w:val="00433231"/>
    <w:rsid w:val="004334CA"/>
    <w:rsid w:val="0043506A"/>
    <w:rsid w:val="00435830"/>
    <w:rsid w:val="0043619C"/>
    <w:rsid w:val="0044475D"/>
    <w:rsid w:val="00444D1E"/>
    <w:rsid w:val="0044571A"/>
    <w:rsid w:val="0044705D"/>
    <w:rsid w:val="0045090E"/>
    <w:rsid w:val="00453E36"/>
    <w:rsid w:val="00457286"/>
    <w:rsid w:val="00461FA5"/>
    <w:rsid w:val="00463566"/>
    <w:rsid w:val="00464182"/>
    <w:rsid w:val="00471C52"/>
    <w:rsid w:val="0047460C"/>
    <w:rsid w:val="00474FF2"/>
    <w:rsid w:val="00480098"/>
    <w:rsid w:val="00484A93"/>
    <w:rsid w:val="00485E12"/>
    <w:rsid w:val="004865DA"/>
    <w:rsid w:val="0048779C"/>
    <w:rsid w:val="00487AB7"/>
    <w:rsid w:val="00487ED0"/>
    <w:rsid w:val="00491D09"/>
    <w:rsid w:val="0049682C"/>
    <w:rsid w:val="004A168E"/>
    <w:rsid w:val="004A4EC7"/>
    <w:rsid w:val="004B0003"/>
    <w:rsid w:val="004C020A"/>
    <w:rsid w:val="004C03A3"/>
    <w:rsid w:val="004C44B8"/>
    <w:rsid w:val="004C7629"/>
    <w:rsid w:val="004D0D5D"/>
    <w:rsid w:val="004E27DD"/>
    <w:rsid w:val="004E3350"/>
    <w:rsid w:val="004E5292"/>
    <w:rsid w:val="004F2C5B"/>
    <w:rsid w:val="004F641B"/>
    <w:rsid w:val="004F71F3"/>
    <w:rsid w:val="005052FA"/>
    <w:rsid w:val="005069E1"/>
    <w:rsid w:val="00507E59"/>
    <w:rsid w:val="005122B5"/>
    <w:rsid w:val="0052381C"/>
    <w:rsid w:val="005346B3"/>
    <w:rsid w:val="0054051C"/>
    <w:rsid w:val="00546A84"/>
    <w:rsid w:val="00547BE2"/>
    <w:rsid w:val="0055353D"/>
    <w:rsid w:val="0056187C"/>
    <w:rsid w:val="00576B03"/>
    <w:rsid w:val="00581E1A"/>
    <w:rsid w:val="00591655"/>
    <w:rsid w:val="00591BEC"/>
    <w:rsid w:val="005940EA"/>
    <w:rsid w:val="00594448"/>
    <w:rsid w:val="005A1D6F"/>
    <w:rsid w:val="005A4D82"/>
    <w:rsid w:val="005A52A6"/>
    <w:rsid w:val="005B0DEC"/>
    <w:rsid w:val="005B368E"/>
    <w:rsid w:val="005B6E69"/>
    <w:rsid w:val="005C0015"/>
    <w:rsid w:val="005C1E82"/>
    <w:rsid w:val="005C2BCE"/>
    <w:rsid w:val="005C2CA5"/>
    <w:rsid w:val="005C7062"/>
    <w:rsid w:val="005C7788"/>
    <w:rsid w:val="005D10B9"/>
    <w:rsid w:val="005D18DA"/>
    <w:rsid w:val="005E00DC"/>
    <w:rsid w:val="005E3BBC"/>
    <w:rsid w:val="005E3EC6"/>
    <w:rsid w:val="005E4E07"/>
    <w:rsid w:val="005E4E46"/>
    <w:rsid w:val="005E5275"/>
    <w:rsid w:val="005E7DC8"/>
    <w:rsid w:val="005E7EC9"/>
    <w:rsid w:val="005F7087"/>
    <w:rsid w:val="00611BE4"/>
    <w:rsid w:val="0061219B"/>
    <w:rsid w:val="00621419"/>
    <w:rsid w:val="00626446"/>
    <w:rsid w:val="00626BE8"/>
    <w:rsid w:val="00631827"/>
    <w:rsid w:val="00632804"/>
    <w:rsid w:val="006376DA"/>
    <w:rsid w:val="006459DA"/>
    <w:rsid w:val="006502E8"/>
    <w:rsid w:val="00654A2B"/>
    <w:rsid w:val="0065675C"/>
    <w:rsid w:val="0065793F"/>
    <w:rsid w:val="0066263B"/>
    <w:rsid w:val="0066713A"/>
    <w:rsid w:val="0067195C"/>
    <w:rsid w:val="006724F7"/>
    <w:rsid w:val="0067511A"/>
    <w:rsid w:val="0067539B"/>
    <w:rsid w:val="00675543"/>
    <w:rsid w:val="00677396"/>
    <w:rsid w:val="00677AD9"/>
    <w:rsid w:val="00681970"/>
    <w:rsid w:val="00690641"/>
    <w:rsid w:val="00690D88"/>
    <w:rsid w:val="00691844"/>
    <w:rsid w:val="00693DDF"/>
    <w:rsid w:val="00696F9E"/>
    <w:rsid w:val="006A374A"/>
    <w:rsid w:val="006A505E"/>
    <w:rsid w:val="006A513E"/>
    <w:rsid w:val="006A5265"/>
    <w:rsid w:val="006B0CB9"/>
    <w:rsid w:val="006B2609"/>
    <w:rsid w:val="006B2750"/>
    <w:rsid w:val="006B3678"/>
    <w:rsid w:val="006B7390"/>
    <w:rsid w:val="006C0084"/>
    <w:rsid w:val="006C107D"/>
    <w:rsid w:val="006C3600"/>
    <w:rsid w:val="006C4534"/>
    <w:rsid w:val="006C5205"/>
    <w:rsid w:val="006C75F6"/>
    <w:rsid w:val="006D3F53"/>
    <w:rsid w:val="006D60AF"/>
    <w:rsid w:val="006E4722"/>
    <w:rsid w:val="00701651"/>
    <w:rsid w:val="007049BF"/>
    <w:rsid w:val="00704E79"/>
    <w:rsid w:val="00707A26"/>
    <w:rsid w:val="0071120F"/>
    <w:rsid w:val="00716380"/>
    <w:rsid w:val="00722165"/>
    <w:rsid w:val="00724B1C"/>
    <w:rsid w:val="007428F0"/>
    <w:rsid w:val="007512EF"/>
    <w:rsid w:val="007551AC"/>
    <w:rsid w:val="0076101C"/>
    <w:rsid w:val="00763D87"/>
    <w:rsid w:val="007670B2"/>
    <w:rsid w:val="00771795"/>
    <w:rsid w:val="00774925"/>
    <w:rsid w:val="0079279F"/>
    <w:rsid w:val="00793E69"/>
    <w:rsid w:val="007A063C"/>
    <w:rsid w:val="007A16B0"/>
    <w:rsid w:val="007A19EA"/>
    <w:rsid w:val="007A6092"/>
    <w:rsid w:val="007A60B7"/>
    <w:rsid w:val="007A64A6"/>
    <w:rsid w:val="007A6EE1"/>
    <w:rsid w:val="007A7C89"/>
    <w:rsid w:val="007B1487"/>
    <w:rsid w:val="007B2A43"/>
    <w:rsid w:val="007B326F"/>
    <w:rsid w:val="007B6A58"/>
    <w:rsid w:val="007B6C06"/>
    <w:rsid w:val="007B7B78"/>
    <w:rsid w:val="007C32B1"/>
    <w:rsid w:val="007C7A22"/>
    <w:rsid w:val="007C7C62"/>
    <w:rsid w:val="007D1076"/>
    <w:rsid w:val="007D12B7"/>
    <w:rsid w:val="007D2A49"/>
    <w:rsid w:val="007D5E38"/>
    <w:rsid w:val="007D7AC4"/>
    <w:rsid w:val="007E0340"/>
    <w:rsid w:val="007E1D4A"/>
    <w:rsid w:val="007E53C0"/>
    <w:rsid w:val="007E7703"/>
    <w:rsid w:val="007F4558"/>
    <w:rsid w:val="007F64DF"/>
    <w:rsid w:val="008050EF"/>
    <w:rsid w:val="0080652C"/>
    <w:rsid w:val="0080715F"/>
    <w:rsid w:val="008113D6"/>
    <w:rsid w:val="00812BA7"/>
    <w:rsid w:val="00813A87"/>
    <w:rsid w:val="00813F63"/>
    <w:rsid w:val="00815926"/>
    <w:rsid w:val="00815F57"/>
    <w:rsid w:val="0081760B"/>
    <w:rsid w:val="008218AC"/>
    <w:rsid w:val="00825359"/>
    <w:rsid w:val="00825E13"/>
    <w:rsid w:val="00826F07"/>
    <w:rsid w:val="008337CB"/>
    <w:rsid w:val="00834A3C"/>
    <w:rsid w:val="008360A0"/>
    <w:rsid w:val="00837658"/>
    <w:rsid w:val="00837CD4"/>
    <w:rsid w:val="00837F78"/>
    <w:rsid w:val="008400EE"/>
    <w:rsid w:val="00840791"/>
    <w:rsid w:val="00845576"/>
    <w:rsid w:val="00850708"/>
    <w:rsid w:val="00851024"/>
    <w:rsid w:val="008526D7"/>
    <w:rsid w:val="0086238C"/>
    <w:rsid w:val="008655DC"/>
    <w:rsid w:val="0086732D"/>
    <w:rsid w:val="00870183"/>
    <w:rsid w:val="00875726"/>
    <w:rsid w:val="00877F10"/>
    <w:rsid w:val="0088225D"/>
    <w:rsid w:val="00882F8D"/>
    <w:rsid w:val="00884FB0"/>
    <w:rsid w:val="008853A5"/>
    <w:rsid w:val="008944DA"/>
    <w:rsid w:val="00894D78"/>
    <w:rsid w:val="008A6A18"/>
    <w:rsid w:val="008B033F"/>
    <w:rsid w:val="008B4003"/>
    <w:rsid w:val="008B7443"/>
    <w:rsid w:val="008C179E"/>
    <w:rsid w:val="008C2379"/>
    <w:rsid w:val="008C4FF7"/>
    <w:rsid w:val="008C5C4C"/>
    <w:rsid w:val="008C7056"/>
    <w:rsid w:val="008C706D"/>
    <w:rsid w:val="008D3145"/>
    <w:rsid w:val="008E1A54"/>
    <w:rsid w:val="008E1F95"/>
    <w:rsid w:val="008E36B6"/>
    <w:rsid w:val="008E4267"/>
    <w:rsid w:val="008E4847"/>
    <w:rsid w:val="008E5FF1"/>
    <w:rsid w:val="008E63D2"/>
    <w:rsid w:val="008E6E14"/>
    <w:rsid w:val="008F1528"/>
    <w:rsid w:val="008F1AE5"/>
    <w:rsid w:val="008F55D9"/>
    <w:rsid w:val="009057DE"/>
    <w:rsid w:val="00905F97"/>
    <w:rsid w:val="00906FA3"/>
    <w:rsid w:val="0091239D"/>
    <w:rsid w:val="00912825"/>
    <w:rsid w:val="009129B8"/>
    <w:rsid w:val="00912B99"/>
    <w:rsid w:val="00912C78"/>
    <w:rsid w:val="00927892"/>
    <w:rsid w:val="009319B9"/>
    <w:rsid w:val="009351E9"/>
    <w:rsid w:val="00937862"/>
    <w:rsid w:val="00942279"/>
    <w:rsid w:val="009524EB"/>
    <w:rsid w:val="00962013"/>
    <w:rsid w:val="00963942"/>
    <w:rsid w:val="0096716C"/>
    <w:rsid w:val="009672B2"/>
    <w:rsid w:val="00971C66"/>
    <w:rsid w:val="00972363"/>
    <w:rsid w:val="0098419C"/>
    <w:rsid w:val="009843EF"/>
    <w:rsid w:val="009867F2"/>
    <w:rsid w:val="00991347"/>
    <w:rsid w:val="00996018"/>
    <w:rsid w:val="0099738E"/>
    <w:rsid w:val="009A493E"/>
    <w:rsid w:val="009A531F"/>
    <w:rsid w:val="009A6931"/>
    <w:rsid w:val="009B1F9A"/>
    <w:rsid w:val="009B1FA9"/>
    <w:rsid w:val="009B349F"/>
    <w:rsid w:val="009B4293"/>
    <w:rsid w:val="009B6715"/>
    <w:rsid w:val="009C7B74"/>
    <w:rsid w:val="009D0BE2"/>
    <w:rsid w:val="009D114E"/>
    <w:rsid w:val="009D210F"/>
    <w:rsid w:val="009D309C"/>
    <w:rsid w:val="009D37B1"/>
    <w:rsid w:val="009D4717"/>
    <w:rsid w:val="009D694D"/>
    <w:rsid w:val="009E264E"/>
    <w:rsid w:val="009F0C98"/>
    <w:rsid w:val="009F0F81"/>
    <w:rsid w:val="009F2543"/>
    <w:rsid w:val="009F256D"/>
    <w:rsid w:val="009F341E"/>
    <w:rsid w:val="009F57CE"/>
    <w:rsid w:val="00A117CA"/>
    <w:rsid w:val="00A12225"/>
    <w:rsid w:val="00A14C18"/>
    <w:rsid w:val="00A25898"/>
    <w:rsid w:val="00A3071D"/>
    <w:rsid w:val="00A3182E"/>
    <w:rsid w:val="00A31A89"/>
    <w:rsid w:val="00A32F06"/>
    <w:rsid w:val="00A34934"/>
    <w:rsid w:val="00A34EFE"/>
    <w:rsid w:val="00A36546"/>
    <w:rsid w:val="00A4069C"/>
    <w:rsid w:val="00A413B5"/>
    <w:rsid w:val="00A429CB"/>
    <w:rsid w:val="00A44E87"/>
    <w:rsid w:val="00A5063C"/>
    <w:rsid w:val="00A52749"/>
    <w:rsid w:val="00A5422E"/>
    <w:rsid w:val="00A56EC1"/>
    <w:rsid w:val="00A6350C"/>
    <w:rsid w:val="00A6370B"/>
    <w:rsid w:val="00A63A73"/>
    <w:rsid w:val="00A6655C"/>
    <w:rsid w:val="00A66CBB"/>
    <w:rsid w:val="00A6704E"/>
    <w:rsid w:val="00A67EA4"/>
    <w:rsid w:val="00A773FF"/>
    <w:rsid w:val="00A83AA1"/>
    <w:rsid w:val="00A906F4"/>
    <w:rsid w:val="00A9343A"/>
    <w:rsid w:val="00A9706C"/>
    <w:rsid w:val="00A97B34"/>
    <w:rsid w:val="00AA1B5C"/>
    <w:rsid w:val="00AA7A27"/>
    <w:rsid w:val="00AB3FB0"/>
    <w:rsid w:val="00AB465D"/>
    <w:rsid w:val="00AB713D"/>
    <w:rsid w:val="00AC114C"/>
    <w:rsid w:val="00AC1478"/>
    <w:rsid w:val="00AC6C2D"/>
    <w:rsid w:val="00AC6E17"/>
    <w:rsid w:val="00AD2FF3"/>
    <w:rsid w:val="00AD7764"/>
    <w:rsid w:val="00AD7FE2"/>
    <w:rsid w:val="00AE1284"/>
    <w:rsid w:val="00AE1B18"/>
    <w:rsid w:val="00AE7339"/>
    <w:rsid w:val="00AF1B0B"/>
    <w:rsid w:val="00AF242C"/>
    <w:rsid w:val="00AF3CC4"/>
    <w:rsid w:val="00B05903"/>
    <w:rsid w:val="00B12C7A"/>
    <w:rsid w:val="00B12E10"/>
    <w:rsid w:val="00B22BC3"/>
    <w:rsid w:val="00B25865"/>
    <w:rsid w:val="00B272B6"/>
    <w:rsid w:val="00B2771B"/>
    <w:rsid w:val="00B336E9"/>
    <w:rsid w:val="00B33AE5"/>
    <w:rsid w:val="00B35BE5"/>
    <w:rsid w:val="00B46965"/>
    <w:rsid w:val="00B54ED0"/>
    <w:rsid w:val="00B55D47"/>
    <w:rsid w:val="00B6204E"/>
    <w:rsid w:val="00B649EC"/>
    <w:rsid w:val="00B728DD"/>
    <w:rsid w:val="00B72D43"/>
    <w:rsid w:val="00B74121"/>
    <w:rsid w:val="00B80ABA"/>
    <w:rsid w:val="00B859FF"/>
    <w:rsid w:val="00B85C1B"/>
    <w:rsid w:val="00B85FF0"/>
    <w:rsid w:val="00B86150"/>
    <w:rsid w:val="00B878F9"/>
    <w:rsid w:val="00B9044A"/>
    <w:rsid w:val="00B960F3"/>
    <w:rsid w:val="00B96A31"/>
    <w:rsid w:val="00BA05E6"/>
    <w:rsid w:val="00BA51B0"/>
    <w:rsid w:val="00BA6319"/>
    <w:rsid w:val="00BC03B0"/>
    <w:rsid w:val="00BC06A3"/>
    <w:rsid w:val="00BC0CEA"/>
    <w:rsid w:val="00BC2220"/>
    <w:rsid w:val="00BC26B9"/>
    <w:rsid w:val="00BC26FA"/>
    <w:rsid w:val="00BC4E01"/>
    <w:rsid w:val="00BC73F6"/>
    <w:rsid w:val="00BD1177"/>
    <w:rsid w:val="00BD1374"/>
    <w:rsid w:val="00BD3531"/>
    <w:rsid w:val="00BD4E35"/>
    <w:rsid w:val="00BE34CA"/>
    <w:rsid w:val="00BF116A"/>
    <w:rsid w:val="00C0623C"/>
    <w:rsid w:val="00C06A07"/>
    <w:rsid w:val="00C132B6"/>
    <w:rsid w:val="00C21A6C"/>
    <w:rsid w:val="00C24A10"/>
    <w:rsid w:val="00C27003"/>
    <w:rsid w:val="00C27597"/>
    <w:rsid w:val="00C32BD4"/>
    <w:rsid w:val="00C33E48"/>
    <w:rsid w:val="00C3618B"/>
    <w:rsid w:val="00C403FB"/>
    <w:rsid w:val="00C4316E"/>
    <w:rsid w:val="00C441A2"/>
    <w:rsid w:val="00C5076B"/>
    <w:rsid w:val="00C512D4"/>
    <w:rsid w:val="00C51CF4"/>
    <w:rsid w:val="00C531E2"/>
    <w:rsid w:val="00C53204"/>
    <w:rsid w:val="00C57E34"/>
    <w:rsid w:val="00C64659"/>
    <w:rsid w:val="00C662E9"/>
    <w:rsid w:val="00C66C2D"/>
    <w:rsid w:val="00C7190B"/>
    <w:rsid w:val="00C76852"/>
    <w:rsid w:val="00C77210"/>
    <w:rsid w:val="00C777FA"/>
    <w:rsid w:val="00C77989"/>
    <w:rsid w:val="00C811F4"/>
    <w:rsid w:val="00C81E51"/>
    <w:rsid w:val="00C87B73"/>
    <w:rsid w:val="00C92444"/>
    <w:rsid w:val="00C92FBB"/>
    <w:rsid w:val="00C93327"/>
    <w:rsid w:val="00C97B4D"/>
    <w:rsid w:val="00CA5602"/>
    <w:rsid w:val="00CA5CA9"/>
    <w:rsid w:val="00CA78E2"/>
    <w:rsid w:val="00CB1BBE"/>
    <w:rsid w:val="00CB65DB"/>
    <w:rsid w:val="00CB6BD9"/>
    <w:rsid w:val="00CC293A"/>
    <w:rsid w:val="00CE19F6"/>
    <w:rsid w:val="00CE6B76"/>
    <w:rsid w:val="00CF366B"/>
    <w:rsid w:val="00CF5D9D"/>
    <w:rsid w:val="00CF606C"/>
    <w:rsid w:val="00CF7423"/>
    <w:rsid w:val="00D001F5"/>
    <w:rsid w:val="00D03E80"/>
    <w:rsid w:val="00D1505F"/>
    <w:rsid w:val="00D15B9F"/>
    <w:rsid w:val="00D15DD6"/>
    <w:rsid w:val="00D25548"/>
    <w:rsid w:val="00D2601F"/>
    <w:rsid w:val="00D27759"/>
    <w:rsid w:val="00D30028"/>
    <w:rsid w:val="00D325D3"/>
    <w:rsid w:val="00D408D6"/>
    <w:rsid w:val="00D511DD"/>
    <w:rsid w:val="00D55C2A"/>
    <w:rsid w:val="00D571C1"/>
    <w:rsid w:val="00D602F4"/>
    <w:rsid w:val="00D6457E"/>
    <w:rsid w:val="00D742E2"/>
    <w:rsid w:val="00D7580E"/>
    <w:rsid w:val="00D87DAF"/>
    <w:rsid w:val="00D9446D"/>
    <w:rsid w:val="00DA2994"/>
    <w:rsid w:val="00DB08E8"/>
    <w:rsid w:val="00DB0DED"/>
    <w:rsid w:val="00DB3073"/>
    <w:rsid w:val="00DB3BA9"/>
    <w:rsid w:val="00DB50FE"/>
    <w:rsid w:val="00DB5EDA"/>
    <w:rsid w:val="00DC2349"/>
    <w:rsid w:val="00DC3026"/>
    <w:rsid w:val="00DD1EDB"/>
    <w:rsid w:val="00DD25E1"/>
    <w:rsid w:val="00DD57AA"/>
    <w:rsid w:val="00DE1578"/>
    <w:rsid w:val="00DE7F67"/>
    <w:rsid w:val="00DF0529"/>
    <w:rsid w:val="00DF09EF"/>
    <w:rsid w:val="00DF0D0F"/>
    <w:rsid w:val="00DF13D6"/>
    <w:rsid w:val="00DF27D6"/>
    <w:rsid w:val="00DF2BEA"/>
    <w:rsid w:val="00DF4488"/>
    <w:rsid w:val="00DF5B98"/>
    <w:rsid w:val="00DF6FA8"/>
    <w:rsid w:val="00DF701E"/>
    <w:rsid w:val="00DF7BE5"/>
    <w:rsid w:val="00E00D49"/>
    <w:rsid w:val="00E019A8"/>
    <w:rsid w:val="00E03A46"/>
    <w:rsid w:val="00E03C6D"/>
    <w:rsid w:val="00E0476F"/>
    <w:rsid w:val="00E04899"/>
    <w:rsid w:val="00E0796F"/>
    <w:rsid w:val="00E10948"/>
    <w:rsid w:val="00E24371"/>
    <w:rsid w:val="00E243AB"/>
    <w:rsid w:val="00E26641"/>
    <w:rsid w:val="00E2778F"/>
    <w:rsid w:val="00E278B0"/>
    <w:rsid w:val="00E33023"/>
    <w:rsid w:val="00E331F3"/>
    <w:rsid w:val="00E3498D"/>
    <w:rsid w:val="00E42425"/>
    <w:rsid w:val="00E43E55"/>
    <w:rsid w:val="00E4554E"/>
    <w:rsid w:val="00E46D22"/>
    <w:rsid w:val="00E4768F"/>
    <w:rsid w:val="00E53C0E"/>
    <w:rsid w:val="00E54F7E"/>
    <w:rsid w:val="00E560CE"/>
    <w:rsid w:val="00E5674E"/>
    <w:rsid w:val="00E63783"/>
    <w:rsid w:val="00E650E2"/>
    <w:rsid w:val="00E75CAD"/>
    <w:rsid w:val="00E76922"/>
    <w:rsid w:val="00E8595B"/>
    <w:rsid w:val="00E915EC"/>
    <w:rsid w:val="00EA11B1"/>
    <w:rsid w:val="00EA2224"/>
    <w:rsid w:val="00EA7194"/>
    <w:rsid w:val="00EB1329"/>
    <w:rsid w:val="00EB2987"/>
    <w:rsid w:val="00EB2D75"/>
    <w:rsid w:val="00EB34BE"/>
    <w:rsid w:val="00EB571A"/>
    <w:rsid w:val="00EC2804"/>
    <w:rsid w:val="00EC6117"/>
    <w:rsid w:val="00EC6138"/>
    <w:rsid w:val="00ED1DCF"/>
    <w:rsid w:val="00ED43C9"/>
    <w:rsid w:val="00EE2C60"/>
    <w:rsid w:val="00EE2E58"/>
    <w:rsid w:val="00EE487A"/>
    <w:rsid w:val="00EE734C"/>
    <w:rsid w:val="00EF6907"/>
    <w:rsid w:val="00EF6D91"/>
    <w:rsid w:val="00F01F54"/>
    <w:rsid w:val="00F04D4D"/>
    <w:rsid w:val="00F11DD8"/>
    <w:rsid w:val="00F12745"/>
    <w:rsid w:val="00F13766"/>
    <w:rsid w:val="00F20A77"/>
    <w:rsid w:val="00F22C60"/>
    <w:rsid w:val="00F231A4"/>
    <w:rsid w:val="00F23252"/>
    <w:rsid w:val="00F27B2A"/>
    <w:rsid w:val="00F31762"/>
    <w:rsid w:val="00F345D3"/>
    <w:rsid w:val="00F356ED"/>
    <w:rsid w:val="00F359B5"/>
    <w:rsid w:val="00F4144F"/>
    <w:rsid w:val="00F433F3"/>
    <w:rsid w:val="00F47F64"/>
    <w:rsid w:val="00F522D9"/>
    <w:rsid w:val="00F52F54"/>
    <w:rsid w:val="00F53584"/>
    <w:rsid w:val="00F61B24"/>
    <w:rsid w:val="00F62DE5"/>
    <w:rsid w:val="00F63F8A"/>
    <w:rsid w:val="00F6514E"/>
    <w:rsid w:val="00F703DC"/>
    <w:rsid w:val="00F71D06"/>
    <w:rsid w:val="00F73B46"/>
    <w:rsid w:val="00F73D01"/>
    <w:rsid w:val="00F7642B"/>
    <w:rsid w:val="00F76A43"/>
    <w:rsid w:val="00F80334"/>
    <w:rsid w:val="00F8139D"/>
    <w:rsid w:val="00F83DF9"/>
    <w:rsid w:val="00F85DA0"/>
    <w:rsid w:val="00F930AF"/>
    <w:rsid w:val="00F9352C"/>
    <w:rsid w:val="00F975B0"/>
    <w:rsid w:val="00FA15F1"/>
    <w:rsid w:val="00FA19F5"/>
    <w:rsid w:val="00FA4A69"/>
    <w:rsid w:val="00FA649A"/>
    <w:rsid w:val="00FB1248"/>
    <w:rsid w:val="00FB208D"/>
    <w:rsid w:val="00FB3CF4"/>
    <w:rsid w:val="00FB4A27"/>
    <w:rsid w:val="00FB4A49"/>
    <w:rsid w:val="00FB69B3"/>
    <w:rsid w:val="00FC6FBE"/>
    <w:rsid w:val="00FD1162"/>
    <w:rsid w:val="00FD2232"/>
    <w:rsid w:val="00FD4AE7"/>
    <w:rsid w:val="00FD65A9"/>
    <w:rsid w:val="00FD7508"/>
    <w:rsid w:val="00FE1E51"/>
    <w:rsid w:val="00FE2496"/>
    <w:rsid w:val="00FE6A2B"/>
    <w:rsid w:val="00FF0275"/>
    <w:rsid w:val="00FF07B3"/>
    <w:rsid w:val="00FF1E37"/>
    <w:rsid w:val="02F120AB"/>
    <w:rsid w:val="032B5196"/>
    <w:rsid w:val="04C3537C"/>
    <w:rsid w:val="05EC6836"/>
    <w:rsid w:val="0729782D"/>
    <w:rsid w:val="079004AC"/>
    <w:rsid w:val="0BA148CA"/>
    <w:rsid w:val="0C1165C4"/>
    <w:rsid w:val="0CD345F2"/>
    <w:rsid w:val="0D6D544B"/>
    <w:rsid w:val="0DA82C53"/>
    <w:rsid w:val="0DD136FE"/>
    <w:rsid w:val="0F8E2C57"/>
    <w:rsid w:val="105704F0"/>
    <w:rsid w:val="1059665E"/>
    <w:rsid w:val="10AC13BA"/>
    <w:rsid w:val="10F70B24"/>
    <w:rsid w:val="11980797"/>
    <w:rsid w:val="13063920"/>
    <w:rsid w:val="13F13EB5"/>
    <w:rsid w:val="145A6C1B"/>
    <w:rsid w:val="14B73493"/>
    <w:rsid w:val="14C353F6"/>
    <w:rsid w:val="15DA196B"/>
    <w:rsid w:val="1656423C"/>
    <w:rsid w:val="167A2FF9"/>
    <w:rsid w:val="172521B1"/>
    <w:rsid w:val="17E05399"/>
    <w:rsid w:val="18581C69"/>
    <w:rsid w:val="186D28E5"/>
    <w:rsid w:val="19214ACC"/>
    <w:rsid w:val="1AA65164"/>
    <w:rsid w:val="1AEC0734"/>
    <w:rsid w:val="1C203C3A"/>
    <w:rsid w:val="1C660451"/>
    <w:rsid w:val="1DEF20B0"/>
    <w:rsid w:val="207F3870"/>
    <w:rsid w:val="214243FA"/>
    <w:rsid w:val="21AD613C"/>
    <w:rsid w:val="220A16AE"/>
    <w:rsid w:val="22467189"/>
    <w:rsid w:val="231B7C29"/>
    <w:rsid w:val="23242122"/>
    <w:rsid w:val="233D7E5B"/>
    <w:rsid w:val="23EA1FE2"/>
    <w:rsid w:val="24455DB2"/>
    <w:rsid w:val="249A6D36"/>
    <w:rsid w:val="257A14F5"/>
    <w:rsid w:val="27196C26"/>
    <w:rsid w:val="28B56563"/>
    <w:rsid w:val="290A07E2"/>
    <w:rsid w:val="29EF086F"/>
    <w:rsid w:val="2A014A0F"/>
    <w:rsid w:val="2ACD372E"/>
    <w:rsid w:val="2ADC1962"/>
    <w:rsid w:val="2EFFE297"/>
    <w:rsid w:val="2FEF5837"/>
    <w:rsid w:val="301437CA"/>
    <w:rsid w:val="305F5483"/>
    <w:rsid w:val="31933F32"/>
    <w:rsid w:val="31E53A89"/>
    <w:rsid w:val="32202F85"/>
    <w:rsid w:val="32791381"/>
    <w:rsid w:val="349D1F0A"/>
    <w:rsid w:val="34DD0473"/>
    <w:rsid w:val="37B11D9E"/>
    <w:rsid w:val="3A0C195A"/>
    <w:rsid w:val="3C181CA7"/>
    <w:rsid w:val="3C684897"/>
    <w:rsid w:val="419E46A6"/>
    <w:rsid w:val="41C6204F"/>
    <w:rsid w:val="433E495C"/>
    <w:rsid w:val="489F2FD7"/>
    <w:rsid w:val="48A90C24"/>
    <w:rsid w:val="4A323CA3"/>
    <w:rsid w:val="4A332642"/>
    <w:rsid w:val="4AC27CB3"/>
    <w:rsid w:val="4BF72BEF"/>
    <w:rsid w:val="4EA16EA6"/>
    <w:rsid w:val="4FA90297"/>
    <w:rsid w:val="4FC41A43"/>
    <w:rsid w:val="505D7DA5"/>
    <w:rsid w:val="5081369B"/>
    <w:rsid w:val="509A4270"/>
    <w:rsid w:val="51DB3C59"/>
    <w:rsid w:val="537D72F1"/>
    <w:rsid w:val="550C0952"/>
    <w:rsid w:val="55762E42"/>
    <w:rsid w:val="57A7B272"/>
    <w:rsid w:val="58470068"/>
    <w:rsid w:val="58747CAC"/>
    <w:rsid w:val="58A6479C"/>
    <w:rsid w:val="5A1720F9"/>
    <w:rsid w:val="5B9C37C2"/>
    <w:rsid w:val="5BA7C654"/>
    <w:rsid w:val="5E20703A"/>
    <w:rsid w:val="5E8A13BF"/>
    <w:rsid w:val="5FB804B3"/>
    <w:rsid w:val="60256523"/>
    <w:rsid w:val="60A54109"/>
    <w:rsid w:val="611E3D48"/>
    <w:rsid w:val="61D01CDF"/>
    <w:rsid w:val="626C4BE4"/>
    <w:rsid w:val="63D92E91"/>
    <w:rsid w:val="64503BFC"/>
    <w:rsid w:val="646534C1"/>
    <w:rsid w:val="64C0607C"/>
    <w:rsid w:val="65756C86"/>
    <w:rsid w:val="660243E8"/>
    <w:rsid w:val="674D385B"/>
    <w:rsid w:val="676F09E1"/>
    <w:rsid w:val="6A206100"/>
    <w:rsid w:val="6C20125E"/>
    <w:rsid w:val="71793A80"/>
    <w:rsid w:val="71D456C7"/>
    <w:rsid w:val="72B847C1"/>
    <w:rsid w:val="7357290B"/>
    <w:rsid w:val="74193C63"/>
    <w:rsid w:val="743071E8"/>
    <w:rsid w:val="751E07DB"/>
    <w:rsid w:val="76C0777C"/>
    <w:rsid w:val="798524E4"/>
    <w:rsid w:val="7A7F1C49"/>
    <w:rsid w:val="7B5B7AE6"/>
    <w:rsid w:val="7B7B6628"/>
    <w:rsid w:val="7BA7071E"/>
    <w:rsid w:val="7BDF6DA8"/>
    <w:rsid w:val="7BDF7589"/>
    <w:rsid w:val="7C7EDC1A"/>
    <w:rsid w:val="7CCED98D"/>
    <w:rsid w:val="7D08410F"/>
    <w:rsid w:val="7D2759BE"/>
    <w:rsid w:val="7DB96DED"/>
    <w:rsid w:val="7DD3AD81"/>
    <w:rsid w:val="7F7FE70F"/>
    <w:rsid w:val="7FFF772F"/>
    <w:rsid w:val="95F35EF6"/>
    <w:rsid w:val="9BFFD860"/>
    <w:rsid w:val="AC5F73DE"/>
    <w:rsid w:val="B5DDD2C8"/>
    <w:rsid w:val="B9DFABD9"/>
    <w:rsid w:val="BC0D83FC"/>
    <w:rsid w:val="BF3BDEFB"/>
    <w:rsid w:val="C75F6086"/>
    <w:rsid w:val="C7F7ED2D"/>
    <w:rsid w:val="CFAF854E"/>
    <w:rsid w:val="D8D7928E"/>
    <w:rsid w:val="D8FE3136"/>
    <w:rsid w:val="DDDE60B7"/>
    <w:rsid w:val="DE9F6A22"/>
    <w:rsid w:val="DF4FCE6A"/>
    <w:rsid w:val="E4FED278"/>
    <w:rsid w:val="EDAA365C"/>
    <w:rsid w:val="EDADFC12"/>
    <w:rsid w:val="F2FD229B"/>
    <w:rsid w:val="F7F709E9"/>
    <w:rsid w:val="F7FF3690"/>
    <w:rsid w:val="F9BD3900"/>
    <w:rsid w:val="FC8B9876"/>
    <w:rsid w:val="FEDFF218"/>
    <w:rsid w:val="FEDFFF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next w:val="1"/>
    <w:qFormat/>
    <w:uiPriority w:val="0"/>
    <w:pPr>
      <w:keepNext/>
      <w:keepLines/>
      <w:spacing w:before="100" w:beforeAutospacing="1" w:after="100" w:afterAutospacing="1"/>
      <w:outlineLvl w:val="1"/>
    </w:pPr>
    <w:rPr>
      <w:rFonts w:ascii="Cambria" w:hAnsi="Cambria" w:eastAsia="黑体"/>
      <w:b/>
      <w:bCs/>
      <w:kern w:val="0"/>
      <w:sz w:val="36"/>
      <w:szCs w:val="32"/>
    </w:rPr>
  </w:style>
  <w:style w:type="character" w:default="1" w:styleId="11">
    <w:name w:val="Default Paragraph Font"/>
    <w:unhideWhenUsed/>
    <w:qFormat/>
    <w:uiPriority w:val="1"/>
  </w:style>
  <w:style w:type="table" w:default="1" w:styleId="14">
    <w:name w:val="Normal Table"/>
    <w:unhideWhenUsed/>
    <w:qFormat/>
    <w:uiPriority w:val="99"/>
    <w:tblPr>
      <w:tblLayout w:type="fixed"/>
      <w:tblCellMar>
        <w:top w:w="0" w:type="dxa"/>
        <w:left w:w="108" w:type="dxa"/>
        <w:bottom w:w="0" w:type="dxa"/>
        <w:right w:w="108" w:type="dxa"/>
      </w:tblCellMar>
    </w:tblPr>
  </w:style>
  <w:style w:type="paragraph" w:styleId="2">
    <w:name w:val="Plain Text"/>
    <w:basedOn w:val="1"/>
    <w:qFormat/>
    <w:uiPriority w:val="0"/>
    <w:rPr>
      <w:rFonts w:ascii="宋体"/>
    </w:rPr>
  </w:style>
  <w:style w:type="paragraph" w:styleId="4">
    <w:name w:val="Normal Indent"/>
    <w:basedOn w:val="1"/>
    <w:next w:val="1"/>
    <w:qFormat/>
    <w:uiPriority w:val="0"/>
    <w:pPr>
      <w:ind w:firstLine="200" w:firstLineChars="200"/>
    </w:pPr>
  </w:style>
  <w:style w:type="paragraph" w:styleId="5">
    <w:name w:val="Body Text Indent"/>
    <w:basedOn w:val="1"/>
    <w:qFormat/>
    <w:uiPriority w:val="0"/>
    <w:pPr>
      <w:ind w:firstLine="645"/>
    </w:pPr>
    <w:rPr>
      <w:rFonts w:ascii="仿宋_GB2312" w:hAnsi="Calibri" w:eastAsia="仿宋_GB2312"/>
      <w:sz w:val="32"/>
      <w:szCs w:val="32"/>
    </w:rPr>
  </w:style>
  <w:style w:type="paragraph" w:styleId="6">
    <w:name w:val="Date"/>
    <w:basedOn w:val="1"/>
    <w:next w:val="1"/>
    <w:qFormat/>
    <w:uiPriority w:val="0"/>
    <w:pPr>
      <w:ind w:left="100" w:leftChars="2500"/>
    </w:pPr>
  </w:style>
  <w:style w:type="paragraph" w:styleId="7">
    <w:name w:val="Balloon Text"/>
    <w:basedOn w:val="1"/>
    <w:semiHidden/>
    <w:qFormat/>
    <w:uiPriority w:val="0"/>
    <w:rPr>
      <w:sz w:val="18"/>
      <w:szCs w:val="18"/>
    </w:rPr>
  </w:style>
  <w:style w:type="paragraph" w:styleId="8">
    <w:name w:val="footer"/>
    <w:basedOn w:val="1"/>
    <w:link w:val="15"/>
    <w:qFormat/>
    <w:uiPriority w:val="0"/>
    <w:pPr>
      <w:tabs>
        <w:tab w:val="center" w:pos="4153"/>
        <w:tab w:val="right" w:pos="8306"/>
      </w:tabs>
      <w:snapToGrid w:val="0"/>
      <w:jc w:val="left"/>
    </w:pPr>
    <w:rPr>
      <w:sz w:val="18"/>
      <w:szCs w:val="18"/>
    </w:rPr>
  </w:style>
  <w:style w:type="paragraph" w:styleId="9">
    <w:name w:val="header"/>
    <w:basedOn w:val="1"/>
    <w:link w:val="16"/>
    <w:qFormat/>
    <w:uiPriority w:val="0"/>
    <w:pPr>
      <w:pBdr>
        <w:bottom w:val="single" w:color="auto" w:sz="6" w:space="1"/>
      </w:pBdr>
      <w:tabs>
        <w:tab w:val="center" w:pos="4153"/>
        <w:tab w:val="right" w:pos="8306"/>
      </w:tabs>
      <w:snapToGrid w:val="0"/>
      <w:jc w:val="center"/>
    </w:pPr>
    <w:rPr>
      <w:rFonts w:ascii="Calibri" w:hAnsi="Calibri"/>
      <w:sz w:val="18"/>
      <w:szCs w:val="18"/>
    </w:rPr>
  </w:style>
  <w:style w:type="paragraph" w:styleId="10">
    <w:name w:val="Normal (Web)"/>
    <w:basedOn w:val="1"/>
    <w:unhideWhenUsed/>
    <w:qFormat/>
    <w:uiPriority w:val="0"/>
    <w:pPr>
      <w:spacing w:before="100" w:beforeAutospacing="1" w:after="100" w:afterAutospacing="1"/>
      <w:ind w:right="238"/>
      <w:jc w:val="left"/>
    </w:pPr>
    <w:rPr>
      <w:b/>
      <w:kern w:val="0"/>
      <w:sz w:val="24"/>
      <w:szCs w:val="20"/>
    </w:rPr>
  </w:style>
  <w:style w:type="character" w:styleId="12">
    <w:name w:val="Strong"/>
    <w:qFormat/>
    <w:uiPriority w:val="0"/>
    <w:rPr>
      <w:b/>
    </w:rPr>
  </w:style>
  <w:style w:type="character" w:styleId="13">
    <w:name w:val="page number"/>
    <w:qFormat/>
    <w:uiPriority w:val="0"/>
  </w:style>
  <w:style w:type="character" w:customStyle="1" w:styleId="15">
    <w:name w:val="页脚 Char"/>
    <w:link w:val="8"/>
    <w:qFormat/>
    <w:uiPriority w:val="0"/>
    <w:rPr>
      <w:rFonts w:eastAsia="宋体"/>
      <w:kern w:val="2"/>
      <w:sz w:val="18"/>
      <w:szCs w:val="18"/>
      <w:lang w:val="en-US" w:eastAsia="zh-CN" w:bidi="ar-SA"/>
    </w:rPr>
  </w:style>
  <w:style w:type="character" w:customStyle="1" w:styleId="16">
    <w:name w:val="页眉 Char"/>
    <w:link w:val="9"/>
    <w:qFormat/>
    <w:uiPriority w:val="0"/>
    <w:rPr>
      <w:rFonts w:ascii="Calibri" w:hAnsi="Calibri" w:eastAsia="宋体"/>
      <w:kern w:val="2"/>
      <w:sz w:val="18"/>
      <w:szCs w:val="18"/>
      <w:lang w:val="en-US" w:eastAsia="zh-CN" w:bidi="ar-SA"/>
    </w:rPr>
  </w:style>
  <w:style w:type="paragraph" w:customStyle="1" w:styleId="17">
    <w:name w:val="Char Char Char Char Char Char Char"/>
    <w:basedOn w:val="1"/>
    <w:qFormat/>
    <w:uiPriority w:val="0"/>
    <w:rPr>
      <w:rFonts w:ascii="Tahoma" w:hAnsi="Tahoma"/>
      <w:sz w:val="24"/>
      <w:szCs w:val="20"/>
    </w:rPr>
  </w:style>
  <w:style w:type="paragraph" w:customStyle="1" w:styleId="18">
    <w:name w:val="Char1 Char Char Char"/>
    <w:basedOn w:val="1"/>
    <w:qFormat/>
    <w:uiPriority w:val="0"/>
    <w:pPr>
      <w:widowControl/>
      <w:spacing w:after="160" w:line="240" w:lineRule="exact"/>
      <w:jc w:val="left"/>
    </w:pPr>
    <w:rPr>
      <w:szCs w:val="20"/>
    </w:rPr>
  </w:style>
  <w:style w:type="paragraph" w:customStyle="1" w:styleId="19">
    <w:name w:val="Char"/>
    <w:basedOn w:val="1"/>
    <w:qFormat/>
    <w:uiPriority w:val="0"/>
    <w:rPr>
      <w:rFonts w:ascii="Tahoma" w:hAnsi="Tahoma"/>
      <w:sz w:val="24"/>
      <w:szCs w:val="20"/>
    </w:rPr>
  </w:style>
  <w:style w:type="paragraph" w:customStyle="1" w:styleId="20">
    <w:name w:val="Char Char3 Char Char"/>
    <w:basedOn w:val="1"/>
    <w:qFormat/>
    <w:uiPriority w:val="0"/>
    <w:rPr>
      <w:szCs w:val="21"/>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收入</c:v>
                </c:pt>
              </c:strCache>
            </c:strRef>
          </c:tx>
          <c:explosion val="0"/>
          <c:dPt>
            <c:idx val="0"/>
            <c:bubble3D val="0"/>
          </c:dPt>
          <c:dPt>
            <c:idx val="1"/>
            <c:bubble3D val="0"/>
          </c:dPt>
          <c:dPt>
            <c:idx val="2"/>
            <c:bubble3D val="0"/>
          </c:dPt>
          <c:dPt>
            <c:idx val="3"/>
            <c:bubble3D val="0"/>
          </c:dPt>
          <c:dPt>
            <c:idx val="4"/>
            <c:bubble3D val="0"/>
          </c:dPt>
          <c:dPt>
            <c:idx val="5"/>
            <c:bubble3D val="0"/>
          </c:dPt>
          <c:dLbls>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Sheet1!$A$2:$A$7</c:f>
              <c:strCache>
                <c:ptCount val="6"/>
                <c:pt idx="0">
                  <c:v>财政拨款收入</c:v>
                </c:pt>
                <c:pt idx="1">
                  <c:v>上级补助收入</c:v>
                </c:pt>
                <c:pt idx="2">
                  <c:v>事业收入</c:v>
                </c:pt>
                <c:pt idx="3">
                  <c:v>经营收入</c:v>
                </c:pt>
                <c:pt idx="4">
                  <c:v>附属单位上缴</c:v>
                </c:pt>
                <c:pt idx="5">
                  <c:v>其他收入</c:v>
                </c:pt>
              </c:strCache>
            </c:strRef>
          </c:cat>
          <c:val>
            <c:numRef>
              <c:f>Sheet1!$B$2:$B$7</c:f>
              <c:numCache>
                <c:formatCode>General</c:formatCode>
                <c:ptCount val="6"/>
                <c:pt idx="0">
                  <c:v>2869.79</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Sheet0!$B$1</c:f>
              <c:strCache>
                <c:ptCount val="1"/>
                <c:pt idx="0">
                  <c:v>支出</c:v>
                </c:pt>
              </c:strCache>
            </c:strRef>
          </c:tx>
          <c:explosion val="0"/>
          <c:dPt>
            <c:idx val="0"/>
            <c:bubble3D val="0"/>
            <c:spPr>
              <a:solidFill>
                <a:srgbClr val="4F81BD"/>
              </a:solidFill>
              <a:ln w="19050">
                <a:solidFill>
                  <a:srgbClr val="FFFFFF"/>
                </a:solidFill>
              </a:ln>
              <a:effectLst/>
            </c:spPr>
          </c:dPt>
          <c:dPt>
            <c:idx val="1"/>
            <c:bubble3D val="0"/>
            <c:spPr>
              <a:solidFill>
                <a:srgbClr val="C0504D"/>
              </a:solidFill>
              <a:ln w="19050">
                <a:solidFill>
                  <a:srgbClr val="FFFFFF"/>
                </a:solidFill>
              </a:ln>
              <a:effectLst/>
            </c:spPr>
          </c:dPt>
          <c:dPt>
            <c:idx val="2"/>
            <c:bubble3D val="0"/>
            <c:spPr>
              <a:solidFill>
                <a:srgbClr val="9BBB59"/>
              </a:solidFill>
              <a:ln w="19050">
                <a:solidFill>
                  <a:srgbClr val="FFFFFF"/>
                </a:solidFill>
              </a:ln>
              <a:effectLst/>
            </c:spPr>
          </c:dPt>
          <c:dPt>
            <c:idx val="3"/>
            <c:bubble3D val="0"/>
            <c:spPr>
              <a:solidFill>
                <a:srgbClr val="8064A2"/>
              </a:solidFill>
              <a:ln w="19050">
                <a:solidFill>
                  <a:srgbClr val="FFFFFF"/>
                </a:solidFill>
              </a:ln>
              <a:effectLst/>
            </c:spPr>
          </c:dPt>
          <c:dPt>
            <c:idx val="4"/>
            <c:bubble3D val="0"/>
            <c:spPr>
              <a:solidFill>
                <a:srgbClr val="4BACC6"/>
              </a:solidFill>
              <a:ln w="19050">
                <a:solidFill>
                  <a:srgbClr val="FFFFFF"/>
                </a:solidFill>
              </a:ln>
              <a:effectLst/>
            </c:spPr>
          </c:dPt>
          <c:dLbls>
            <c:dLbl>
              <c:idx val="0"/>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solidFill>
                        <a:latin typeface="+mn-lt"/>
                        <a:ea typeface="+mn-ea"/>
                        <a:cs typeface="+mn-cs"/>
                      </a:defRPr>
                    </a:pPr>
                    <a:r>
                      <a:t>77.</a:t>
                    </a:r>
                    <a:r>
                      <a:rPr lang="en-US" altLang="zh-CN"/>
                      <a:t>6</a:t>
                    </a:r>
                    <a:r>
                      <a:t>%</a:t>
                    </a:r>
                  </a:p>
                </c:rich>
              </c:tx>
              <c:dLblPos val="bestFit"/>
              <c:showLegendKey val="0"/>
              <c:showVal val="0"/>
              <c:showCatName val="0"/>
              <c:showSerName val="0"/>
              <c:showPercent val="1"/>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solidFill>
                        <a:latin typeface="+mn-lt"/>
                        <a:ea typeface="+mn-ea"/>
                        <a:cs typeface="+mn-cs"/>
                      </a:defRPr>
                    </a:pPr>
                    <a:r>
                      <a:t>22.</a:t>
                    </a:r>
                    <a:r>
                      <a:rPr lang="en-US" altLang="zh-CN"/>
                      <a:t>5</a:t>
                    </a:r>
                    <a:r>
                      <a:t>%</a:t>
                    </a:r>
                  </a:p>
                </c:rich>
              </c:tx>
              <c:dLblPos val="bestFit"/>
              <c:showLegendKey val="0"/>
              <c:showVal val="0"/>
              <c:showCatName val="0"/>
              <c:showSerName val="0"/>
              <c:showPercent val="1"/>
              <c:showBubbleSize val="0"/>
              <c:extLst>
                <c:ext xmlns:c15="http://schemas.microsoft.com/office/drawing/2012/chart" uri="{CE6537A1-D6FC-4f65-9D91-7224C49458BB}"/>
              </c:extLst>
            </c:dLbl>
            <c:dLbl>
              <c:idx val="2"/>
              <c:layout>
                <c:manualLayout>
                  <c:x val="-0.03900372940115"/>
                  <c:y val="0.0328271436107878"/>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dLbl>
              <c:idx val="4"/>
              <c:layout>
                <c:manualLayout>
                  <c:x val="0.0389887693586102"/>
                  <c:y val="0.0105112295100623"/>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A6A6A6">
                          <a:lumMod val="35000"/>
                          <a:lumOff val="65000"/>
                        </a:srgbClr>
                      </a:solidFill>
                      <a:prstDash val="solid"/>
                      <a:round/>
                    </a:ln>
                    <a:effectLst/>
                  </c:spPr>
                </c15:leaderLines>
              </c:ext>
            </c:extLst>
          </c:dLbls>
          <c:cat>
            <c:strRef>
              <c:f>Sheet0!$A$2:$A$6</c:f>
              <c:strCache>
                <c:ptCount val="5"/>
                <c:pt idx="0">
                  <c:v>基本支出</c:v>
                </c:pt>
                <c:pt idx="1">
                  <c:v>项目支出</c:v>
                </c:pt>
                <c:pt idx="2">
                  <c:v>上缴上级支出</c:v>
                </c:pt>
                <c:pt idx="3">
                  <c:v>经营支出</c:v>
                </c:pt>
                <c:pt idx="4">
                  <c:v>对附属单位补助支出</c:v>
                </c:pt>
              </c:strCache>
            </c:strRef>
          </c:cat>
          <c:val>
            <c:numRef>
              <c:f>Sheet0!$B$2:$B$6</c:f>
              <c:numCache>
                <c:formatCode>General</c:formatCode>
                <c:ptCount val="5"/>
                <c:pt idx="0">
                  <c:v>2225.51</c:v>
                </c:pt>
                <c:pt idx="1">
                  <c:v>644.28</c:v>
                </c:pt>
                <c:pt idx="2">
                  <c:v>0</c:v>
                </c:pt>
                <c:pt idx="3">
                  <c:v>0</c:v>
                </c:pt>
                <c:pt idx="4">
                  <c:v>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egendEntry>
        <c:idx val="0"/>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1"/>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2"/>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3"/>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4"/>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
    <c:plotVisOnly val="1"/>
    <c:dispBlanksAs val="gap"/>
    <c:showDLblsOverMax val="0"/>
  </c:chart>
  <c:spPr>
    <a:ln w="9525" cap="flat" cmpd="sng" algn="ctr">
      <a:solidFill>
        <a:srgbClr val="D9D9D9">
          <a:lumMod val="15000"/>
          <a:lumOff val="85000"/>
        </a:srgbClr>
      </a:solid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3958</Words>
  <Characters>6108</Characters>
  <Lines>47</Lines>
  <Paragraphs>13</Paragraphs>
  <ScaleCrop>false</ScaleCrop>
  <LinksUpToDate>false</LinksUpToDate>
  <CharactersWithSpaces>6191</CharactersWithSpaces>
  <Application>WPS Office_10.8.0.6370_F1E327BC-269C-435d-A152-05C5408002CA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2017-07-11T15:16:00Z</dcterms:created>
  <dc:creator>常程</dc:creator>
  <cp:lastModifiedBy>Administrator</cp:lastModifiedBy>
  <cp:lastPrinted>2026-08-23T08:14:00Z</cp:lastPrinted>
  <dcterms:modified xsi:type="dcterms:W3CDTF">2026-08-25T01:51:15Z</dcterms:modified>
  <dc:title>北京市财政局关于做好向市人大常委会报送2015年度市级部门决算（草案）</dc:title>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2052-10.8.0.6370</vt:lpwstr>
  </property>
  <property fmtid="{D5CDD505-2E9C-101B-9397-08002B2CF9AE}" pid="3" name="ICV">
    <vt:lpwstr>435078ACFECC4A5A8A519EF4C3681114_13</vt:lpwstr>
  </property>
  <property fmtid="{D5CDD505-2E9C-101B-9397-08002B2CF9AE}" pid="4" name="KSOTemplateDocerSaveRecord">
    <vt:lpwstr>eyJoZGlkIjoiYjNlN2I2OGQxOGI1NmIxMWI3ZTg2MzgyOGIwNzE1YjAiLCJ1c2VySWQiOiI2NzgwOTI3MjgifQ==</vt:lpwstr>
  </property>
</Properties>
</file>