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ajorEastAsia" w:hAnsiTheme="majorEastAsia" w:eastAsiaTheme="majorEastAsia"/>
          <w:b/>
          <w:sz w:val="28"/>
          <w:szCs w:val="28"/>
        </w:rPr>
      </w:pPr>
      <w:bookmarkStart w:id="0" w:name="_GoBack"/>
      <w:bookmarkEnd w:id="0"/>
    </w:p>
    <w:p>
      <w:pPr>
        <w:jc w:val="center"/>
        <w:rPr>
          <w:rFonts w:hint="eastAsia"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  <w:lang w:eastAsia="zh-CN"/>
        </w:rPr>
        <w:t>门头沟区司法局</w:t>
      </w:r>
      <w:r>
        <w:rPr>
          <w:rFonts w:hint="eastAsia" w:asciiTheme="minorEastAsia" w:hAnsiTheme="minorEastAsia"/>
          <w:b/>
          <w:sz w:val="36"/>
          <w:szCs w:val="36"/>
        </w:rPr>
        <w:t>202</w:t>
      </w:r>
      <w:r>
        <w:rPr>
          <w:rFonts w:hint="eastAsia" w:asciiTheme="minorEastAsia" w:hAnsiTheme="minorEastAsia"/>
          <w:b/>
          <w:sz w:val="36"/>
          <w:szCs w:val="36"/>
          <w:lang w:val="en-US" w:eastAsia="zh-CN"/>
        </w:rPr>
        <w:t>5</w:t>
      </w:r>
      <w:r>
        <w:rPr>
          <w:rFonts w:hint="eastAsia" w:asciiTheme="minorEastAsia" w:hAnsiTheme="minorEastAsia"/>
          <w:b/>
          <w:sz w:val="36"/>
          <w:szCs w:val="36"/>
        </w:rPr>
        <w:t>年度重点支出项目绩效</w:t>
      </w:r>
    </w:p>
    <w:p>
      <w:pPr>
        <w:jc w:val="center"/>
        <w:rPr>
          <w:rFonts w:hint="eastAsia" w:asciiTheme="minorEastAsia" w:hAnsiTheme="minorEastAsia" w:eastAsiaTheme="minorEastAsia"/>
          <w:b/>
          <w:sz w:val="36"/>
          <w:szCs w:val="36"/>
          <w:lang w:eastAsia="zh-CN"/>
        </w:rPr>
      </w:pPr>
      <w:r>
        <w:rPr>
          <w:rFonts w:asciiTheme="minorEastAsia" w:hAnsiTheme="minorEastAsia"/>
          <w:b/>
          <w:sz w:val="36"/>
          <w:szCs w:val="36"/>
        </w:rPr>
        <w:t>自评报告</w:t>
      </w:r>
      <w:r>
        <w:rPr>
          <w:rFonts w:hint="eastAsia" w:asciiTheme="minorEastAsia" w:hAnsiTheme="minorEastAsia"/>
          <w:b/>
          <w:sz w:val="36"/>
          <w:szCs w:val="36"/>
          <w:lang w:eastAsia="zh-CN"/>
        </w:rPr>
        <w:t>（</w:t>
      </w:r>
      <w:r>
        <w:rPr>
          <w:rFonts w:hint="default" w:asciiTheme="minorEastAsia" w:hAnsiTheme="minorEastAsia"/>
          <w:b/>
          <w:sz w:val="36"/>
          <w:szCs w:val="36"/>
          <w:lang w:eastAsia="zh-CN"/>
        </w:rPr>
        <w:t>区委区政府法律顾问</w:t>
      </w:r>
      <w:r>
        <w:rPr>
          <w:rFonts w:hint="eastAsia" w:asciiTheme="minorEastAsia" w:hAnsiTheme="minorEastAsia"/>
          <w:b/>
          <w:sz w:val="36"/>
          <w:szCs w:val="36"/>
          <w:lang w:eastAsia="zh-CN"/>
        </w:rPr>
        <w:t>）</w:t>
      </w:r>
    </w:p>
    <w:p>
      <w:pPr>
        <w:jc w:val="center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（2</w:t>
      </w:r>
      <w:r>
        <w:rPr>
          <w:rFonts w:ascii="仿宋_GB2312" w:hAnsi="Times New Roman" w:eastAsia="仿宋_GB2312"/>
          <w:sz w:val="32"/>
          <w:szCs w:val="32"/>
        </w:rPr>
        <w:t>02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/>
          <w:sz w:val="32"/>
          <w:szCs w:val="32"/>
        </w:rPr>
        <w:t>年度）</w:t>
      </w:r>
    </w:p>
    <w:p>
      <w:pPr>
        <w:spacing w:line="520" w:lineRule="exact"/>
        <w:rPr>
          <w:rFonts w:ascii="仿宋_GB2312" w:eastAsia="仿宋_GB2312"/>
          <w:sz w:val="28"/>
          <w:szCs w:val="28"/>
        </w:rPr>
      </w:pPr>
    </w:p>
    <w:p>
      <w:pPr>
        <w:spacing w:line="52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一、基本情况</w:t>
      </w:r>
    </w:p>
    <w:p>
      <w:pPr>
        <w:spacing w:line="520" w:lineRule="exact"/>
        <w:ind w:firstLine="643" w:firstLineChars="200"/>
        <w:outlineLvl w:val="0"/>
        <w:rPr>
          <w:rFonts w:ascii="楷体_GB2312" w:eastAsia="楷体_GB2312"/>
          <w:b/>
          <w:color w:val="000000"/>
          <w:sz w:val="32"/>
          <w:szCs w:val="32"/>
        </w:rPr>
      </w:pPr>
      <w:r>
        <w:rPr>
          <w:rFonts w:hint="eastAsia" w:ascii="楷体_GB2312" w:eastAsia="楷体_GB2312"/>
          <w:b/>
          <w:color w:val="000000"/>
          <w:sz w:val="32"/>
          <w:szCs w:val="32"/>
        </w:rPr>
        <w:t>（一）项目概况</w:t>
      </w:r>
    </w:p>
    <w:p>
      <w:pPr>
        <w:spacing w:line="52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为落实《北京市人民政府关于加强政府法律顾问工作的意见》和《门头沟区委区政府法律顾问工作制度》（京门办发[2023]6号），2025年，区委区政府聘任12家律师事务所担任区委区政府法律顾问，负责为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区委及其组成部门、区政府及其组成部门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（不包括各镇街）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及区纪委区监委共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68家单位，提供日常法律服务，服务方式包括现场指导、出具书面审核意见、电话咨询等，每服务年聘期为12个月。</w:t>
      </w:r>
    </w:p>
    <w:p>
      <w:pPr>
        <w:spacing w:line="520" w:lineRule="exact"/>
        <w:ind w:firstLine="643" w:firstLineChars="200"/>
        <w:outlineLvl w:val="0"/>
        <w:rPr>
          <w:rFonts w:ascii="楷体_GB2312" w:eastAsia="楷体_GB2312"/>
          <w:b/>
          <w:color w:val="000000"/>
          <w:sz w:val="32"/>
          <w:szCs w:val="32"/>
        </w:rPr>
      </w:pPr>
      <w:r>
        <w:rPr>
          <w:rFonts w:hint="eastAsia" w:ascii="楷体_GB2312" w:eastAsia="楷体_GB2312"/>
          <w:b/>
          <w:color w:val="000000"/>
          <w:sz w:val="32"/>
          <w:szCs w:val="32"/>
        </w:rPr>
        <w:t>（二）项目资金到位及执行情况</w:t>
      </w:r>
    </w:p>
    <w:p>
      <w:pPr>
        <w:spacing w:line="520" w:lineRule="exact"/>
        <w:ind w:firstLine="640" w:firstLineChars="20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本项目预算总额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102</w:t>
      </w:r>
      <w:r>
        <w:rPr>
          <w:rFonts w:hint="eastAsia" w:ascii="仿宋_GB2312" w:eastAsia="仿宋_GB2312"/>
          <w:color w:val="000000"/>
          <w:sz w:val="32"/>
          <w:szCs w:val="32"/>
        </w:rPr>
        <w:t>万元，其中：中央</w:t>
      </w:r>
      <w:r>
        <w:rPr>
          <w:rFonts w:ascii="仿宋_GB2312" w:eastAsia="仿宋_GB2312"/>
          <w:color w:val="000000"/>
          <w:sz w:val="32"/>
          <w:szCs w:val="32"/>
        </w:rPr>
        <w:t>转移支付</w:t>
      </w:r>
      <w:r>
        <w:rPr>
          <w:rFonts w:hint="eastAsia" w:ascii="仿宋_GB2312" w:eastAsia="仿宋_GB2312"/>
          <w:color w:val="000000"/>
          <w:sz w:val="32"/>
          <w:szCs w:val="32"/>
        </w:rPr>
        <w:t>资金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</w:t>
      </w:r>
      <w:r>
        <w:rPr>
          <w:rFonts w:ascii="仿宋_GB2312" w:eastAsia="仿宋_GB2312"/>
          <w:color w:val="000000"/>
          <w:sz w:val="32"/>
          <w:szCs w:val="32"/>
        </w:rPr>
        <w:t>、市级转移支付</w:t>
      </w:r>
      <w:r>
        <w:rPr>
          <w:rFonts w:hint="eastAsia" w:ascii="仿宋_GB2312" w:eastAsia="仿宋_GB2312"/>
          <w:color w:val="000000"/>
          <w:sz w:val="32"/>
          <w:szCs w:val="32"/>
        </w:rPr>
        <w:t>资金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102</w:t>
      </w:r>
      <w:r>
        <w:rPr>
          <w:rFonts w:hint="eastAsia" w:ascii="仿宋_GB2312" w:eastAsia="仿宋_GB2312"/>
          <w:color w:val="000000"/>
          <w:sz w:val="32"/>
          <w:szCs w:val="32"/>
        </w:rPr>
        <w:t>万元</w:t>
      </w:r>
      <w:r>
        <w:rPr>
          <w:rFonts w:ascii="仿宋_GB2312" w:eastAsia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/>
          <w:color w:val="000000"/>
          <w:sz w:val="32"/>
          <w:szCs w:val="32"/>
        </w:rPr>
        <w:t>区级财政资金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万元、</w:t>
      </w:r>
      <w:r>
        <w:rPr>
          <w:rFonts w:ascii="仿宋_GB2312" w:eastAsia="仿宋_GB2312"/>
          <w:color w:val="000000"/>
          <w:sz w:val="32"/>
          <w:szCs w:val="32"/>
        </w:rPr>
        <w:t>其他资金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万元。本项目全年共支出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100.4</w:t>
      </w:r>
      <w:r>
        <w:rPr>
          <w:rFonts w:hint="eastAsia" w:ascii="仿宋_GB2312" w:eastAsia="仿宋_GB2312"/>
          <w:color w:val="000000"/>
          <w:sz w:val="32"/>
          <w:szCs w:val="32"/>
        </w:rPr>
        <w:t>万元，其中：中央</w:t>
      </w:r>
      <w:r>
        <w:rPr>
          <w:rFonts w:ascii="仿宋_GB2312" w:eastAsia="仿宋_GB2312"/>
          <w:color w:val="000000"/>
          <w:sz w:val="32"/>
          <w:szCs w:val="32"/>
        </w:rPr>
        <w:t>转移支付</w:t>
      </w:r>
      <w:r>
        <w:rPr>
          <w:rFonts w:hint="eastAsia" w:ascii="仿宋_GB2312" w:eastAsia="仿宋_GB2312"/>
          <w:color w:val="000000"/>
          <w:sz w:val="32"/>
          <w:szCs w:val="32"/>
        </w:rPr>
        <w:t>资金支出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</w:t>
      </w:r>
      <w:r>
        <w:rPr>
          <w:rFonts w:ascii="仿宋_GB2312" w:eastAsia="仿宋_GB2312"/>
          <w:color w:val="000000"/>
          <w:sz w:val="32"/>
          <w:szCs w:val="32"/>
        </w:rPr>
        <w:t>、市级转移支付</w:t>
      </w:r>
      <w:r>
        <w:rPr>
          <w:rFonts w:hint="eastAsia" w:ascii="仿宋_GB2312" w:eastAsia="仿宋_GB2312"/>
          <w:color w:val="000000"/>
          <w:sz w:val="32"/>
          <w:szCs w:val="32"/>
        </w:rPr>
        <w:t>资金支出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100.4</w:t>
      </w:r>
      <w:r>
        <w:rPr>
          <w:rFonts w:hint="eastAsia" w:ascii="仿宋_GB2312" w:eastAsia="仿宋_GB2312"/>
          <w:color w:val="000000"/>
          <w:sz w:val="32"/>
          <w:szCs w:val="32"/>
        </w:rPr>
        <w:t>万元</w:t>
      </w:r>
      <w:r>
        <w:rPr>
          <w:rFonts w:ascii="仿宋_GB2312" w:eastAsia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/>
          <w:color w:val="000000"/>
          <w:sz w:val="32"/>
          <w:szCs w:val="32"/>
        </w:rPr>
        <w:t>区级财政资金支出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万元、</w:t>
      </w:r>
      <w:r>
        <w:rPr>
          <w:rFonts w:ascii="仿宋_GB2312" w:eastAsia="仿宋_GB2312"/>
          <w:color w:val="000000"/>
          <w:sz w:val="32"/>
          <w:szCs w:val="32"/>
        </w:rPr>
        <w:t>其他资金</w:t>
      </w:r>
      <w:r>
        <w:rPr>
          <w:rFonts w:hint="eastAsia" w:ascii="仿宋_GB2312" w:eastAsia="仿宋_GB2312"/>
          <w:color w:val="000000"/>
          <w:sz w:val="32"/>
          <w:szCs w:val="32"/>
        </w:rPr>
        <w:t>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万元。</w:t>
      </w:r>
    </w:p>
    <w:p>
      <w:pPr>
        <w:spacing w:line="520" w:lineRule="exact"/>
        <w:ind w:firstLine="643" w:firstLineChars="200"/>
        <w:outlineLvl w:val="0"/>
        <w:rPr>
          <w:rFonts w:ascii="楷体_GB2312" w:eastAsia="楷体_GB2312"/>
          <w:b/>
          <w:color w:val="000000"/>
          <w:sz w:val="32"/>
          <w:szCs w:val="32"/>
        </w:rPr>
      </w:pPr>
      <w:r>
        <w:rPr>
          <w:rFonts w:hint="eastAsia" w:ascii="楷体_GB2312" w:eastAsia="楷体_GB2312"/>
          <w:b/>
          <w:color w:val="000000"/>
          <w:sz w:val="32"/>
          <w:szCs w:val="32"/>
        </w:rPr>
        <w:t>（三）项目绩效目标、绩效指标设定情况</w:t>
      </w:r>
    </w:p>
    <w:p>
      <w:pPr>
        <w:spacing w:line="52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绩效目标：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外聘政府法律顾问工作按照管理与服务相结合的原则，坚持按需聘用、规范管理、保障有力，促进政府法律顾问工作水平的不断提高。</w:t>
      </w:r>
    </w:p>
    <w:p>
      <w:pPr>
        <w:spacing w:line="52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指标设定：</w:t>
      </w:r>
    </w:p>
    <w:p>
      <w:pPr>
        <w:spacing w:line="52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数量指标：聘请律师事务所数量——聘任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家律所为区委区政府6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家单位提供法律服务。</w:t>
      </w:r>
    </w:p>
    <w:p>
      <w:pPr>
        <w:spacing w:line="52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2.质量指标：政府法律顾问工作水平不断提高。</w:t>
      </w:r>
    </w:p>
    <w:p>
      <w:pPr>
        <w:spacing w:line="52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3.时效指标：项目支出时效——2025年全年。</w:t>
      </w:r>
    </w:p>
    <w:p>
      <w:pPr>
        <w:spacing w:line="52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4.经济成本指标：项目控制数——102万元。</w:t>
      </w:r>
    </w:p>
    <w:p>
      <w:pPr>
        <w:spacing w:line="52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5.社会效益指标：依法行政水平不断提高——通过聘请法律顾问，加强法制政府建设，提高全区依法行政水平。</w:t>
      </w:r>
    </w:p>
    <w:p>
      <w:pPr>
        <w:spacing w:line="520" w:lineRule="exact"/>
        <w:ind w:firstLine="640" w:firstLineChars="200"/>
        <w:outlineLvl w:val="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6.服务对象满意度指标：</w:t>
      </w:r>
      <w:r>
        <w:rPr>
          <w:rFonts w:hint="default" w:ascii="Arial" w:hAnsi="Arial" w:eastAsia="仿宋_GB2312" w:cs="Arial"/>
          <w:color w:val="000000"/>
          <w:sz w:val="32"/>
          <w:szCs w:val="32"/>
          <w:lang w:val="en-US" w:eastAsia="zh-CN"/>
        </w:rPr>
        <w:t>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85%。</w:t>
      </w:r>
    </w:p>
    <w:p>
      <w:pPr>
        <w:spacing w:line="520" w:lineRule="exact"/>
        <w:ind w:firstLine="643" w:firstLineChars="200"/>
        <w:outlineLvl w:val="0"/>
        <w:rPr>
          <w:rFonts w:ascii="楷体_GB2312" w:eastAsia="楷体_GB2312"/>
          <w:b/>
          <w:color w:val="000000"/>
          <w:sz w:val="32"/>
          <w:szCs w:val="32"/>
        </w:rPr>
      </w:pPr>
      <w:r>
        <w:rPr>
          <w:rFonts w:hint="eastAsia" w:ascii="楷体_GB2312" w:eastAsia="楷体_GB2312"/>
          <w:b/>
          <w:color w:val="000000"/>
          <w:sz w:val="32"/>
          <w:szCs w:val="32"/>
        </w:rPr>
        <w:t>（四）项目资金管理情况分析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项目资金按照局机关预算支出管理制度要求，支出金额1万元及以上需签订采购合同，支出金额3万元以上需办公会及党组会审议；严格按照“预算谁申请谁负责，谁申请，谁支出”的原则，部门负责人、主管领导审批后办公室负责人复核、财务主管审批、财务终审后履行报销手续，不存在截留、挤占、挪用或擅自调整预算问题。</w:t>
      </w:r>
    </w:p>
    <w:p>
      <w:pPr>
        <w:spacing w:line="52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二、绩效自评结论</w:t>
      </w:r>
    </w:p>
    <w:p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绩效自评总分：</w:t>
      </w:r>
      <w:r>
        <w:rPr>
          <w:rFonts w:hint="eastAsia" w:ascii="仿宋_GB2312" w:hAnsi="黑体" w:eastAsia="仿宋_GB2312" w:cs="黑体"/>
          <w:bCs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 w:cs="黑体"/>
          <w:bCs/>
          <w:sz w:val="32"/>
          <w:szCs w:val="32"/>
        </w:rPr>
        <w:t>分</w:t>
      </w:r>
    </w:p>
    <w:p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绩效自评等级：（四类</w:t>
      </w:r>
      <w:r>
        <w:rPr>
          <w:rFonts w:ascii="仿宋_GB2312" w:hAnsi="黑体" w:eastAsia="仿宋_GB2312" w:cs="黑体"/>
          <w:bCs/>
          <w:sz w:val="32"/>
          <w:szCs w:val="32"/>
        </w:rPr>
        <w:t>评价等级：</w:t>
      </w:r>
      <w:r>
        <w:rPr>
          <w:rFonts w:hint="eastAsia" w:ascii="仿宋_GB2312" w:hAnsi="黑体" w:eastAsia="仿宋_GB2312" w:cs="黑体"/>
          <w:bCs/>
          <w:sz w:val="32"/>
          <w:szCs w:val="32"/>
        </w:rPr>
        <w:t>90（含）-100分为优秀、80（含）-90分为良好、60（含）-80分为一般、60分以下为较差</w:t>
      </w:r>
      <w:r>
        <w:rPr>
          <w:rFonts w:ascii="仿宋_GB2312" w:hAnsi="黑体" w:eastAsia="仿宋_GB2312" w:cs="黑体"/>
          <w:bCs/>
          <w:sz w:val="32"/>
          <w:szCs w:val="32"/>
        </w:rPr>
        <w:t>。</w:t>
      </w:r>
      <w:r>
        <w:rPr>
          <w:rFonts w:hint="eastAsia" w:ascii="仿宋_GB2312" w:hAnsi="黑体" w:eastAsia="仿宋_GB2312" w:cs="黑体"/>
          <w:bCs/>
          <w:sz w:val="32"/>
          <w:szCs w:val="32"/>
        </w:rPr>
        <w:t>）</w:t>
      </w:r>
    </w:p>
    <w:p>
      <w:pPr>
        <w:spacing w:line="52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三、绩效目标完成情况分析</w:t>
      </w:r>
    </w:p>
    <w:p>
      <w:pPr>
        <w:spacing w:line="520" w:lineRule="exact"/>
        <w:ind w:firstLine="643" w:firstLineChars="200"/>
        <w:outlineLvl w:val="0"/>
        <w:rPr>
          <w:rFonts w:ascii="楷体_GB2312" w:eastAsia="楷体_GB2312"/>
          <w:b/>
          <w:color w:val="000000"/>
          <w:sz w:val="32"/>
          <w:szCs w:val="32"/>
        </w:rPr>
      </w:pPr>
      <w:r>
        <w:rPr>
          <w:rFonts w:hint="eastAsia" w:ascii="楷体_GB2312" w:eastAsia="楷体_GB2312"/>
          <w:b/>
          <w:color w:val="000000"/>
          <w:sz w:val="32"/>
          <w:szCs w:val="32"/>
        </w:rPr>
        <w:t>（一）总体绩效目标完成情况分析</w:t>
      </w:r>
    </w:p>
    <w:p>
      <w:pPr>
        <w:spacing w:line="520" w:lineRule="exact"/>
        <w:ind w:firstLine="640" w:firstLineChars="200"/>
        <w:rPr>
          <w:rFonts w:hint="eastAsia" w:ascii="仿宋_GB2312" w:hAnsi="黑体" w:eastAsia="仿宋_GB2312" w:cs="黑体"/>
          <w:bCs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bCs/>
          <w:sz w:val="32"/>
          <w:szCs w:val="32"/>
          <w:lang w:val="en-US" w:eastAsia="zh-CN"/>
        </w:rPr>
        <w:t>区委区政府法律顾问项目涵盖两份跨年度协议履行。一是严格执行预算计划，完成2024-2025年度法律顾问考核后，按规定支出该年度第二笔费用；二是严格履行招投标程序，选聘2025-2026年度法律顾问，并按合同及时支出第一笔费用；三是在执行过程中加强监管，设计调查问卷，对法律顾问履责的情况全面考核。</w:t>
      </w:r>
    </w:p>
    <w:p>
      <w:pPr>
        <w:spacing w:line="520" w:lineRule="exact"/>
        <w:ind w:firstLine="643" w:firstLineChars="200"/>
        <w:outlineLvl w:val="0"/>
        <w:rPr>
          <w:rFonts w:ascii="楷体_GB2312" w:eastAsia="楷体_GB2312"/>
          <w:b/>
          <w:color w:val="000000"/>
          <w:sz w:val="32"/>
          <w:szCs w:val="32"/>
        </w:rPr>
      </w:pPr>
      <w:r>
        <w:rPr>
          <w:rFonts w:hint="eastAsia" w:ascii="楷体_GB2312" w:eastAsia="楷体_GB2312"/>
          <w:b/>
          <w:color w:val="000000"/>
          <w:sz w:val="32"/>
          <w:szCs w:val="32"/>
        </w:rPr>
        <w:t>（二）项目绩效指标完成情况分析</w:t>
      </w:r>
    </w:p>
    <w:p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1.产出指标完成情况分析。</w:t>
      </w:r>
    </w:p>
    <w:p>
      <w:pPr>
        <w:spacing w:line="520" w:lineRule="exact"/>
        <w:ind w:firstLine="640" w:firstLineChars="200"/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（1）数量指标</w:t>
      </w:r>
      <w:r>
        <w:rPr>
          <w:rFonts w:hint="eastAsia" w:ascii="仿宋_GB2312" w:hAnsi="黑体" w:eastAsia="仿宋_GB2312" w:cs="黑体"/>
          <w:bCs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聘任12家律所为区委区政府68家单位提供法律服务。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（2）质量指标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服务满意度高于85%。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（3）进度指标</w:t>
      </w:r>
      <w:r>
        <w:rPr>
          <w:rFonts w:hint="eastAsia" w:ascii="仿宋_GB2312" w:eastAsia="仿宋_GB2312"/>
          <w:sz w:val="32"/>
          <w:szCs w:val="32"/>
          <w:lang w:eastAsia="zh-CN"/>
        </w:rPr>
        <w:t>：按要求完成聘任工作。</w:t>
      </w:r>
    </w:p>
    <w:p>
      <w:pPr>
        <w:spacing w:line="52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（4）成本指标</w:t>
      </w:r>
      <w:r>
        <w:rPr>
          <w:rFonts w:hint="eastAsia" w:ascii="仿宋_GB2312" w:eastAsia="仿宋_GB2312"/>
          <w:sz w:val="32"/>
          <w:szCs w:val="32"/>
          <w:lang w:eastAsia="zh-CN"/>
        </w:rPr>
        <w:t>：在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102万元预算范围内完成上年度法律顾问第二笔费用结算和2025-2026年度法律顾问第一笔费用结算。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2.效益指标完成情况分析。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（1）经济效益</w:t>
      </w:r>
      <w:r>
        <w:rPr>
          <w:rFonts w:hint="eastAsia" w:ascii="仿宋_GB2312" w:eastAsia="仿宋_GB2312"/>
          <w:sz w:val="32"/>
          <w:szCs w:val="32"/>
          <w:lang w:eastAsia="zh-CN"/>
        </w:rPr>
        <w:t>：不涉及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（2）社会效益</w:t>
      </w:r>
      <w:r>
        <w:rPr>
          <w:rFonts w:hint="eastAsia" w:ascii="仿宋_GB2312" w:eastAsia="仿宋_GB2312"/>
          <w:sz w:val="32"/>
          <w:szCs w:val="32"/>
          <w:lang w:eastAsia="zh-CN"/>
        </w:rPr>
        <w:t>：通过聘请法律顾问，加强法治政府建设，提高全区依法行政水平。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（3）生态效益</w:t>
      </w:r>
      <w:r>
        <w:rPr>
          <w:rFonts w:hint="eastAsia" w:ascii="仿宋_GB2312" w:eastAsia="仿宋_GB2312"/>
          <w:sz w:val="32"/>
          <w:szCs w:val="32"/>
          <w:lang w:eastAsia="zh-CN"/>
        </w:rPr>
        <w:t>：不涉及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（4）可持续影响</w:t>
      </w:r>
      <w:r>
        <w:rPr>
          <w:rFonts w:hint="eastAsia" w:ascii="仿宋_GB2312" w:eastAsia="仿宋_GB2312"/>
          <w:sz w:val="32"/>
          <w:szCs w:val="32"/>
          <w:lang w:eastAsia="zh-CN"/>
        </w:rPr>
        <w:t>：不涉及</w:t>
      </w:r>
    </w:p>
    <w:p>
      <w:pPr>
        <w:spacing w:line="52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3.满意度指标完成情况分析</w:t>
      </w:r>
      <w:r>
        <w:rPr>
          <w:rFonts w:hint="eastAsia" w:ascii="仿宋_GB2312" w:eastAsia="仿宋_GB2312"/>
          <w:sz w:val="32"/>
          <w:szCs w:val="32"/>
          <w:lang w:eastAsia="zh-CN"/>
        </w:rPr>
        <w:t>：满意度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100%，超出85%的目标。</w:t>
      </w:r>
    </w:p>
    <w:p>
      <w:pPr>
        <w:spacing w:line="52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四、发现的主要问题和改进措施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right="0" w:rightChars="0"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eastAsia="zh-CN"/>
        </w:rPr>
        <w:t>区委区政府法律顾问项目</w:t>
      </w:r>
      <w:r>
        <w:rPr>
          <w:rFonts w:hint="eastAsia" w:ascii="仿宋_GB2312" w:eastAsia="仿宋_GB2312"/>
          <w:sz w:val="32"/>
          <w:szCs w:val="32"/>
        </w:rPr>
        <w:t>预算资金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102万，支出100.4万元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预算完成率98%</w:t>
      </w:r>
      <w:r>
        <w:rPr>
          <w:rFonts w:hint="eastAsia" w:ascii="仿宋_GB2312" w:eastAsia="仿宋_GB2312"/>
          <w:sz w:val="32"/>
          <w:szCs w:val="32"/>
        </w:rPr>
        <w:t>，完成绩效指标。</w:t>
      </w:r>
    </w:p>
    <w:p>
      <w:pPr>
        <w:spacing w:line="52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五、有关</w:t>
      </w:r>
      <w:r>
        <w:rPr>
          <w:rFonts w:ascii="黑体" w:hAnsi="黑体" w:eastAsia="黑体"/>
          <w:sz w:val="32"/>
          <w:szCs w:val="32"/>
        </w:rPr>
        <w:t>建议及</w:t>
      </w:r>
      <w:r>
        <w:rPr>
          <w:rFonts w:hint="eastAsia" w:ascii="黑体" w:hAnsi="黑体" w:eastAsia="黑体"/>
          <w:sz w:val="32"/>
          <w:szCs w:val="32"/>
        </w:rPr>
        <w:t>其他需要说明的情况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right="0" w:rightChars="0"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无。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20" w:lineRule="exact"/>
        <w:ind w:left="6660" w:leftChars="200" w:hanging="6240" w:hangingChars="19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                 </w:t>
      </w:r>
    </w:p>
    <w:sectPr>
      <w:pgSz w:w="11906" w:h="16838"/>
      <w:pgMar w:top="1440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doNotDisplayPageBoundaries w:val="1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B17"/>
    <w:rsid w:val="00013E3D"/>
    <w:rsid w:val="00022E11"/>
    <w:rsid w:val="000269DC"/>
    <w:rsid w:val="00047DC0"/>
    <w:rsid w:val="000A1062"/>
    <w:rsid w:val="000A23F6"/>
    <w:rsid w:val="000C3ADA"/>
    <w:rsid w:val="00101019"/>
    <w:rsid w:val="001451E0"/>
    <w:rsid w:val="001F4635"/>
    <w:rsid w:val="00203391"/>
    <w:rsid w:val="00205468"/>
    <w:rsid w:val="00210B4C"/>
    <w:rsid w:val="002140C0"/>
    <w:rsid w:val="002E58C9"/>
    <w:rsid w:val="0031524F"/>
    <w:rsid w:val="00330537"/>
    <w:rsid w:val="003727E8"/>
    <w:rsid w:val="00377BDC"/>
    <w:rsid w:val="00392D09"/>
    <w:rsid w:val="003B3B58"/>
    <w:rsid w:val="003C42FF"/>
    <w:rsid w:val="004503E3"/>
    <w:rsid w:val="004561D4"/>
    <w:rsid w:val="004B7FE1"/>
    <w:rsid w:val="004F49B9"/>
    <w:rsid w:val="00504BA3"/>
    <w:rsid w:val="00543B65"/>
    <w:rsid w:val="0054688F"/>
    <w:rsid w:val="00554136"/>
    <w:rsid w:val="00565DE2"/>
    <w:rsid w:val="005D4ED9"/>
    <w:rsid w:val="005E6415"/>
    <w:rsid w:val="00611E84"/>
    <w:rsid w:val="006305D3"/>
    <w:rsid w:val="0064412D"/>
    <w:rsid w:val="00676705"/>
    <w:rsid w:val="006D4D7E"/>
    <w:rsid w:val="006D6351"/>
    <w:rsid w:val="006E4B81"/>
    <w:rsid w:val="006F376B"/>
    <w:rsid w:val="00795987"/>
    <w:rsid w:val="007C3E7C"/>
    <w:rsid w:val="007D661E"/>
    <w:rsid w:val="007F46A7"/>
    <w:rsid w:val="00821DDE"/>
    <w:rsid w:val="00835A6F"/>
    <w:rsid w:val="00845359"/>
    <w:rsid w:val="00851994"/>
    <w:rsid w:val="008651F7"/>
    <w:rsid w:val="008728BA"/>
    <w:rsid w:val="00880D15"/>
    <w:rsid w:val="009127C3"/>
    <w:rsid w:val="00917FE5"/>
    <w:rsid w:val="009976F0"/>
    <w:rsid w:val="009B27A6"/>
    <w:rsid w:val="009D700F"/>
    <w:rsid w:val="00A127E4"/>
    <w:rsid w:val="00A4171D"/>
    <w:rsid w:val="00A5212E"/>
    <w:rsid w:val="00A52489"/>
    <w:rsid w:val="00A61FC1"/>
    <w:rsid w:val="00AD7689"/>
    <w:rsid w:val="00AE0078"/>
    <w:rsid w:val="00AE698C"/>
    <w:rsid w:val="00B6357B"/>
    <w:rsid w:val="00B83292"/>
    <w:rsid w:val="00B83A7C"/>
    <w:rsid w:val="00BF6BCD"/>
    <w:rsid w:val="00C01D2B"/>
    <w:rsid w:val="00C531AA"/>
    <w:rsid w:val="00C75ABE"/>
    <w:rsid w:val="00C8361D"/>
    <w:rsid w:val="00CA72AB"/>
    <w:rsid w:val="00CC168C"/>
    <w:rsid w:val="00CD1D34"/>
    <w:rsid w:val="00D22818"/>
    <w:rsid w:val="00D36848"/>
    <w:rsid w:val="00D374F7"/>
    <w:rsid w:val="00D50DEF"/>
    <w:rsid w:val="00D60B17"/>
    <w:rsid w:val="00D66A17"/>
    <w:rsid w:val="00D860F4"/>
    <w:rsid w:val="00D91ABE"/>
    <w:rsid w:val="00DC020E"/>
    <w:rsid w:val="00E11A96"/>
    <w:rsid w:val="00E37F80"/>
    <w:rsid w:val="00E67831"/>
    <w:rsid w:val="00EC6591"/>
    <w:rsid w:val="00EF109F"/>
    <w:rsid w:val="00F207A8"/>
    <w:rsid w:val="00F24761"/>
    <w:rsid w:val="00F533DD"/>
    <w:rsid w:val="00F922BE"/>
    <w:rsid w:val="00FF5545"/>
    <w:rsid w:val="17677BE2"/>
    <w:rsid w:val="17F96973"/>
    <w:rsid w:val="194677C1"/>
    <w:rsid w:val="1F3517D0"/>
    <w:rsid w:val="2CF17A03"/>
    <w:rsid w:val="36BA3CE6"/>
    <w:rsid w:val="3D662621"/>
    <w:rsid w:val="46BF23DC"/>
    <w:rsid w:val="6434023B"/>
    <w:rsid w:val="6CCE014D"/>
    <w:rsid w:val="7C4E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1321</Words>
  <Characters>1433</Characters>
  <Lines>6</Lines>
  <Paragraphs>1</Paragraphs>
  <ScaleCrop>false</ScaleCrop>
  <LinksUpToDate>false</LinksUpToDate>
  <CharactersWithSpaces>1490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2025-03-05T08:17:00Z</dcterms:created>
  <dc:creator>井文胜</dc:creator>
  <cp:lastModifiedBy>Administrator</cp:lastModifiedBy>
  <dcterms:modified xsi:type="dcterms:W3CDTF">2026-08-23T09:20:52Z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eyJoZGlkIjoiYzRhYzJlMGJjYWZhYTExNzBmMmQyM2E1MDNhNGY4OTAiLCJ1c2VySWQiOiI4MDg0MzY0OTcifQ==</vt:lpwstr>
  </property>
  <property fmtid="{D5CDD505-2E9C-101B-9397-08002B2CF9AE}" pid="3" name="KSOProductBuildVer">
    <vt:lpwstr>2052-10.8.0.6370</vt:lpwstr>
  </property>
  <property fmtid="{D5CDD505-2E9C-101B-9397-08002B2CF9AE}" pid="4" name="ICV">
    <vt:lpwstr>0F4C3C01F6AC4C5EA7F64C98478D52F1_13</vt:lpwstr>
  </property>
</Properties>
</file>