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line="312" w:lineRule="auto"/>
        <w:outlineLvl w:val="1"/>
        <w:rPr>
          <w:rFonts w:cs="Times New Roman" w:asciiTheme="majorEastAsia" w:hAnsiTheme="majorEastAsia" w:eastAsiaTheme="majorEastAsia"/>
          <w:b/>
          <w:bCs/>
          <w:sz w:val="28"/>
          <w:szCs w:val="28"/>
        </w:rPr>
      </w:pPr>
      <w:r>
        <w:rPr>
          <w:rFonts w:hint="eastAsia" w:cs="Times New Roman" w:asciiTheme="majorEastAsia" w:hAnsiTheme="majorEastAsia" w:eastAsiaTheme="majorEastAsia"/>
          <w:b/>
          <w:bCs/>
          <w:sz w:val="28"/>
          <w:szCs w:val="28"/>
        </w:rPr>
        <w:t>附件2</w:t>
      </w:r>
    </w:p>
    <w:p>
      <w:pPr>
        <w:widowControl/>
        <w:spacing w:line="560" w:lineRule="exact"/>
        <w:ind w:firstLine="716" w:firstLineChars="200"/>
        <w:jc w:val="center"/>
        <w:rPr>
          <w:rFonts w:ascii="宋体" w:hAnsi="宋体" w:eastAsia="宋体" w:cs="宋体"/>
          <w:b/>
          <w:sz w:val="36"/>
          <w:szCs w:val="36"/>
        </w:rPr>
      </w:pPr>
      <w:r>
        <w:rPr>
          <w:rFonts w:hint="eastAsia" w:ascii="宋体" w:hAnsi="宋体" w:eastAsia="宋体" w:cs="宋体"/>
          <w:b/>
          <w:sz w:val="36"/>
          <w:szCs w:val="36"/>
          <w:lang w:eastAsia="zh-CN"/>
        </w:rPr>
        <w:t>门头沟区司法局</w:t>
      </w:r>
      <w:r>
        <w:rPr>
          <w:rFonts w:hint="eastAsia" w:ascii="宋体" w:hAnsi="宋体" w:eastAsia="宋体" w:cs="宋体"/>
          <w:b/>
          <w:sz w:val="36"/>
          <w:szCs w:val="36"/>
        </w:rPr>
        <w:t>部门</w:t>
      </w:r>
      <w:r>
        <w:rPr>
          <w:rFonts w:ascii="宋体" w:hAnsi="宋体" w:eastAsia="宋体" w:cs="宋体"/>
          <w:b/>
          <w:sz w:val="36"/>
          <w:szCs w:val="36"/>
        </w:rPr>
        <w:t>202</w:t>
      </w:r>
      <w:r>
        <w:rPr>
          <w:rFonts w:hint="eastAsia" w:ascii="宋体" w:hAnsi="宋体" w:eastAsia="宋体" w:cs="宋体"/>
          <w:b/>
          <w:sz w:val="36"/>
          <w:szCs w:val="36"/>
        </w:rPr>
        <w:t>5年度部门整体支出绩效自评报告</w:t>
      </w:r>
    </w:p>
    <w:p>
      <w:pPr>
        <w:widowControl/>
        <w:spacing w:line="560" w:lineRule="exact"/>
        <w:ind w:firstLine="636" w:firstLineChars="200"/>
        <w:rPr>
          <w:rFonts w:ascii="黑体" w:hAnsi="黑体" w:eastAsia="黑体" w:cs="宋体"/>
          <w:sz w:val="32"/>
          <w:szCs w:val="32"/>
        </w:rPr>
      </w:pPr>
    </w:p>
    <w:p>
      <w:pPr>
        <w:widowControl/>
        <w:adjustRightInd w:val="0"/>
        <w:snapToGrid w:val="0"/>
        <w:spacing w:line="520" w:lineRule="exact"/>
        <w:ind w:firstLine="636" w:firstLineChars="200"/>
        <w:rPr>
          <w:rFonts w:ascii="黑体" w:hAnsi="黑体" w:eastAsia="黑体" w:cs="Times New Roman"/>
          <w:sz w:val="32"/>
          <w:szCs w:val="32"/>
        </w:rPr>
      </w:pPr>
      <w:r>
        <w:rPr>
          <w:rFonts w:hint="eastAsia" w:ascii="黑体" w:hAnsi="黑体" w:eastAsia="黑体" w:cs="宋体"/>
          <w:sz w:val="32"/>
          <w:szCs w:val="32"/>
        </w:rPr>
        <w:t>一、部门概况</w:t>
      </w:r>
    </w:p>
    <w:p>
      <w:pPr>
        <w:adjustRightInd w:val="0"/>
        <w:snapToGrid w:val="0"/>
        <w:spacing w:line="520" w:lineRule="exact"/>
        <w:ind w:firstLine="636" w:firstLineChars="200"/>
        <w:rPr>
          <w:rFonts w:ascii="楷体_GB2312" w:hAnsi="仿宋" w:eastAsia="楷体_GB2312" w:cs="Times New Roman"/>
          <w:b/>
          <w:sz w:val="32"/>
          <w:szCs w:val="32"/>
        </w:rPr>
      </w:pPr>
      <w:bookmarkStart w:id="0" w:name="_Toc268005755"/>
      <w:r>
        <w:rPr>
          <w:rFonts w:hint="eastAsia" w:ascii="楷体_GB2312" w:hAnsi="仿宋" w:eastAsia="楷体_GB2312" w:cs="Times New Roman"/>
          <w:b/>
          <w:sz w:val="32"/>
          <w:szCs w:val="32"/>
        </w:rPr>
        <w:t>（一）部门职责情况</w:t>
      </w:r>
    </w:p>
    <w:p>
      <w:pPr>
        <w:snapToGrid w:val="0"/>
        <w:spacing w:line="520" w:lineRule="exact"/>
        <w:ind w:firstLine="636"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1.承担全面依法治区重大问题的政策研究，协调有关方面提出全面依法治区中长期规划建议，负责有关重大决策部署督察工作。</w:t>
      </w:r>
    </w:p>
    <w:p>
      <w:pPr>
        <w:snapToGrid w:val="0"/>
        <w:spacing w:line="520" w:lineRule="exact"/>
        <w:ind w:firstLine="636"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2.承担以区政府或者区政府办名义执法的规范性文件、报请区政府会议审议和区政府审批的涉及法律问题的有关文件或者事项的合法性审核工作。协助市级部门做好区政府和区政府办公室制定的规范性文件的备案审查工作。</w:t>
      </w:r>
    </w:p>
    <w:p>
      <w:pPr>
        <w:snapToGrid w:val="0"/>
        <w:spacing w:line="520" w:lineRule="exact"/>
        <w:ind w:firstLine="636"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3.承担统筹推进本区法治政府建设的责任。指导、监督区政府各部门和乡镇政府依法行政工作。负责综合协调行政执法，承担推进行政执法体制改革有关工作，推进严格规范公正文明执法。指导、监督全区行政复议和行政应诉工作，负责行政复议、行政赔偿案件办理工作。承办区政府行政诉讼的应诉代理工作。承办由市政府裁决的区政府行政复议案件的有关工作。</w:t>
      </w:r>
    </w:p>
    <w:p>
      <w:pPr>
        <w:snapToGrid w:val="0"/>
        <w:spacing w:line="520" w:lineRule="exact"/>
        <w:ind w:firstLine="636"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4.承担统筹规划本区法治社会建设的责任。负责拟定法治宣传教育规划，组织实施普法宣传工作。推动人民参与和促进法治建设。指导依法治理和法治创建工作。指导调解工作和人民陪审员、人民监督员选任管理工作，推进司法所建设。</w:t>
      </w:r>
    </w:p>
    <w:p>
      <w:pPr>
        <w:snapToGrid w:val="0"/>
        <w:spacing w:line="520" w:lineRule="exact"/>
        <w:ind w:firstLine="636"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5.指导、监督本区社区矫正工作和刑满释放人员安置帮教工作。</w:t>
      </w:r>
    </w:p>
    <w:p>
      <w:pPr>
        <w:snapToGrid w:val="0"/>
        <w:spacing w:line="520" w:lineRule="exact"/>
        <w:ind w:firstLine="636"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6.负责拟订本区公共法律服务体系建设规划并组织实施，统筹和布局城乡、区域法律服务资源。指导、监督律师、法律援助、司法鉴定、公证和基层法律服务管理工作。</w:t>
      </w:r>
    </w:p>
    <w:p>
      <w:pPr>
        <w:snapToGrid w:val="0"/>
        <w:spacing w:line="520" w:lineRule="exact"/>
        <w:ind w:firstLine="636"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7.负责组织本区国家统一法律资格考试的考务等工作。</w:t>
      </w:r>
    </w:p>
    <w:p>
      <w:pPr>
        <w:snapToGrid w:val="0"/>
        <w:spacing w:line="520" w:lineRule="exact"/>
        <w:ind w:firstLine="636"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8.规划、协调、指导本区法治人才队伍建设相关工作，指导、监督本系统队伍建设。</w:t>
      </w:r>
    </w:p>
    <w:p>
      <w:pPr>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lang w:val="en-US" w:eastAsia="zh-CN"/>
        </w:rPr>
        <w:t>9.完成区委、区政府交办的其他任务。</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（二）部门机构设置情况</w:t>
      </w:r>
    </w:p>
    <w:p>
      <w:pPr>
        <w:adjustRightInd w:val="0"/>
        <w:snapToGrid w:val="0"/>
        <w:spacing w:line="520" w:lineRule="exact"/>
        <w:ind w:firstLine="636"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rPr>
        <w:t>本部门共设</w:t>
      </w:r>
      <w:r>
        <w:rPr>
          <w:rFonts w:hint="eastAsia" w:ascii="仿宋_GB2312" w:hAnsi="仿宋" w:eastAsia="仿宋_GB2312" w:cs="Times New Roman"/>
          <w:sz w:val="32"/>
          <w:szCs w:val="32"/>
          <w:lang w:val="en-US" w:eastAsia="zh-CN"/>
        </w:rPr>
        <w:t>8</w:t>
      </w:r>
      <w:r>
        <w:rPr>
          <w:rFonts w:hint="eastAsia" w:ascii="仿宋_GB2312" w:hAnsi="仿宋" w:eastAsia="仿宋_GB2312" w:cs="Times New Roman"/>
          <w:sz w:val="32"/>
          <w:szCs w:val="32"/>
        </w:rPr>
        <w:t>个内设机构</w:t>
      </w:r>
      <w:r>
        <w:rPr>
          <w:rFonts w:hint="eastAsia" w:ascii="仿宋_GB2312" w:hAnsi="仿宋" w:eastAsia="仿宋_GB2312" w:cs="Times New Roman"/>
          <w:sz w:val="32"/>
          <w:szCs w:val="32"/>
          <w:lang w:eastAsia="zh-CN"/>
        </w:rPr>
        <w:t>和</w:t>
      </w:r>
      <w:r>
        <w:rPr>
          <w:rFonts w:hint="eastAsia" w:ascii="仿宋_GB2312" w:hAnsi="仿宋" w:eastAsia="仿宋_GB2312" w:cs="Times New Roman"/>
          <w:sz w:val="32"/>
          <w:szCs w:val="32"/>
          <w:lang w:val="en-US" w:eastAsia="zh-CN"/>
        </w:rPr>
        <w:t>3个全额拨款事业单位</w:t>
      </w:r>
      <w:r>
        <w:rPr>
          <w:rFonts w:hint="eastAsia" w:ascii="仿宋_GB2312" w:hAnsi="仿宋" w:eastAsia="仿宋_GB2312" w:cs="Times New Roman"/>
          <w:sz w:val="32"/>
          <w:szCs w:val="32"/>
        </w:rPr>
        <w:t>，</w:t>
      </w:r>
      <w:r>
        <w:rPr>
          <w:rFonts w:hint="eastAsia" w:ascii="仿宋_GB2312" w:hAnsi="仿宋" w:eastAsia="仿宋_GB2312" w:cs="Times New Roman"/>
          <w:sz w:val="32"/>
          <w:szCs w:val="32"/>
          <w:lang w:val="en-US" w:eastAsia="zh-CN"/>
        </w:rPr>
        <w:t>8个内设机构</w:t>
      </w:r>
      <w:r>
        <w:rPr>
          <w:rFonts w:hint="eastAsia" w:ascii="仿宋_GB2312" w:hAnsi="仿宋" w:eastAsia="仿宋_GB2312" w:cs="Times New Roman"/>
          <w:sz w:val="32"/>
          <w:szCs w:val="32"/>
          <w:lang w:eastAsia="zh-CN"/>
        </w:rPr>
        <w:t>分别为：办公室、行政复议应诉科、法治审核监督科、基层建设和矫正帮教科、普法和公共法律服务科、法律服务监督管理科、依法治区办秘书科、政工科。</w:t>
      </w:r>
      <w:r>
        <w:rPr>
          <w:rFonts w:hint="eastAsia" w:ascii="仿宋_GB2312" w:hAnsi="仿宋" w:eastAsia="仿宋_GB2312" w:cs="Times New Roman"/>
          <w:sz w:val="32"/>
          <w:szCs w:val="32"/>
          <w:lang w:val="en-US" w:eastAsia="zh-CN"/>
        </w:rPr>
        <w:t>3个全额拨款事业单位分别为：</w:t>
      </w:r>
      <w:r>
        <w:rPr>
          <w:rFonts w:hint="eastAsia" w:ascii="仿宋_GB2312" w:hAnsi="仿宋" w:eastAsia="仿宋_GB2312" w:cs="Times New Roman"/>
          <w:sz w:val="32"/>
          <w:szCs w:val="32"/>
          <w:lang w:eastAsia="zh-CN"/>
        </w:rPr>
        <w:t>北京市门头沟区阳光中途之家、北京市门头沟区法律援助中心、北京市门头沟区法治促进中心。</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（三）</w:t>
      </w:r>
      <w:r>
        <w:rPr>
          <w:rFonts w:ascii="楷体_GB2312" w:hAnsi="仿宋" w:eastAsia="楷体_GB2312" w:cs="Times New Roman"/>
          <w:b/>
          <w:sz w:val="32"/>
          <w:szCs w:val="32"/>
        </w:rPr>
        <w:t>202</w:t>
      </w:r>
      <w:r>
        <w:rPr>
          <w:rFonts w:hint="eastAsia" w:ascii="楷体_GB2312" w:hAnsi="仿宋" w:eastAsia="楷体_GB2312" w:cs="Times New Roman"/>
          <w:b/>
          <w:sz w:val="32"/>
          <w:szCs w:val="32"/>
        </w:rPr>
        <w:t>5年主要工作任务</w:t>
      </w:r>
    </w:p>
    <w:bookmarkEnd w:id="0"/>
    <w:p>
      <w:pPr>
        <w:adjustRightInd w:val="0"/>
        <w:snapToGrid w:val="0"/>
        <w:spacing w:line="520" w:lineRule="exact"/>
        <w:ind w:firstLine="636" w:firstLineChars="200"/>
        <w:rPr>
          <w:rFonts w:hint="eastAsia" w:ascii="仿宋_GB2312" w:hAnsi="仿宋" w:eastAsia="仿宋_GB2312" w:cs="Times New Roman"/>
          <w:sz w:val="32"/>
          <w:szCs w:val="32"/>
          <w:lang w:val="en-US" w:eastAsia="zh-CN"/>
        </w:rPr>
      </w:pPr>
      <w:bookmarkStart w:id="1" w:name="_Toc268005759"/>
      <w:bookmarkStart w:id="2" w:name="_Toc263686375"/>
      <w:r>
        <w:rPr>
          <w:rFonts w:hint="eastAsia" w:ascii="仿宋_GB2312" w:hAnsi="仿宋" w:eastAsia="仿宋_GB2312" w:cs="Times New Roman"/>
          <w:sz w:val="32"/>
          <w:szCs w:val="32"/>
          <w:lang w:val="en-US" w:eastAsia="zh-CN"/>
        </w:rPr>
        <w:t>2025年是“十四五”规划的收官之年，也是全面深化改革推向纵深的关键之年，同时还是“十五五”规划的谋划之年。区司法局始终坚持以习近平新时代中国特色社会主义思想为指导，聚焦地区转型发展“加速”阶段开局之年的各项重点任务，紧紧围绕司法行政机关“三重机关”定位，全面履职尽责，强化法治保障，切实将区委、区政府的工作部署转化为举措、实化为行动、固化为成效，不断开创司法行政事业发展新局面。</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lang w:val="en-US" w:eastAsia="zh-CN"/>
        </w:rPr>
        <w:t>2025年门头沟区司法局转移支付项目主要为聘请区委、区政府法律顾问、村居公益法律服务、法律宣传、法律援助、行政执法人员培训、社区矫正、安置帮教和人民调解工作、行政规范性管理平台收尾建设及聘请专家法律顾问团和举办依法行政研讨班、网络维护、行政复议、社区矫正等业务用房租金、阳光中途之家项目、综治中心人民调解项目等，通过上述业务活动进一步提升我区法治建设，推动司法行政事业高质量发展。2025年门头沟区司法局转移支付资金严格按照预算资金使用管理制度执行，做到财务制度健全、管理规范、使用合规、支付凭证、材料完整。</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（四）部门</w:t>
      </w:r>
      <w:bookmarkEnd w:id="1"/>
      <w:r>
        <w:rPr>
          <w:rFonts w:hint="eastAsia" w:ascii="楷体_GB2312" w:hAnsi="仿宋" w:eastAsia="楷体_GB2312" w:cs="Times New Roman"/>
          <w:b/>
          <w:sz w:val="32"/>
          <w:szCs w:val="32"/>
        </w:rPr>
        <w:t>整体绩效目标设立情况</w:t>
      </w:r>
    </w:p>
    <w:tbl>
      <w:tblPr>
        <w:tblStyle w:val="8"/>
        <w:tblW w:w="10564" w:type="dxa"/>
        <w:tblInd w:w="-617" w:type="dxa"/>
        <w:tblLayout w:type="fixed"/>
        <w:tblCellMar>
          <w:top w:w="0" w:type="dxa"/>
          <w:left w:w="108" w:type="dxa"/>
          <w:bottom w:w="0" w:type="dxa"/>
          <w:right w:w="108" w:type="dxa"/>
        </w:tblCellMar>
      </w:tblPr>
      <w:tblGrid>
        <w:gridCol w:w="793"/>
        <w:gridCol w:w="3836"/>
        <w:gridCol w:w="1446"/>
        <w:gridCol w:w="1607"/>
        <w:gridCol w:w="1468"/>
        <w:gridCol w:w="1414"/>
      </w:tblGrid>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bookmarkStart w:id="3" w:name="_Toc268005761"/>
            <w:r>
              <w:rPr>
                <w:rFonts w:hint="eastAsia" w:ascii="仿宋_GB2312" w:hAnsi="仿宋" w:eastAsia="仿宋_GB2312" w:cs="Times New Roman"/>
                <w:sz w:val="28"/>
                <w:szCs w:val="28"/>
              </w:rPr>
              <w:t>序号</w:t>
            </w:r>
          </w:p>
        </w:tc>
        <w:tc>
          <w:tcPr>
            <w:tcW w:w="3836"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三级指标</w:t>
            </w:r>
          </w:p>
        </w:tc>
        <w:tc>
          <w:tcPr>
            <w:tcW w:w="1446"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指标性质</w:t>
            </w:r>
          </w:p>
        </w:tc>
        <w:tc>
          <w:tcPr>
            <w:tcW w:w="1607"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指标值</w:t>
            </w:r>
          </w:p>
        </w:tc>
        <w:tc>
          <w:tcPr>
            <w:tcW w:w="1468" w:type="dxa"/>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度量单位</w:t>
            </w:r>
          </w:p>
        </w:tc>
        <w:tc>
          <w:tcPr>
            <w:tcW w:w="1414" w:type="dxa"/>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指标权重</w:t>
            </w:r>
          </w:p>
        </w:tc>
      </w:tr>
      <w:tr>
        <w:tblPrEx>
          <w:tblLayout w:type="fixed"/>
          <w:tblCellMar>
            <w:top w:w="0" w:type="dxa"/>
            <w:left w:w="108" w:type="dxa"/>
            <w:bottom w:w="0" w:type="dxa"/>
            <w:right w:w="108" w:type="dxa"/>
          </w:tblCellMar>
        </w:tblPrEx>
        <w:trPr>
          <w:trHeight w:val="275" w:hRule="atLeast"/>
        </w:trPr>
        <w:tc>
          <w:tcPr>
            <w:tcW w:w="793" w:type="dxa"/>
            <w:tcBorders>
              <w:top w:val="nil"/>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w:t>
            </w:r>
          </w:p>
        </w:tc>
        <w:tc>
          <w:tcPr>
            <w:tcW w:w="3836" w:type="dxa"/>
            <w:tcBorders>
              <w:top w:val="nil"/>
              <w:left w:val="nil"/>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12.4活动质量要求</w:t>
            </w:r>
          </w:p>
        </w:tc>
        <w:tc>
          <w:tcPr>
            <w:tcW w:w="1446" w:type="dxa"/>
            <w:tcBorders>
              <w:top w:val="nil"/>
              <w:left w:val="nil"/>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定性</w:t>
            </w:r>
          </w:p>
        </w:tc>
        <w:tc>
          <w:tcPr>
            <w:tcW w:w="1607" w:type="dxa"/>
            <w:tcBorders>
              <w:top w:val="nil"/>
              <w:left w:val="nil"/>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优良</w:t>
            </w:r>
          </w:p>
        </w:tc>
        <w:tc>
          <w:tcPr>
            <w:tcW w:w="1468" w:type="dxa"/>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p>
        </w:tc>
        <w:tc>
          <w:tcPr>
            <w:tcW w:w="1414" w:type="dxa"/>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w:t>
            </w:r>
          </w:p>
        </w:tc>
        <w:tc>
          <w:tcPr>
            <w:tcW w:w="383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通过对全区弱势群体法律宣传和法律服务，使得弱势群体得到法律援助保障。</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60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优良</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3</w:t>
            </w:r>
          </w:p>
        </w:tc>
        <w:tc>
          <w:tcPr>
            <w:tcW w:w="383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民事案件</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w:t>
            </w:r>
          </w:p>
        </w:tc>
        <w:tc>
          <w:tcPr>
            <w:tcW w:w="1607"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358</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件</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4</w:t>
            </w:r>
          </w:p>
        </w:tc>
        <w:tc>
          <w:tcPr>
            <w:tcW w:w="383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刑事案件</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w:t>
            </w:r>
          </w:p>
        </w:tc>
        <w:tc>
          <w:tcPr>
            <w:tcW w:w="1607"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212</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件</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5</w:t>
            </w:r>
          </w:p>
        </w:tc>
        <w:tc>
          <w:tcPr>
            <w:tcW w:w="383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刑事值班</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ind w:firstLine="208" w:firstLineChars="100"/>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07"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416</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天</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w:t>
            </w:r>
          </w:p>
        </w:tc>
        <w:tc>
          <w:tcPr>
            <w:tcW w:w="38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群众法治宣传教育知晓率、满意度进一步提升，法治宣传教育覆盖面进一步扩大，市民法治素养进一步提升，地区法治环境进一步优化。</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60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7</w:t>
            </w:r>
          </w:p>
        </w:tc>
        <w:tc>
          <w:tcPr>
            <w:tcW w:w="383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村居满意度</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07" w:type="dxa"/>
            <w:tcBorders>
              <w:top w:val="single" w:color="auto" w:sz="4" w:space="0"/>
              <w:left w:val="single" w:color="auto" w:sz="4" w:space="0"/>
              <w:bottom w:val="single" w:color="auto" w:sz="4" w:space="0"/>
              <w:right w:val="single" w:color="auto" w:sz="4" w:space="0"/>
            </w:tcBorders>
            <w:vAlign w:val="bottom"/>
          </w:tcPr>
          <w:p>
            <w:pPr>
              <w:widowControl/>
              <w:tabs>
                <w:tab w:val="center" w:pos="695"/>
              </w:tabs>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90</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ind w:firstLine="208" w:firstLineChars="100"/>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8</w:t>
            </w:r>
          </w:p>
        </w:tc>
        <w:tc>
          <w:tcPr>
            <w:tcW w:w="383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村民满意度</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0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90</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ind w:firstLine="208" w:firstLineChars="100"/>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9</w:t>
            </w:r>
          </w:p>
        </w:tc>
        <w:tc>
          <w:tcPr>
            <w:tcW w:w="383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合法性审核率</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0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100</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10</w:t>
            </w:r>
          </w:p>
        </w:tc>
        <w:tc>
          <w:tcPr>
            <w:tcW w:w="383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文件制定规范</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60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文件制定规范、法治化水平提升</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11</w:t>
            </w:r>
          </w:p>
        </w:tc>
        <w:tc>
          <w:tcPr>
            <w:tcW w:w="383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依法行政水平提升</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60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加强法治政府建设，提高全区依法行政水平。</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12</w:t>
            </w:r>
          </w:p>
        </w:tc>
        <w:tc>
          <w:tcPr>
            <w:tcW w:w="383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专家律师法律顾问团</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60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为门头沟区法治建设提供智力支撑</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13</w:t>
            </w:r>
          </w:p>
        </w:tc>
        <w:tc>
          <w:tcPr>
            <w:tcW w:w="383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完成案件全部诉讼审理程序，代为提交法律文件、出庭应诉。</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60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14</w:t>
            </w:r>
          </w:p>
        </w:tc>
        <w:tc>
          <w:tcPr>
            <w:tcW w:w="383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开展社区矫正和安置帮教教育帮扶工作，维护社会稳定。</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60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组织居民委员会、村民委员会和其他社会组织依法协助社区矫正机构开展风险评估、心理矫正、技能培训、公益活动以及对对有特殊困难的社区矫正对象进行必要的帮扶活动，最大限度的将社区矫正对象教育矫正成为守法公民。</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15</w:t>
            </w:r>
          </w:p>
        </w:tc>
        <w:tc>
          <w:tcPr>
            <w:tcW w:w="383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租用房屋质量要求</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60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达到文件及合同要求</w:t>
            </w:r>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275" w:hRule="atLeast"/>
        </w:trPr>
        <w:tc>
          <w:tcPr>
            <w:tcW w:w="793"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16</w:t>
            </w:r>
          </w:p>
        </w:tc>
        <w:tc>
          <w:tcPr>
            <w:tcW w:w="383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项目时效</w:t>
            </w:r>
          </w:p>
        </w:tc>
        <w:tc>
          <w:tcPr>
            <w:tcW w:w="144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0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2025</w:t>
            </w:r>
            <w:bookmarkStart w:id="4" w:name="_GoBack"/>
            <w:bookmarkEnd w:id="4"/>
          </w:p>
        </w:tc>
        <w:tc>
          <w:tcPr>
            <w:tcW w:w="1468"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年</w:t>
            </w:r>
          </w:p>
        </w:tc>
        <w:tc>
          <w:tcPr>
            <w:tcW w:w="1414"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bl>
    <w:p>
      <w:pPr>
        <w:widowControl/>
        <w:adjustRightInd w:val="0"/>
        <w:snapToGrid w:val="0"/>
        <w:spacing w:line="520" w:lineRule="exact"/>
        <w:ind w:firstLine="636" w:firstLineChars="200"/>
        <w:rPr>
          <w:rFonts w:ascii="黑体" w:hAnsi="黑体" w:eastAsia="黑体" w:cs="宋体"/>
          <w:sz w:val="32"/>
          <w:szCs w:val="32"/>
        </w:rPr>
      </w:pPr>
      <w:r>
        <w:rPr>
          <w:rFonts w:hint="eastAsia" w:ascii="黑体" w:hAnsi="黑体" w:eastAsia="黑体" w:cs="宋体"/>
          <w:sz w:val="32"/>
          <w:szCs w:val="32"/>
        </w:rPr>
        <w:t>二、当年预算执行情况</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rPr>
        <w:t>5年全年预算数</w:t>
      </w:r>
      <w:r>
        <w:rPr>
          <w:rFonts w:hint="eastAsia" w:ascii="仿宋_GB2312" w:hAnsi="仿宋" w:eastAsia="仿宋_GB2312" w:cs="Times New Roman"/>
          <w:sz w:val="32"/>
          <w:szCs w:val="32"/>
          <w:lang w:val="en-US" w:eastAsia="zh-CN"/>
        </w:rPr>
        <w:t>2905.835167</w:t>
      </w:r>
      <w:r>
        <w:rPr>
          <w:rFonts w:hint="eastAsia" w:ascii="仿宋_GB2312" w:hAnsi="仿宋" w:eastAsia="仿宋_GB2312" w:cs="Times New Roman"/>
          <w:sz w:val="32"/>
          <w:szCs w:val="32"/>
        </w:rPr>
        <w:t>万元，其中：基本支出</w:t>
      </w:r>
      <w:r>
        <w:rPr>
          <w:rFonts w:hint="eastAsia" w:ascii="仿宋_GB2312" w:hAnsi="仿宋" w:eastAsia="仿宋_GB2312" w:cs="Times New Roman"/>
          <w:sz w:val="32"/>
          <w:szCs w:val="32"/>
          <w:lang w:val="en-US" w:eastAsia="zh-CN"/>
        </w:rPr>
        <w:t>2225.513347</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76.6</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w:t>
      </w:r>
      <w:r>
        <w:rPr>
          <w:rFonts w:hint="eastAsia" w:ascii="仿宋_GB2312" w:hAnsi="仿宋" w:eastAsia="仿宋_GB2312" w:cs="Times New Roman"/>
          <w:sz w:val="32"/>
          <w:szCs w:val="32"/>
          <w:lang w:val="en-US" w:eastAsia="zh-CN"/>
        </w:rPr>
        <w:t>680.32182</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23.4</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0.00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0.0</w:t>
      </w:r>
      <w:r>
        <w:rPr>
          <w:rFonts w:ascii="仿宋_GB2312" w:hAnsi="仿宋" w:eastAsia="仿宋_GB2312" w:cs="Times New Roman"/>
          <w:sz w:val="32"/>
          <w:szCs w:val="32"/>
        </w:rPr>
        <w:t>%</w:t>
      </w:r>
      <w:r>
        <w:rPr>
          <w:rFonts w:hint="eastAsia" w:ascii="仿宋_GB2312" w:hAnsi="仿宋" w:eastAsia="仿宋_GB2312" w:cs="Times New Roman"/>
          <w:sz w:val="32"/>
          <w:szCs w:val="32"/>
        </w:rPr>
        <w:t>。</w:t>
      </w:r>
    </w:p>
    <w:p>
      <w:pPr>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截止到</w:t>
      </w:r>
      <w:r>
        <w:rPr>
          <w:rFonts w:ascii="仿宋_GB2312" w:hAnsi="仿宋" w:eastAsia="仿宋_GB2312" w:cs="Times New Roman"/>
          <w:sz w:val="32"/>
          <w:szCs w:val="32"/>
        </w:rPr>
        <w:t>202</w:t>
      </w:r>
      <w:r>
        <w:rPr>
          <w:rFonts w:hint="eastAsia" w:ascii="仿宋_GB2312" w:hAnsi="仿宋" w:eastAsia="仿宋_GB2312" w:cs="Times New Roman"/>
          <w:sz w:val="32"/>
          <w:szCs w:val="32"/>
        </w:rPr>
        <w:t>5年</w:t>
      </w:r>
      <w:r>
        <w:rPr>
          <w:rFonts w:ascii="仿宋_GB2312" w:hAnsi="仿宋" w:eastAsia="仿宋_GB2312" w:cs="Times New Roman"/>
          <w:sz w:val="32"/>
          <w:szCs w:val="32"/>
        </w:rPr>
        <w:t>12</w:t>
      </w:r>
      <w:r>
        <w:rPr>
          <w:rFonts w:hint="eastAsia" w:ascii="仿宋_GB2312" w:hAnsi="仿宋" w:eastAsia="仿宋_GB2312" w:cs="Times New Roman"/>
          <w:sz w:val="32"/>
          <w:szCs w:val="32"/>
        </w:rPr>
        <w:t>月</w:t>
      </w:r>
      <w:r>
        <w:rPr>
          <w:rFonts w:ascii="仿宋_GB2312" w:hAnsi="仿宋" w:eastAsia="仿宋_GB2312" w:cs="Times New Roman"/>
          <w:sz w:val="32"/>
          <w:szCs w:val="32"/>
        </w:rPr>
        <w:t>31</w:t>
      </w:r>
      <w:r>
        <w:rPr>
          <w:rFonts w:hint="eastAsia" w:ascii="仿宋_GB2312" w:hAnsi="仿宋" w:eastAsia="仿宋_GB2312" w:cs="Times New Roman"/>
          <w:sz w:val="32"/>
          <w:szCs w:val="32"/>
        </w:rPr>
        <w:t>日，预算资金总体支出</w:t>
      </w:r>
      <w:r>
        <w:rPr>
          <w:rFonts w:hint="eastAsia" w:ascii="仿宋_GB2312" w:hAnsi="仿宋" w:eastAsia="仿宋_GB2312" w:cs="Times New Roman"/>
          <w:sz w:val="32"/>
          <w:szCs w:val="32"/>
          <w:lang w:val="en-US" w:eastAsia="zh-CN"/>
        </w:rPr>
        <w:t>2869.791088</w:t>
      </w:r>
      <w:r>
        <w:rPr>
          <w:rFonts w:hint="eastAsia" w:ascii="仿宋_GB2312" w:hAnsi="仿宋" w:eastAsia="仿宋_GB2312" w:cs="Times New Roman"/>
          <w:sz w:val="32"/>
          <w:szCs w:val="32"/>
        </w:rPr>
        <w:t>万元，其中：基本支出</w:t>
      </w:r>
      <w:r>
        <w:rPr>
          <w:rFonts w:hint="eastAsia" w:ascii="仿宋_GB2312" w:hAnsi="仿宋" w:eastAsia="仿宋_GB2312" w:cs="Times New Roman"/>
          <w:sz w:val="32"/>
          <w:szCs w:val="32"/>
          <w:lang w:val="en-US" w:eastAsia="zh-CN"/>
        </w:rPr>
        <w:t>2225.513347</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77.55</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w:t>
      </w:r>
      <w:r>
        <w:rPr>
          <w:rFonts w:hint="eastAsia" w:ascii="仿宋_GB2312" w:hAnsi="仿宋" w:eastAsia="仿宋_GB2312" w:cs="Times New Roman"/>
          <w:sz w:val="32"/>
          <w:szCs w:val="32"/>
          <w:lang w:val="en-US" w:eastAsia="zh-CN"/>
        </w:rPr>
        <w:t>644.277741</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22.45</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0.00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0.0</w:t>
      </w:r>
      <w:r>
        <w:rPr>
          <w:rFonts w:ascii="仿宋_GB2312" w:hAnsi="仿宋" w:eastAsia="仿宋_GB2312" w:cs="Times New Roman"/>
          <w:sz w:val="32"/>
          <w:szCs w:val="32"/>
        </w:rPr>
        <w:t>%</w:t>
      </w:r>
      <w:r>
        <w:rPr>
          <w:rFonts w:hint="eastAsia" w:ascii="仿宋_GB2312" w:hAnsi="仿宋" w:eastAsia="仿宋_GB2312" w:cs="Times New Roman"/>
          <w:sz w:val="32"/>
          <w:szCs w:val="32"/>
        </w:rPr>
        <w:t>。部门预算执行率为</w:t>
      </w:r>
      <w:r>
        <w:rPr>
          <w:rFonts w:hint="eastAsia" w:ascii="仿宋_GB2312" w:hAnsi="仿宋" w:eastAsia="仿宋_GB2312" w:cs="Times New Roman"/>
          <w:sz w:val="32"/>
          <w:szCs w:val="32"/>
          <w:lang w:val="en-US" w:eastAsia="zh-CN"/>
        </w:rPr>
        <w:t>99</w:t>
      </w:r>
      <w:r>
        <w:rPr>
          <w:rFonts w:ascii="仿宋_GB2312" w:hAnsi="仿宋" w:eastAsia="仿宋_GB2312" w:cs="Times New Roman"/>
          <w:sz w:val="32"/>
          <w:szCs w:val="32"/>
        </w:rPr>
        <w:t>%</w:t>
      </w:r>
      <w:r>
        <w:rPr>
          <w:rFonts w:hint="eastAsia" w:ascii="仿宋_GB2312" w:hAnsi="仿宋" w:eastAsia="仿宋_GB2312" w:cs="Times New Roman"/>
          <w:sz w:val="32"/>
          <w:szCs w:val="32"/>
        </w:rPr>
        <w:t>。（支出数按照年底收回节约前的实际支出数填列）。</w:t>
      </w:r>
      <w:r>
        <w:rPr>
          <w:rFonts w:ascii="仿宋_GB2312" w:hAnsi="仿宋" w:eastAsia="仿宋_GB2312" w:cs="Times New Roman"/>
          <w:sz w:val="32"/>
          <w:szCs w:val="32"/>
        </w:rPr>
        <w:t xml:space="preserve">                                     </w:t>
      </w:r>
    </w:p>
    <w:bookmarkEnd w:id="3"/>
    <w:p>
      <w:pPr>
        <w:spacing w:line="520" w:lineRule="exact"/>
        <w:ind w:firstLine="636" w:firstLineChars="200"/>
        <w:rPr>
          <w:rFonts w:ascii="仿宋_GB2312" w:hAnsi="Times New Roman" w:eastAsia="仿宋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rPr>
        <w:t>5年年末结转结余资金总额为</w:t>
      </w:r>
      <w:r>
        <w:rPr>
          <w:rFonts w:hint="eastAsia" w:ascii="仿宋_GB2312" w:hAnsi="Times New Roman" w:eastAsia="仿宋_GB2312" w:cs="Times New Roman"/>
          <w:sz w:val="32"/>
          <w:szCs w:val="32"/>
          <w:lang w:val="en-US" w:eastAsia="zh-CN"/>
        </w:rPr>
        <w:t>36.044079</w:t>
      </w:r>
      <w:r>
        <w:rPr>
          <w:rFonts w:hint="eastAsia" w:ascii="仿宋_GB2312" w:hAnsi="Times New Roman" w:eastAsia="仿宋_GB2312" w:cs="Times New Roman"/>
          <w:sz w:val="32"/>
          <w:szCs w:val="32"/>
        </w:rPr>
        <w:t>万元，全年支出预算数为</w:t>
      </w:r>
      <w:r>
        <w:rPr>
          <w:rFonts w:hint="eastAsia" w:ascii="仿宋_GB2312" w:hAnsi="Times New Roman" w:eastAsia="仿宋_GB2312" w:cs="Times New Roman"/>
          <w:sz w:val="32"/>
          <w:szCs w:val="32"/>
          <w:lang w:val="en-US" w:eastAsia="zh-CN"/>
        </w:rPr>
        <w:t>2905.835167</w:t>
      </w:r>
      <w:r>
        <w:rPr>
          <w:rFonts w:hint="eastAsia" w:ascii="仿宋_GB2312" w:hAnsi="Times New Roman" w:eastAsia="仿宋_GB2312" w:cs="Times New Roman"/>
          <w:sz w:val="32"/>
          <w:szCs w:val="32"/>
        </w:rPr>
        <w:t>万元，资金结转结余率为</w:t>
      </w:r>
      <w:r>
        <w:rPr>
          <w:rFonts w:hint="eastAsia" w:ascii="仿宋_GB2312" w:hAnsi="Times New Roman" w:eastAsia="仿宋_GB2312" w:cs="Times New Roman"/>
          <w:sz w:val="32"/>
          <w:szCs w:val="32"/>
          <w:lang w:val="en-US" w:eastAsia="zh-CN"/>
        </w:rPr>
        <w:t>1.2</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r>
        <w:rPr>
          <w:rFonts w:ascii="仿宋_GB2312" w:hAnsi="仿宋" w:eastAsia="仿宋_GB2312" w:cs="Times New Roman"/>
          <w:sz w:val="32"/>
          <w:szCs w:val="32"/>
        </w:rPr>
        <w:t>202</w:t>
      </w:r>
      <w:r>
        <w:rPr>
          <w:rFonts w:hint="eastAsia" w:ascii="仿宋_GB2312" w:hAnsi="仿宋" w:eastAsia="仿宋_GB2312" w:cs="Times New Roman"/>
          <w:sz w:val="32"/>
          <w:szCs w:val="32"/>
        </w:rPr>
        <w:t>4年年末结转结余资金总额为</w:t>
      </w:r>
      <w:r>
        <w:rPr>
          <w:rFonts w:hint="eastAsia" w:ascii="仿宋_GB2312" w:hAnsi="Times New Roman" w:eastAsia="仿宋_GB2312" w:cs="Times New Roman"/>
          <w:sz w:val="32"/>
          <w:szCs w:val="32"/>
          <w:lang w:val="en-US" w:eastAsia="zh-CN"/>
        </w:rPr>
        <w:t>112.406176</w:t>
      </w:r>
      <w:r>
        <w:rPr>
          <w:rFonts w:hint="eastAsia" w:ascii="仿宋_GB2312" w:hAnsi="Times New Roman" w:eastAsia="仿宋_GB2312" w:cs="Times New Roman"/>
          <w:sz w:val="32"/>
          <w:szCs w:val="32"/>
        </w:rPr>
        <w:t>万元，全年支出预算数为</w:t>
      </w:r>
      <w:r>
        <w:rPr>
          <w:rFonts w:hint="eastAsia" w:ascii="仿宋_GB2312" w:hAnsi="Times New Roman" w:eastAsia="仿宋_GB2312" w:cs="Times New Roman"/>
          <w:sz w:val="32"/>
          <w:szCs w:val="32"/>
          <w:lang w:val="en-US" w:eastAsia="zh-CN"/>
        </w:rPr>
        <w:t>2879.084177</w:t>
      </w:r>
      <w:r>
        <w:rPr>
          <w:rFonts w:hint="eastAsia" w:ascii="仿宋_GB2312" w:hAnsi="Times New Roman" w:eastAsia="仿宋_GB2312" w:cs="Times New Roman"/>
          <w:sz w:val="32"/>
          <w:szCs w:val="32"/>
        </w:rPr>
        <w:t>万元，资金结转结余率为</w:t>
      </w:r>
      <w:r>
        <w:rPr>
          <w:rFonts w:hint="eastAsia" w:ascii="仿宋_GB2312" w:hAnsi="Times New Roman" w:eastAsia="仿宋_GB2312" w:cs="Times New Roman"/>
          <w:sz w:val="32"/>
          <w:szCs w:val="32"/>
          <w:lang w:val="en-US" w:eastAsia="zh-CN"/>
        </w:rPr>
        <w:t>3.9</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202</w:t>
      </w:r>
      <w:r>
        <w:rPr>
          <w:rFonts w:hint="eastAsia" w:ascii="仿宋_GB2312" w:hAnsi="Times New Roman" w:eastAsia="仿宋_GB2312" w:cs="Times New Roman"/>
          <w:sz w:val="32"/>
          <w:szCs w:val="32"/>
        </w:rPr>
        <w:t>5年度部门结转结余率较上一</w:t>
      </w:r>
      <w:r>
        <w:rPr>
          <w:rFonts w:hint="eastAsia" w:ascii="仿宋_GB2312" w:hAnsi="Times New Roman" w:eastAsia="仿宋_GB2312" w:cs="Times New Roman"/>
          <w:sz w:val="32"/>
          <w:szCs w:val="32"/>
          <w:lang w:eastAsia="zh-CN"/>
        </w:rPr>
        <w:t>年</w:t>
      </w:r>
      <w:r>
        <w:rPr>
          <w:rFonts w:hint="eastAsia" w:ascii="仿宋_GB2312" w:hAnsi="Times New Roman" w:eastAsia="仿宋_GB2312" w:cs="Times New Roman"/>
          <w:sz w:val="32"/>
          <w:szCs w:val="32"/>
        </w:rPr>
        <w:t>下降了</w:t>
      </w:r>
      <w:r>
        <w:rPr>
          <w:rFonts w:hint="eastAsia" w:ascii="仿宋_GB2312" w:hAnsi="Times New Roman" w:eastAsia="仿宋_GB2312" w:cs="Times New Roman"/>
          <w:sz w:val="32"/>
          <w:szCs w:val="32"/>
          <w:lang w:val="en-US" w:eastAsia="zh-CN"/>
        </w:rPr>
        <w:t>2.7</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p>
    <w:p>
      <w:pPr>
        <w:spacing w:line="520" w:lineRule="exact"/>
        <w:ind w:firstLine="636" w:firstLineChars="200"/>
        <w:rPr>
          <w:rFonts w:ascii="黑体" w:hAnsi="黑体" w:eastAsia="黑体" w:cs="Times New Roman"/>
          <w:sz w:val="32"/>
          <w:szCs w:val="32"/>
        </w:rPr>
      </w:pPr>
      <w:r>
        <w:rPr>
          <w:rFonts w:hint="eastAsia" w:ascii="黑体" w:hAnsi="黑体" w:eastAsia="黑体" w:cs="Times New Roman"/>
          <w:sz w:val="32"/>
          <w:szCs w:val="32"/>
        </w:rPr>
        <w:t>三、整体绩效目标实现情况</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（一）产出完成情况分析</w:t>
      </w:r>
    </w:p>
    <w:p>
      <w:pPr>
        <w:spacing w:line="520" w:lineRule="exact"/>
        <w:ind w:firstLine="636" w:firstLineChars="200"/>
        <w:rPr>
          <w:rFonts w:ascii="仿宋_GB2312" w:hAnsi="Times New Roman" w:eastAsia="仿宋_GB2312" w:cs="Times New Roman"/>
          <w:sz w:val="32"/>
          <w:szCs w:val="32"/>
        </w:rPr>
      </w:pPr>
      <w:r>
        <w:rPr>
          <w:rFonts w:ascii="仿宋_GB2312" w:hAnsi="Times New Roman" w:eastAsia="仿宋_GB2312" w:cs="Times New Roman"/>
          <w:sz w:val="32"/>
          <w:szCs w:val="32"/>
        </w:rPr>
        <w:t>1.</w:t>
      </w:r>
      <w:r>
        <w:rPr>
          <w:rFonts w:hint="eastAsia" w:ascii="仿宋_GB2312" w:hAnsi="Times New Roman" w:eastAsia="仿宋_GB2312" w:cs="Times New Roman"/>
          <w:sz w:val="32"/>
          <w:szCs w:val="32"/>
        </w:rPr>
        <w:t>产出数量</w:t>
      </w:r>
    </w:p>
    <w:p>
      <w:pPr>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lang w:val="en-US" w:eastAsia="zh-CN"/>
        </w:rPr>
        <w:t>1.数量指标完成情况：（1）法律援助工作：法律援助民事案件328件，刑事案件212件，刑事值班475次，刑事法律帮助值班咨询416次，法律援助率100%；（2）村居公益法律服务工作：村居顾问入村居开展全年提供各类法律服务8931次；（3）区委、区政府法律顾问聘任工作：聘请12家律师事务所为区委、区政府法律顾问。</w:t>
      </w:r>
    </w:p>
    <w:p>
      <w:pPr>
        <w:spacing w:line="520" w:lineRule="exact"/>
        <w:ind w:firstLine="636" w:firstLineChars="200"/>
        <w:rPr>
          <w:rFonts w:hint="eastAsia" w:ascii="仿宋_GB2312" w:hAnsi="仿宋" w:eastAsia="仿宋_GB2312" w:cs="Times New Roman"/>
          <w:sz w:val="32"/>
          <w:szCs w:val="32"/>
        </w:rPr>
      </w:pPr>
      <w:r>
        <w:rPr>
          <w:rFonts w:ascii="仿宋_GB2312" w:hAnsi="仿宋" w:eastAsia="仿宋_GB2312" w:cs="Times New Roman"/>
          <w:sz w:val="32"/>
          <w:szCs w:val="32"/>
        </w:rPr>
        <w:t>2.</w:t>
      </w:r>
      <w:r>
        <w:rPr>
          <w:rFonts w:hint="eastAsia" w:ascii="仿宋_GB2312" w:hAnsi="仿宋" w:eastAsia="仿宋_GB2312" w:cs="Times New Roman"/>
          <w:sz w:val="32"/>
          <w:szCs w:val="32"/>
        </w:rPr>
        <w:t>产出质量</w:t>
      </w:r>
    </w:p>
    <w:p>
      <w:pPr>
        <w:pStyle w:val="2"/>
        <w:ind w:firstLine="636" w:firstLineChars="200"/>
        <w:jc w:val="both"/>
        <w:rPr>
          <w:rFonts w:hint="eastAsia" w:ascii="仿宋_GB2312" w:hAnsi="仿宋" w:eastAsia="仿宋_GB2312" w:cs="Times New Roman"/>
          <w:b w:val="0"/>
          <w:kern w:val="2"/>
          <w:sz w:val="32"/>
          <w:szCs w:val="32"/>
          <w:lang w:val="en-US" w:eastAsia="zh-CN" w:bidi="ar-SA"/>
        </w:rPr>
      </w:pPr>
      <w:r>
        <w:rPr>
          <w:rFonts w:hint="eastAsia" w:ascii="仿宋_GB2312" w:hAnsi="仿宋" w:eastAsia="仿宋_GB2312" w:cs="Times New Roman"/>
          <w:b w:val="0"/>
          <w:kern w:val="2"/>
          <w:sz w:val="32"/>
          <w:szCs w:val="32"/>
          <w:lang w:val="en-US" w:eastAsia="zh-CN" w:bidi="ar-SA"/>
        </w:rPr>
        <w:t>租用房屋质量属于相关文件要求。</w:t>
      </w:r>
    </w:p>
    <w:p>
      <w:pPr>
        <w:numPr>
          <w:ilvl w:val="0"/>
          <w:numId w:val="1"/>
        </w:numPr>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产出进度</w:t>
      </w:r>
    </w:p>
    <w:p>
      <w:pPr>
        <w:pStyle w:val="2"/>
        <w:numPr>
          <w:ilvl w:val="0"/>
          <w:numId w:val="0"/>
        </w:numPr>
        <w:jc w:val="both"/>
        <w:rPr>
          <w:rFonts w:hint="eastAsia" w:ascii="仿宋_GB2312" w:hAnsi="仿宋" w:eastAsia="仿宋_GB2312" w:cs="Times New Roman"/>
          <w:b w:val="0"/>
          <w:kern w:val="2"/>
          <w:sz w:val="32"/>
          <w:szCs w:val="32"/>
          <w:lang w:val="en-US" w:eastAsia="zh-CN" w:bidi="ar-SA"/>
        </w:rPr>
      </w:pPr>
      <w:r>
        <w:rPr>
          <w:rFonts w:hint="eastAsia"/>
          <w:lang w:val="en-US" w:eastAsia="zh-CN"/>
        </w:rPr>
        <w:t xml:space="preserve">    </w:t>
      </w:r>
      <w:r>
        <w:rPr>
          <w:rFonts w:hint="eastAsia" w:ascii="仿宋_GB2312" w:hAnsi="仿宋" w:eastAsia="仿宋_GB2312" w:cs="Times New Roman"/>
          <w:b w:val="0"/>
          <w:kern w:val="2"/>
          <w:sz w:val="32"/>
          <w:szCs w:val="32"/>
          <w:lang w:val="en-US" w:eastAsia="zh-CN" w:bidi="ar-SA"/>
        </w:rPr>
        <w:t>项目实效2025年。</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4.</w:t>
      </w:r>
      <w:r>
        <w:rPr>
          <w:rFonts w:hint="eastAsia" w:ascii="仿宋_GB2312" w:hAnsi="仿宋" w:eastAsia="仿宋_GB2312" w:cs="Times New Roman"/>
          <w:sz w:val="32"/>
          <w:szCs w:val="32"/>
        </w:rPr>
        <w:t>产出成本</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（二）效果实现情况分析</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效益指标完成情况：（1）社会效益：一是律师每月到结对村(居)上门开展不少于1次的法律服务，一年内共开展服务8931次左右；二是根据村居需要，为村居委会提供法律意见，制定村规民约；三是开展社区矫正和安置帮教教育帮扶工作，维护社会稳定；四是通过聘请政府法律顾问，加强法治政府建设，提高全区依法行政水平；五是群众法治宣传教育知晓率、满意度进一步提升，法治宣传教育覆盖面进一步扩大，市民法治素养进一步提升，地区法治环境进一步优化；六是组织居民委员会、村民委员会和其他社会组织依法协助社区矫正机构开展风险评估、心理矫正、技能培训、公益活动以及对对有特殊困难的社区矫正对象进行必要的帮扶活动，最大限度的将社区矫正对象教育矫正成为守法公民；七是加大调解力度，将有可能转化为信访矛盾和刑事案件的纠纷化解在初期，为平安门头沟建设保驾护航。（2）可持续影响：确保全区村居法律顾问制度全覆盖，建立一支专业、高效的村居法律顾问队伍，保障和改善民生，建立长效化公益法律服务平台。</w:t>
      </w:r>
    </w:p>
    <w:p>
      <w:pPr>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服务对象满意度</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满意度指标完成情况：村居公益法律服务村民满意度90%以上，村居公益法律服务村居满意度90%以上。</w:t>
      </w:r>
    </w:p>
    <w:p>
      <w:pPr>
        <w:spacing w:line="520" w:lineRule="exact"/>
        <w:ind w:firstLine="636" w:firstLineChars="200"/>
        <w:rPr>
          <w:rFonts w:ascii="黑体" w:hAnsi="黑体" w:eastAsia="黑体" w:cs="Times New Roman"/>
          <w:sz w:val="32"/>
          <w:szCs w:val="32"/>
        </w:rPr>
      </w:pPr>
      <w:r>
        <w:rPr>
          <w:rFonts w:hint="eastAsia" w:ascii="黑体" w:hAnsi="黑体" w:eastAsia="黑体" w:cs="Times New Roman"/>
          <w:sz w:val="32"/>
          <w:szCs w:val="32"/>
        </w:rPr>
        <w:t>四、预算管理情况分析</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（一）财务管理</w:t>
      </w:r>
    </w:p>
    <w:p>
      <w:pPr>
        <w:adjustRightInd w:val="0"/>
        <w:snapToGrid w:val="0"/>
        <w:spacing w:line="520" w:lineRule="exact"/>
        <w:ind w:firstLine="636"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截止到20</w:t>
      </w:r>
      <w:r>
        <w:rPr>
          <w:rFonts w:hint="eastAsia" w:ascii="仿宋_GB2312" w:hAnsi="仿宋" w:eastAsia="仿宋_GB2312" w:cs="Times New Roman"/>
          <w:sz w:val="32"/>
          <w:szCs w:val="32"/>
          <w:lang w:val="en-US" w:eastAsia="zh-CN"/>
        </w:rPr>
        <w:t>25</w:t>
      </w:r>
      <w:r>
        <w:rPr>
          <w:rFonts w:hint="eastAsia" w:ascii="仿宋_GB2312" w:hAnsi="仿宋" w:eastAsia="仿宋_GB2312" w:cs="Times New Roman"/>
          <w:sz w:val="32"/>
          <w:szCs w:val="32"/>
          <w:lang w:eastAsia="zh-CN"/>
        </w:rPr>
        <w:t>年12月31日，本单位已建立健全财务、收支等管理制度，明确了本局收支管理流程的流程节点、岗位分工等，并对涉及的科室进行明确的规定，包括需求科室、归口管理科室、分管主管领导，及需经局长办公会及党组会讨论通过的要求等，并且严格按照相关规定执行。</w:t>
      </w:r>
    </w:p>
    <w:p>
      <w:pPr>
        <w:adjustRightInd w:val="0"/>
        <w:snapToGrid w:val="0"/>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eastAsia="zh-CN"/>
        </w:rPr>
        <w:t>财务信息及资料均由具有财务知识的人管理归纳，定期移交档案室。并且定期对财务管理情况进行监督检查。</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（二）资产管理</w:t>
      </w:r>
    </w:p>
    <w:p>
      <w:pPr>
        <w:adjustRightInd w:val="0"/>
        <w:snapToGrid w:val="0"/>
        <w:spacing w:line="520" w:lineRule="exact"/>
        <w:ind w:firstLine="636"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本年度年末固定资产原值为</w:t>
      </w:r>
      <w:r>
        <w:rPr>
          <w:rFonts w:hint="eastAsia" w:ascii="仿宋_GB2312" w:hAnsi="仿宋" w:eastAsia="仿宋_GB2312" w:cs="Times New Roman"/>
          <w:sz w:val="32"/>
          <w:szCs w:val="32"/>
          <w:lang w:val="en-US" w:eastAsia="zh-CN"/>
        </w:rPr>
        <w:t>1365.489695</w:t>
      </w:r>
      <w:r>
        <w:rPr>
          <w:rFonts w:hint="eastAsia" w:ascii="仿宋_GB2312" w:hAnsi="仿宋" w:eastAsia="仿宋_GB2312" w:cs="Times New Roman"/>
          <w:sz w:val="32"/>
          <w:szCs w:val="32"/>
          <w:lang w:eastAsia="zh-CN"/>
        </w:rPr>
        <w:t>万元，上年度为</w:t>
      </w:r>
      <w:r>
        <w:rPr>
          <w:rFonts w:hint="eastAsia" w:ascii="仿宋_GB2312" w:hAnsi="仿宋" w:eastAsia="仿宋_GB2312" w:cs="Times New Roman"/>
          <w:sz w:val="32"/>
          <w:szCs w:val="32"/>
          <w:lang w:val="en-US" w:eastAsia="zh-CN"/>
        </w:rPr>
        <w:t>1440.637795</w:t>
      </w:r>
      <w:r>
        <w:rPr>
          <w:rFonts w:hint="eastAsia" w:ascii="仿宋_GB2312" w:hAnsi="仿宋" w:eastAsia="仿宋_GB2312" w:cs="Times New Roman"/>
          <w:sz w:val="32"/>
          <w:szCs w:val="32"/>
          <w:lang w:eastAsia="zh-CN"/>
        </w:rPr>
        <w:t>万元，差异较小；净资产本年度</w:t>
      </w:r>
      <w:r>
        <w:rPr>
          <w:rFonts w:hint="eastAsia" w:ascii="仿宋_GB2312" w:hAnsi="仿宋" w:eastAsia="仿宋_GB2312" w:cs="Times New Roman"/>
          <w:sz w:val="32"/>
          <w:szCs w:val="32"/>
          <w:lang w:val="en-US" w:eastAsia="zh-CN"/>
        </w:rPr>
        <w:t>258.437068</w:t>
      </w:r>
      <w:r>
        <w:rPr>
          <w:rFonts w:hint="eastAsia" w:ascii="仿宋_GB2312" w:hAnsi="仿宋" w:eastAsia="仿宋_GB2312" w:cs="Times New Roman"/>
          <w:sz w:val="32"/>
          <w:szCs w:val="32"/>
          <w:lang w:eastAsia="zh-CN"/>
        </w:rPr>
        <w:t>万元，上年度为</w:t>
      </w:r>
      <w:r>
        <w:rPr>
          <w:rFonts w:hint="eastAsia" w:ascii="仿宋_GB2312" w:hAnsi="仿宋" w:eastAsia="仿宋_GB2312" w:cs="Times New Roman"/>
          <w:sz w:val="32"/>
          <w:szCs w:val="32"/>
          <w:lang w:val="en-US" w:eastAsia="zh-CN"/>
        </w:rPr>
        <w:t>253.572502</w:t>
      </w:r>
      <w:r>
        <w:rPr>
          <w:rFonts w:hint="eastAsia" w:ascii="仿宋_GB2312" w:hAnsi="仿宋" w:eastAsia="仿宋_GB2312" w:cs="Times New Roman"/>
          <w:sz w:val="32"/>
          <w:szCs w:val="32"/>
          <w:lang w:eastAsia="zh-CN"/>
        </w:rPr>
        <w:t>万元，差异较小；本年度年末无形资产原值为</w:t>
      </w:r>
      <w:r>
        <w:rPr>
          <w:rFonts w:hint="eastAsia" w:ascii="仿宋_GB2312" w:hAnsi="仿宋" w:eastAsia="仿宋_GB2312" w:cs="Times New Roman"/>
          <w:sz w:val="32"/>
          <w:szCs w:val="32"/>
          <w:lang w:val="en-US" w:eastAsia="zh-CN"/>
        </w:rPr>
        <w:t>158.2255万元，无形资产摊销15.383032万元，增加原因主要为2024年建设的行政规范性管理平台项目于2025年6月完工，验收合格后，由在建工程转为无形资产，无形资产增加。</w:t>
      </w:r>
    </w:p>
    <w:p>
      <w:pPr>
        <w:spacing w:line="520" w:lineRule="exact"/>
        <w:ind w:firstLine="636" w:firstLineChars="200"/>
        <w:rPr>
          <w:rFonts w:ascii="楷体_GB2312" w:hAnsi="Times New Roman" w:eastAsia="楷体_GB2312" w:cs="Times New Roman"/>
          <w:b/>
          <w:sz w:val="32"/>
          <w:szCs w:val="32"/>
        </w:rPr>
      </w:pPr>
      <w:r>
        <w:rPr>
          <w:rFonts w:hint="eastAsia" w:ascii="楷体_GB2312" w:hAnsi="Times New Roman" w:eastAsia="楷体_GB2312" w:cs="Times New Roman"/>
          <w:b/>
          <w:sz w:val="32"/>
          <w:szCs w:val="32"/>
        </w:rPr>
        <w:t>（三）绩效管理</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1.</w:t>
      </w:r>
      <w:r>
        <w:rPr>
          <w:rFonts w:hint="eastAsia" w:ascii="仿宋_GB2312" w:hAnsi="仿宋" w:eastAsia="仿宋_GB2312" w:cs="Times New Roman"/>
          <w:sz w:val="32"/>
          <w:szCs w:val="32"/>
        </w:rPr>
        <w:t>预算绩效管理制度情况</w:t>
      </w:r>
    </w:p>
    <w:p>
      <w:pPr>
        <w:adjustRightInd w:val="0"/>
        <w:snapToGrid w:val="0"/>
        <w:spacing w:line="520" w:lineRule="exact"/>
        <w:ind w:firstLine="636"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（1）绩效目标方面：制定绩效目标编制管理要求，完成财政的绩效目标编报工作，将绩效目标作为项目前期评审和预算审核的重要内容之一。　　</w:t>
      </w:r>
    </w:p>
    <w:p>
      <w:pPr>
        <w:adjustRightInd w:val="0"/>
        <w:snapToGrid w:val="0"/>
        <w:spacing w:line="520" w:lineRule="exact"/>
        <w:ind w:firstLine="636"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（2）绩效跟踪方面：重点推进以预算部门为主体的绩效跟踪，加强项目预算执行，优化项目资金管理，促进绩效目标实现。</w:t>
      </w:r>
    </w:p>
    <w:p>
      <w:pPr>
        <w:adjustRightInd w:val="0"/>
        <w:snapToGrid w:val="0"/>
        <w:spacing w:line="520" w:lineRule="exact"/>
        <w:ind w:firstLine="636"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3）绩效评价方面：一是预算主管部门开展绩效评价，进一步落实支出责任。二是进一步拓展绩效评价管理模式，在重点项目绩效评价的基础上，开展部门整体支出绩效评价工作。三是加强对预算部门和评价机构的政策业务培训，进一步提高绩效评价质量。</w:t>
      </w:r>
    </w:p>
    <w:p>
      <w:pPr>
        <w:adjustRightInd w:val="0"/>
        <w:snapToGrid w:val="0"/>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lang w:eastAsia="zh-CN"/>
        </w:rPr>
        <w:t>（4）绩效信息的收集情况及绩效管理结果的应用情况：</w:t>
      </w:r>
      <w:r>
        <w:rPr>
          <w:rFonts w:hint="eastAsia" w:ascii="仿宋_GB2312" w:hAnsi="仿宋" w:eastAsia="仿宋_GB2312" w:cs="Times New Roman"/>
          <w:sz w:val="32"/>
          <w:szCs w:val="32"/>
          <w:lang w:val="en-US" w:eastAsia="zh-CN"/>
        </w:rPr>
        <w:t>2025</w:t>
      </w:r>
      <w:r>
        <w:rPr>
          <w:rFonts w:hint="eastAsia" w:ascii="仿宋_GB2312" w:hAnsi="仿宋" w:eastAsia="仿宋_GB2312" w:cs="Times New Roman"/>
          <w:sz w:val="32"/>
          <w:szCs w:val="32"/>
          <w:lang w:eastAsia="zh-CN"/>
        </w:rPr>
        <w:t>年完成了设定的绩效量化指标，开展法治政府建设、普法宣传教育、人民调解、社区矫正、法律服务、法律援助等工作，提高全民法律意识，满意率达90%以上。</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2.</w:t>
      </w:r>
      <w:r>
        <w:rPr>
          <w:rFonts w:hint="eastAsia" w:ascii="仿宋_GB2312" w:hAnsi="仿宋" w:eastAsia="仿宋_GB2312" w:cs="Times New Roman"/>
          <w:sz w:val="32"/>
          <w:szCs w:val="32"/>
        </w:rPr>
        <w:t>绩效目标管理情况</w:t>
      </w:r>
    </w:p>
    <w:p>
      <w:pPr>
        <w:spacing w:line="520" w:lineRule="exact"/>
        <w:ind w:firstLine="636" w:firstLineChars="200"/>
        <w:rPr>
          <w:rFonts w:ascii="仿宋_GB2312" w:hAnsi="微软雅黑" w:eastAsia="仿宋_GB2312" w:cs="微软雅黑"/>
          <w:color w:val="404040"/>
          <w:sz w:val="32"/>
          <w:szCs w:val="32"/>
          <w:shd w:val="clear" w:color="auto" w:fill="FFFFFF"/>
        </w:rPr>
      </w:pPr>
      <w:r>
        <w:rPr>
          <w:rFonts w:ascii="仿宋_GB2312" w:hAnsi="微软雅黑" w:eastAsia="仿宋_GB2312" w:cs="微软雅黑"/>
          <w:color w:val="404040"/>
          <w:sz w:val="32"/>
          <w:szCs w:val="32"/>
          <w:shd w:val="clear" w:color="auto" w:fill="FFFFFF"/>
        </w:rPr>
        <w:t>202</w:t>
      </w:r>
      <w:r>
        <w:rPr>
          <w:rFonts w:hint="eastAsia" w:ascii="仿宋_GB2312" w:hAnsi="微软雅黑" w:eastAsia="仿宋_GB2312" w:cs="微软雅黑"/>
          <w:color w:val="404040"/>
          <w:sz w:val="32"/>
          <w:szCs w:val="32"/>
          <w:shd w:val="clear" w:color="auto" w:fill="FFFFFF"/>
        </w:rPr>
        <w:t>5年部门预算项目</w:t>
      </w:r>
      <w:r>
        <w:rPr>
          <w:rFonts w:hint="eastAsia" w:ascii="仿宋_GB2312" w:hAnsi="微软雅黑" w:eastAsia="仿宋_GB2312" w:cs="微软雅黑"/>
          <w:color w:val="404040"/>
          <w:sz w:val="32"/>
          <w:szCs w:val="32"/>
          <w:shd w:val="clear" w:color="auto" w:fill="FFFFFF"/>
          <w:lang w:val="en-US" w:eastAsia="zh-CN"/>
        </w:rPr>
        <w:t>18</w:t>
      </w:r>
      <w:r>
        <w:rPr>
          <w:rFonts w:hint="eastAsia" w:ascii="仿宋_GB2312" w:hAnsi="微软雅黑" w:eastAsia="仿宋_GB2312" w:cs="微软雅黑"/>
          <w:color w:val="404040"/>
          <w:sz w:val="32"/>
          <w:szCs w:val="32"/>
          <w:shd w:val="clear" w:color="auto" w:fill="FFFFFF"/>
        </w:rPr>
        <w:t>个，部门预算公开绩效目标的预算项目</w:t>
      </w:r>
      <w:r>
        <w:rPr>
          <w:rFonts w:hint="eastAsia" w:ascii="仿宋_GB2312" w:hAnsi="微软雅黑" w:eastAsia="仿宋_GB2312" w:cs="微软雅黑"/>
          <w:color w:val="404040"/>
          <w:sz w:val="32"/>
          <w:szCs w:val="32"/>
          <w:shd w:val="clear" w:color="auto" w:fill="FFFFFF"/>
          <w:lang w:val="en-US" w:eastAsia="zh-CN"/>
        </w:rPr>
        <w:t>14</w:t>
      </w:r>
      <w:r>
        <w:rPr>
          <w:rFonts w:hint="eastAsia" w:ascii="仿宋_GB2312" w:hAnsi="微软雅黑" w:eastAsia="仿宋_GB2312" w:cs="微软雅黑"/>
          <w:color w:val="404040"/>
          <w:sz w:val="32"/>
          <w:szCs w:val="32"/>
          <w:shd w:val="clear" w:color="auto" w:fill="FFFFFF"/>
        </w:rPr>
        <w:t>个，占本部门全部预算项目的</w:t>
      </w:r>
      <w:r>
        <w:rPr>
          <w:rFonts w:hint="eastAsia" w:ascii="仿宋_GB2312" w:hAnsi="微软雅黑" w:eastAsia="仿宋_GB2312" w:cs="微软雅黑"/>
          <w:color w:val="404040"/>
          <w:sz w:val="32"/>
          <w:szCs w:val="32"/>
          <w:shd w:val="clear" w:color="auto" w:fill="FFFFFF"/>
          <w:lang w:val="en-US" w:eastAsia="zh-CN"/>
        </w:rPr>
        <w:t>77.8</w:t>
      </w:r>
      <w:r>
        <w:rPr>
          <w:rFonts w:ascii="仿宋_GB2312" w:hAnsi="微软雅黑" w:eastAsia="仿宋_GB2312" w:cs="微软雅黑"/>
          <w:color w:val="404040"/>
          <w:sz w:val="32"/>
          <w:szCs w:val="32"/>
          <w:shd w:val="clear" w:color="auto" w:fill="FFFFFF"/>
        </w:rPr>
        <w:t>%</w:t>
      </w:r>
      <w:r>
        <w:rPr>
          <w:rFonts w:hint="eastAsia" w:ascii="仿宋_GB2312" w:hAnsi="微软雅黑" w:eastAsia="仿宋_GB2312" w:cs="微软雅黑"/>
          <w:color w:val="404040"/>
          <w:sz w:val="32"/>
          <w:szCs w:val="32"/>
          <w:shd w:val="clear" w:color="auto" w:fill="FFFFFF"/>
        </w:rPr>
        <w:t>。</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3.</w:t>
      </w:r>
      <w:r>
        <w:rPr>
          <w:rFonts w:hint="eastAsia" w:ascii="仿宋_GB2312" w:hAnsi="仿宋" w:eastAsia="仿宋_GB2312" w:cs="Times New Roman"/>
          <w:sz w:val="32"/>
          <w:szCs w:val="32"/>
        </w:rPr>
        <w:t>绩效运行监控情况</w:t>
      </w:r>
    </w:p>
    <w:p>
      <w:pPr>
        <w:spacing w:line="520" w:lineRule="exact"/>
        <w:ind w:firstLine="636" w:firstLineChars="200"/>
        <w:rPr>
          <w:rFonts w:ascii="仿宋_GB2312" w:hAnsi="仿宋" w:eastAsia="仿宋_GB2312" w:cs="Times New Roman"/>
          <w:sz w:val="32"/>
          <w:szCs w:val="32"/>
        </w:rPr>
      </w:pPr>
      <w:r>
        <w:rPr>
          <w:rFonts w:ascii="仿宋_GB2312" w:hAnsi="微软雅黑" w:eastAsia="仿宋_GB2312" w:cs="微软雅黑"/>
          <w:color w:val="404040"/>
          <w:sz w:val="32"/>
          <w:szCs w:val="32"/>
          <w:shd w:val="clear" w:color="auto" w:fill="FFFFFF"/>
        </w:rPr>
        <w:t>202</w:t>
      </w:r>
      <w:r>
        <w:rPr>
          <w:rFonts w:hint="eastAsia" w:ascii="仿宋_GB2312" w:hAnsi="微软雅黑" w:eastAsia="仿宋_GB2312" w:cs="微软雅黑"/>
          <w:color w:val="404040"/>
          <w:sz w:val="32"/>
          <w:szCs w:val="32"/>
          <w:shd w:val="clear" w:color="auto" w:fill="FFFFFF"/>
        </w:rPr>
        <w:t>5</w:t>
      </w:r>
      <w:r>
        <w:rPr>
          <w:rFonts w:hint="eastAsia" w:ascii="仿宋_GB2312" w:hAnsi="仿宋" w:eastAsia="仿宋_GB2312" w:cs="Times New Roman"/>
          <w:sz w:val="32"/>
          <w:szCs w:val="32"/>
        </w:rPr>
        <w:t>年对</w:t>
      </w:r>
      <w:r>
        <w:rPr>
          <w:rFonts w:hint="eastAsia" w:ascii="仿宋_GB2312" w:hAnsi="Times New Roman" w:eastAsia="仿宋_GB2312" w:cs="Times New Roman"/>
          <w:sz w:val="32"/>
          <w:szCs w:val="32"/>
        </w:rPr>
        <w:t>本部门及所属单位</w:t>
      </w:r>
      <w:r>
        <w:rPr>
          <w:rFonts w:hint="eastAsia" w:ascii="仿宋_GB2312" w:hAnsi="仿宋" w:eastAsia="仿宋_GB2312" w:cs="Times New Roman"/>
          <w:sz w:val="32"/>
          <w:szCs w:val="32"/>
          <w:lang w:val="en-US" w:eastAsia="zh-CN"/>
        </w:rPr>
        <w:t>18</w:t>
      </w:r>
      <w:r>
        <w:rPr>
          <w:rFonts w:hint="eastAsia" w:ascii="仿宋_GB2312" w:hAnsi="仿宋" w:eastAsia="仿宋_GB2312" w:cs="Times New Roman"/>
          <w:sz w:val="32"/>
          <w:szCs w:val="32"/>
        </w:rPr>
        <w:t>个预算项目进行绩效运行监控，占部门项目总数的</w:t>
      </w:r>
      <w:r>
        <w:rPr>
          <w:rFonts w:hint="eastAsia" w:ascii="仿宋_GB2312" w:hAnsi="微软雅黑" w:eastAsia="仿宋_GB2312" w:cs="微软雅黑"/>
          <w:color w:val="404040"/>
          <w:sz w:val="32"/>
          <w:szCs w:val="32"/>
          <w:shd w:val="clear" w:color="auto" w:fill="FFFFFF"/>
          <w:lang w:val="en-US" w:eastAsia="zh-CN"/>
        </w:rPr>
        <w:t>100</w:t>
      </w:r>
      <w:r>
        <w:rPr>
          <w:rFonts w:ascii="仿宋_GB2312" w:hAnsi="微软雅黑" w:eastAsia="仿宋_GB2312" w:cs="微软雅黑"/>
          <w:color w:val="404040"/>
          <w:sz w:val="32"/>
          <w:szCs w:val="32"/>
          <w:shd w:val="clear" w:color="auto" w:fill="FFFFFF"/>
        </w:rPr>
        <w:t>%</w:t>
      </w:r>
      <w:r>
        <w:rPr>
          <w:rFonts w:hint="eastAsia" w:ascii="仿宋_GB2312" w:hAnsi="微软雅黑" w:eastAsia="仿宋_GB2312" w:cs="微软雅黑"/>
          <w:color w:val="404040"/>
          <w:sz w:val="32"/>
          <w:szCs w:val="32"/>
          <w:shd w:val="clear" w:color="auto" w:fill="FFFFFF"/>
        </w:rPr>
        <w:t>，涉及资金</w:t>
      </w:r>
      <w:r>
        <w:rPr>
          <w:rFonts w:hint="eastAsia" w:ascii="仿宋_GB2312" w:hAnsi="仿宋" w:eastAsia="仿宋_GB2312" w:cs="Times New Roman"/>
          <w:sz w:val="32"/>
          <w:szCs w:val="32"/>
          <w:lang w:val="en-US" w:eastAsia="zh-CN"/>
        </w:rPr>
        <w:t>680.32182</w:t>
      </w:r>
      <w:r>
        <w:rPr>
          <w:rFonts w:hint="eastAsia" w:ascii="仿宋_GB2312" w:hAnsi="微软雅黑" w:eastAsia="仿宋_GB2312" w:cs="微软雅黑"/>
          <w:color w:val="404040"/>
          <w:sz w:val="32"/>
          <w:szCs w:val="32"/>
          <w:shd w:val="clear" w:color="auto" w:fill="FFFFFF"/>
        </w:rPr>
        <w:t>万元。</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4.</w:t>
      </w:r>
      <w:r>
        <w:rPr>
          <w:rFonts w:hint="eastAsia" w:ascii="仿宋_GB2312" w:hAnsi="仿宋" w:eastAsia="仿宋_GB2312" w:cs="Times New Roman"/>
          <w:sz w:val="32"/>
          <w:szCs w:val="32"/>
        </w:rPr>
        <w:t>绩效自评情况</w:t>
      </w:r>
    </w:p>
    <w:p>
      <w:pPr>
        <w:spacing w:line="520" w:lineRule="exact"/>
        <w:ind w:firstLine="636" w:firstLineChars="200"/>
        <w:rPr>
          <w:rFonts w:ascii="仿宋_GB2312" w:hAnsi="Times New Roman" w:eastAsia="仿宋_GB2312" w:cs="Times New Roman"/>
          <w:sz w:val="32"/>
          <w:szCs w:val="32"/>
        </w:rPr>
      </w:pPr>
      <w:r>
        <w:rPr>
          <w:rFonts w:ascii="仿宋_GB2312" w:hAnsi="微软雅黑" w:eastAsia="仿宋_GB2312" w:cs="微软雅黑"/>
          <w:color w:val="404040"/>
          <w:sz w:val="32"/>
          <w:szCs w:val="32"/>
          <w:shd w:val="clear" w:color="auto" w:fill="FFFFFF"/>
        </w:rPr>
        <w:t>202</w:t>
      </w:r>
      <w:r>
        <w:rPr>
          <w:rFonts w:hint="eastAsia" w:ascii="仿宋_GB2312" w:hAnsi="微软雅黑" w:eastAsia="仿宋_GB2312" w:cs="微软雅黑"/>
          <w:color w:val="404040"/>
          <w:sz w:val="32"/>
          <w:szCs w:val="32"/>
          <w:shd w:val="clear" w:color="auto" w:fill="FFFFFF"/>
        </w:rPr>
        <w:t>5</w:t>
      </w:r>
      <w:r>
        <w:rPr>
          <w:rFonts w:hint="eastAsia" w:ascii="仿宋_GB2312" w:hAnsi="仿宋" w:eastAsia="仿宋_GB2312" w:cs="Times New Roman"/>
          <w:sz w:val="32"/>
          <w:szCs w:val="32"/>
        </w:rPr>
        <w:t>年</w:t>
      </w:r>
      <w:r>
        <w:rPr>
          <w:rFonts w:hint="eastAsia" w:ascii="仿宋_GB2312" w:hAnsi="Times New Roman" w:eastAsia="仿宋_GB2312" w:cs="Times New Roman"/>
          <w:sz w:val="32"/>
          <w:szCs w:val="32"/>
        </w:rPr>
        <w:t>对本部门及所属单位</w:t>
      </w:r>
      <w:r>
        <w:rPr>
          <w:rFonts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年项目支出实施了绩效自评，评价项目</w:t>
      </w:r>
      <w:r>
        <w:rPr>
          <w:rFonts w:hint="eastAsia" w:ascii="仿宋_GB2312" w:hAnsi="Times New Roman" w:eastAsia="仿宋_GB2312" w:cs="Times New Roman"/>
          <w:sz w:val="32"/>
          <w:szCs w:val="32"/>
          <w:lang w:val="en-US" w:eastAsia="zh-CN"/>
        </w:rPr>
        <w:t>18</w:t>
      </w:r>
      <w:r>
        <w:rPr>
          <w:rFonts w:hint="eastAsia" w:ascii="仿宋_GB2312" w:hAnsi="Times New Roman" w:eastAsia="仿宋_GB2312" w:cs="Times New Roman"/>
          <w:sz w:val="32"/>
          <w:szCs w:val="32"/>
        </w:rPr>
        <w:t>个，涉及金额</w:t>
      </w:r>
      <w:r>
        <w:rPr>
          <w:rFonts w:hint="eastAsia" w:ascii="仿宋_GB2312" w:hAnsi="仿宋" w:eastAsia="仿宋_GB2312" w:cs="Times New Roman"/>
          <w:sz w:val="32"/>
          <w:szCs w:val="32"/>
          <w:lang w:val="en-US" w:eastAsia="zh-CN"/>
        </w:rPr>
        <w:t>644.277741</w:t>
      </w:r>
      <w:r>
        <w:rPr>
          <w:rFonts w:hint="eastAsia" w:ascii="仿宋_GB2312" w:hAnsi="Times New Roman" w:eastAsia="仿宋_GB2312" w:cs="Times New Roman"/>
          <w:sz w:val="32"/>
          <w:szCs w:val="32"/>
        </w:rPr>
        <w:t>万元。</w:t>
      </w:r>
    </w:p>
    <w:p>
      <w:pPr>
        <w:widowControl/>
        <w:spacing w:line="520" w:lineRule="exact"/>
        <w:ind w:firstLine="636" w:firstLineChars="200"/>
        <w:rPr>
          <w:rFonts w:ascii="黑体" w:hAnsi="黑体" w:eastAsia="黑体" w:cs="Times New Roman"/>
          <w:sz w:val="32"/>
          <w:szCs w:val="32"/>
        </w:rPr>
      </w:pPr>
      <w:r>
        <w:rPr>
          <w:rFonts w:hint="eastAsia" w:ascii="黑体" w:hAnsi="黑体" w:eastAsia="黑体" w:cs="宋体"/>
          <w:sz w:val="32"/>
          <w:szCs w:val="32"/>
        </w:rPr>
        <w:t>五、总体评价结论</w:t>
      </w:r>
    </w:p>
    <w:p>
      <w:pPr>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（一）评价得分情况</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请结合《部门整体支出绩效自评表》中的得分情况填写以下内容。</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绩效自评总分：</w:t>
      </w:r>
      <w:r>
        <w:rPr>
          <w:rFonts w:hint="eastAsia" w:ascii="仿宋_GB2312" w:hAnsi="仿宋" w:eastAsia="仿宋_GB2312" w:cs="Times New Roman"/>
          <w:sz w:val="32"/>
          <w:szCs w:val="32"/>
          <w:lang w:val="en-US" w:eastAsia="zh-CN"/>
        </w:rPr>
        <w:t>98.8</w:t>
      </w:r>
      <w:r>
        <w:rPr>
          <w:rFonts w:hint="eastAsia" w:ascii="仿宋_GB2312" w:hAnsi="仿宋" w:eastAsia="仿宋_GB2312" w:cs="Times New Roman"/>
          <w:sz w:val="32"/>
          <w:szCs w:val="32"/>
        </w:rPr>
        <w:t>分</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绩效自评等级：</w:t>
      </w:r>
      <w:r>
        <w:rPr>
          <w:rFonts w:hint="eastAsia" w:ascii="仿宋_GB2312" w:hAnsi="仿宋" w:eastAsia="仿宋_GB2312" w:cs="Times New Roman"/>
          <w:sz w:val="32"/>
          <w:szCs w:val="32"/>
          <w:lang w:eastAsia="zh-CN"/>
        </w:rPr>
        <w:t>优秀</w:t>
      </w:r>
    </w:p>
    <w:p>
      <w:pPr>
        <w:widowControl/>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四类评价等级：优秀（</w:t>
      </w:r>
      <w:r>
        <w:rPr>
          <w:rFonts w:ascii="仿宋_GB2312" w:hAnsi="仿宋" w:eastAsia="仿宋_GB2312" w:cs="Times New Roman"/>
          <w:sz w:val="32"/>
          <w:szCs w:val="32"/>
        </w:rPr>
        <w:t>90</w:t>
      </w:r>
      <w:r>
        <w:rPr>
          <w:rFonts w:hint="eastAsia" w:ascii="仿宋_GB2312" w:hAnsi="仿宋" w:eastAsia="仿宋_GB2312" w:cs="Times New Roman"/>
          <w:sz w:val="32"/>
          <w:szCs w:val="32"/>
        </w:rPr>
        <w:t>（含）</w:t>
      </w:r>
      <w:r>
        <w:rPr>
          <w:rFonts w:ascii="仿宋_GB2312" w:hAnsi="仿宋" w:eastAsia="仿宋_GB2312" w:cs="Times New Roman"/>
          <w:sz w:val="32"/>
          <w:szCs w:val="32"/>
        </w:rPr>
        <w:t>-100</w:t>
      </w:r>
      <w:r>
        <w:rPr>
          <w:rFonts w:hint="eastAsia" w:ascii="仿宋_GB2312" w:hAnsi="仿宋" w:eastAsia="仿宋_GB2312" w:cs="Times New Roman"/>
          <w:sz w:val="32"/>
          <w:szCs w:val="32"/>
        </w:rPr>
        <w:t>分）、良好</w:t>
      </w:r>
      <w:r>
        <w:rPr>
          <w:rFonts w:ascii="仿宋_GB2312" w:hAnsi="仿宋" w:eastAsia="仿宋_GB2312" w:cs="Times New Roman"/>
          <w:sz w:val="32"/>
          <w:szCs w:val="32"/>
        </w:rPr>
        <w:t>80</w:t>
      </w:r>
      <w:r>
        <w:rPr>
          <w:rFonts w:hint="eastAsia" w:ascii="仿宋_GB2312" w:hAnsi="仿宋" w:eastAsia="仿宋_GB2312" w:cs="Times New Roman"/>
          <w:sz w:val="32"/>
          <w:szCs w:val="32"/>
        </w:rPr>
        <w:t>（含）</w:t>
      </w:r>
      <w:r>
        <w:rPr>
          <w:rFonts w:ascii="仿宋_GB2312" w:hAnsi="仿宋" w:eastAsia="仿宋_GB2312" w:cs="Times New Roman"/>
          <w:sz w:val="32"/>
          <w:szCs w:val="32"/>
        </w:rPr>
        <w:t>-90</w:t>
      </w:r>
      <w:r>
        <w:rPr>
          <w:rFonts w:hint="eastAsia" w:ascii="仿宋_GB2312" w:hAnsi="仿宋" w:eastAsia="仿宋_GB2312" w:cs="Times New Roman"/>
          <w:sz w:val="32"/>
          <w:szCs w:val="32"/>
        </w:rPr>
        <w:t>分、一般</w:t>
      </w:r>
      <w:r>
        <w:rPr>
          <w:rFonts w:ascii="仿宋_GB2312" w:hAnsi="仿宋" w:eastAsia="仿宋_GB2312" w:cs="Times New Roman"/>
          <w:sz w:val="32"/>
          <w:szCs w:val="32"/>
        </w:rPr>
        <w:t>60</w:t>
      </w:r>
      <w:r>
        <w:rPr>
          <w:rFonts w:hint="eastAsia" w:ascii="仿宋_GB2312" w:hAnsi="仿宋" w:eastAsia="仿宋_GB2312" w:cs="Times New Roman"/>
          <w:sz w:val="32"/>
          <w:szCs w:val="32"/>
        </w:rPr>
        <w:t>（含）</w:t>
      </w:r>
      <w:r>
        <w:rPr>
          <w:rFonts w:ascii="仿宋_GB2312" w:hAnsi="仿宋" w:eastAsia="仿宋_GB2312" w:cs="Times New Roman"/>
          <w:sz w:val="32"/>
          <w:szCs w:val="32"/>
        </w:rPr>
        <w:t>-80</w:t>
      </w:r>
      <w:r>
        <w:rPr>
          <w:rFonts w:hint="eastAsia" w:ascii="仿宋_GB2312" w:hAnsi="仿宋" w:eastAsia="仿宋_GB2312" w:cs="Times New Roman"/>
          <w:sz w:val="32"/>
          <w:szCs w:val="32"/>
        </w:rPr>
        <w:t>分、较差</w:t>
      </w:r>
      <w:r>
        <w:rPr>
          <w:rFonts w:ascii="仿宋_GB2312" w:hAnsi="仿宋" w:eastAsia="仿宋_GB2312" w:cs="Times New Roman"/>
          <w:sz w:val="32"/>
          <w:szCs w:val="32"/>
        </w:rPr>
        <w:t>60</w:t>
      </w:r>
      <w:r>
        <w:rPr>
          <w:rFonts w:hint="eastAsia" w:ascii="仿宋_GB2312" w:hAnsi="仿宋" w:eastAsia="仿宋_GB2312" w:cs="Times New Roman"/>
          <w:sz w:val="32"/>
          <w:szCs w:val="32"/>
        </w:rPr>
        <w:t>分以下</w:t>
      </w:r>
    </w:p>
    <w:p>
      <w:pPr>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（二）存在的问题及原因分析</w:t>
      </w:r>
    </w:p>
    <w:p>
      <w:pPr>
        <w:adjustRightInd w:val="0"/>
        <w:snapToGrid w:val="0"/>
        <w:spacing w:line="520" w:lineRule="exact"/>
        <w:ind w:firstLine="636"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1.个别部门绩效评价意识有待提高。对绩效评价工作认识不够，在一定程度上影响了绩效评价工作的效率。</w:t>
      </w:r>
    </w:p>
    <w:p>
      <w:pPr>
        <w:adjustRightInd w:val="0"/>
        <w:snapToGrid w:val="0"/>
        <w:spacing w:line="520" w:lineRule="exact"/>
        <w:ind w:firstLine="636"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2.个别项目支出进度有待加快。个别项目因预算编制不准确，需要对预算细目重新调整，项目整体延迟，导致出现支出进度缓慢的问题。</w:t>
      </w:r>
    </w:p>
    <w:p>
      <w:pPr>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（三）改进措施（请对照问题，分别填写相应改进措施）</w:t>
      </w:r>
    </w:p>
    <w:p>
      <w:pPr>
        <w:adjustRightInd w:val="0"/>
        <w:snapToGrid w:val="0"/>
        <w:spacing w:line="520" w:lineRule="exact"/>
        <w:ind w:firstLine="636"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1.持续强化绩效评价意识，不断加大绩效评价培训。加强组织协调，划分职责，积极开展单位内部项目绩效跟踪、评价及结果应用，做到各部门协调配合，共同推进。掌握项目绩效目标的制定、完成情况、项目的管理情况、资金使用情况等，分析项目资金的使用是否有效合规，分析存在的问题及原因，为下一年预算及绩效目标的编制提供参考和依据。</w:t>
      </w:r>
    </w:p>
    <w:p>
      <w:pPr>
        <w:adjustRightInd w:val="0"/>
        <w:snapToGrid w:val="0"/>
        <w:spacing w:line="520" w:lineRule="exact"/>
        <w:ind w:firstLine="636"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2.加强日常绩效评价管理，加强对项目资金的监督和指导，了解工作进展情况，督促支出进度缓慢的部门加快资金支出，研究并解决财务支出方面存在的问题，定期对项目资金使用进度进行公示，力争项目按时完成。</w:t>
      </w:r>
    </w:p>
    <w:p>
      <w:pPr>
        <w:spacing w:line="520" w:lineRule="exact"/>
        <w:ind w:firstLine="636" w:firstLineChars="200"/>
        <w:rPr>
          <w:rFonts w:ascii="仿宋_GB2312" w:hAnsi="仿宋" w:eastAsia="仿宋_GB2312" w:cs="Times New Roman"/>
          <w:sz w:val="32"/>
          <w:szCs w:val="32"/>
        </w:rPr>
      </w:pPr>
    </w:p>
    <w:bookmarkEnd w:id="2"/>
    <w:p>
      <w:pPr>
        <w:spacing w:line="520" w:lineRule="exact"/>
        <w:ind w:firstLine="636" w:firstLineChars="200"/>
        <w:jc w:val="left"/>
        <w:rPr>
          <w:rFonts w:ascii="仿宋_GB2312" w:hAnsi="Times New Roman" w:eastAsia="仿宋_GB2312" w:cs="Times New Roman"/>
          <w:sz w:val="32"/>
          <w:szCs w:val="32"/>
        </w:rPr>
      </w:pPr>
    </w:p>
    <w:p/>
    <w:sectPr>
      <w:footerReference r:id="rId3" w:type="default"/>
      <w:pgSz w:w="11907" w:h="16840"/>
      <w:pgMar w:top="1797" w:right="1440" w:bottom="1276" w:left="1440" w:header="851" w:footer="992" w:gutter="0"/>
      <w:pgNumType w:start="1"/>
      <w:cols w:space="425" w:num="1"/>
      <w:docGrid w:type="linesAndChars" w:linePitch="606"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Calibri Light">
    <w:altName w:val="Calibri"/>
    <w:panose1 w:val="020F0302020204030204"/>
    <w:charset w:val="00"/>
    <w:family w:val="swiss"/>
    <w:pitch w:val="default"/>
    <w:sig w:usb0="00000000" w:usb1="00000000" w:usb2="00000000" w:usb3="00000000" w:csb0="0000019F" w:csb1="00000000"/>
  </w:font>
  <w:font w:name="华文中宋">
    <w:panose1 w:val="02010600040101010101"/>
    <w:charset w:val="86"/>
    <w:family w:val="auto"/>
    <w:pitch w:val="default"/>
    <w:sig w:usb0="00000287" w:usb1="080F0000" w:usb2="00000000" w:usb3="00000000" w:csb0="0004009F" w:csb1="DFD70000"/>
  </w:font>
  <w:font w:name="Arial">
    <w:panose1 w:val="020B0604020202020204"/>
    <w:charset w:val="00"/>
    <w:family w:val="swiss"/>
    <w:pitch w:val="default"/>
    <w:sig w:usb0="E0002A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MingLiU_HKSCS">
    <w:panose1 w:val="02020500000000000000"/>
    <w:charset w:val="88"/>
    <w:family w:val="auto"/>
    <w:pitch w:val="default"/>
    <w:sig w:usb0="A00002FF" w:usb1="38CFFCFA" w:usb2="00000016" w:usb3="00000000" w:csb0="00100001" w:csb1="00000000"/>
  </w:font>
  <w:font w:name="MingLiU-ExtB">
    <w:panose1 w:val="02020500000000000000"/>
    <w:charset w:val="88"/>
    <w:family w:val="auto"/>
    <w:pitch w:val="default"/>
    <w:sig w:usb0="8000002F" w:usb1="02000008" w:usb2="00000000" w:usb3="00000000" w:csb0="00100001" w:csb1="00000000"/>
  </w:font>
  <w:font w:name="Meiryo UI">
    <w:panose1 w:val="020B0604030504040204"/>
    <w:charset w:val="80"/>
    <w:family w:val="auto"/>
    <w:pitch w:val="default"/>
    <w:sig w:usb0="E10102FF" w:usb1="EAC7FFFF" w:usb2="00010012" w:usb3="00000000" w:csb0="6002009F" w:csb1="DFD70000"/>
  </w:font>
  <w:font w:name="新宋体">
    <w:panose1 w:val="02010609030101010101"/>
    <w:charset w:val="86"/>
    <w:family w:val="auto"/>
    <w:pitch w:val="default"/>
    <w:sig w:usb0="00000003" w:usb1="288F0000" w:usb2="00000006" w:usb3="00000000" w:csb0="00040001" w:csb1="00000000"/>
  </w:font>
  <w:font w:name="Batang">
    <w:panose1 w:val="02030600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Dotu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GungsuhChe">
    <w:panose1 w:val="02030609000101010101"/>
    <w:charset w:val="81"/>
    <w:family w:val="auto"/>
    <w:pitch w:val="default"/>
    <w:sig w:usb0="B00002AF" w:usb1="69D77CFB" w:usb2="00000030" w:usb3="00000000" w:csb0="4008009F" w:csb1="DFD70000"/>
  </w:font>
  <w:font w:name="Malgun Gothic">
    <w:panose1 w:val="020B0503020000020004"/>
    <w:charset w:val="81"/>
    <w:family w:val="auto"/>
    <w:pitch w:val="default"/>
    <w:sig w:usb0="900002AF" w:usb1="01D77CFB" w:usb2="00000012" w:usb3="00000000" w:csb0="00080001" w:csb1="00000000"/>
  </w:font>
  <w:font w:name="Meiryo">
    <w:panose1 w:val="020B0604030504040204"/>
    <w:charset w:val="80"/>
    <w:family w:val="auto"/>
    <w:pitch w:val="default"/>
    <w:sig w:usb0="E10102FF" w:usb1="EAC7FFFF" w:usb2="00010012" w:usb3="00000000" w:csb0="6002009F" w:csb1="DFD70000"/>
  </w:font>
  <w:font w:name="等线">
    <w:altName w:val="宋体"/>
    <w:panose1 w:val="02010600030101010101"/>
    <w:charset w:val="86"/>
    <w:family w:val="auto"/>
    <w:pitch w:val="default"/>
    <w:sig w:usb0="00000000" w:usb1="00000000" w:usb2="00000016" w:usb3="00000000" w:csb0="0004000F" w:csb1="00000000"/>
  </w:font>
  <w:font w:name="DejaVu Sans">
    <w:altName w:val="Segoe Print"/>
    <w:panose1 w:val="020B0603030804020204"/>
    <w:charset w:val="00"/>
    <w:family w:val="auto"/>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方正宋体S-超大字符集(SIP)">
    <w:altName w:val="宋体"/>
    <w:panose1 w:val="03000509000000000000"/>
    <w:charset w:val="86"/>
    <w:family w:val="auto"/>
    <w:pitch w:val="default"/>
    <w:sig w:usb0="00000000" w:usb1="00000000" w:usb2="00000006" w:usb3="00000000" w:csb0="00040001" w:csb1="00000000"/>
  </w:font>
  <w:font w:name="汉仪中宋简">
    <w:altName w:val="宋体"/>
    <w:panose1 w:val="02010600000101010101"/>
    <w:charset w:val="86"/>
    <w:family w:val="auto"/>
    <w:pitch w:val="default"/>
    <w:sig w:usb0="00000000" w:usb1="00000000" w:usb2="00000002" w:usb3="00000000" w:csb0="00040000" w:csb1="00000000"/>
  </w:font>
  <w:font w:name="GWZT-EN">
    <w:altName w:val="Nyala"/>
    <w:panose1 w:val="02020400000000000000"/>
    <w:charset w:val="00"/>
    <w:family w:val="auto"/>
    <w:pitch w:val="default"/>
    <w:sig w:usb0="00000000" w:usb1="00000000" w:usb2="00082016" w:usb3="00000000" w:csb0="00000003" w:csb1="00000000"/>
  </w:font>
  <w:font w:name="Perpetua Titling MT">
    <w:panose1 w:val="02020502060505020804"/>
    <w:charset w:val="00"/>
    <w:family w:val="auto"/>
    <w:pitch w:val="default"/>
    <w:sig w:usb0="00000003" w:usb1="00000000" w:usb2="00000000" w:usb3="00000000" w:csb0="20000001" w:csb1="00000000"/>
  </w:font>
  <w:font w:name="Nyala">
    <w:panose1 w:val="02000504070300020003"/>
    <w:charset w:val="00"/>
    <w:family w:val="auto"/>
    <w:pitch w:val="default"/>
    <w:sig w:usb0="A000006F" w:usb1="00000000" w:usb2="00000800" w:usb3="00000000" w:csb0="00000093" w:csb1="00000000"/>
  </w:font>
  <w:font w:name="ksdb">
    <w:altName w:val="Vrinda"/>
    <w:panose1 w:val="02000500000000000000"/>
    <w:charset w:val="00"/>
    <w:family w:val="auto"/>
    <w:pitch w:val="default"/>
    <w:sig w:usb0="00000000" w:usb1="00000000" w:usb2="00000000" w:usb3="00000000" w:csb0="00000001" w:csb1="00000000"/>
  </w:font>
  <w:font w:name="Vrinda">
    <w:panose1 w:val="020B0502040204020203"/>
    <w:charset w:val="00"/>
    <w:family w:val="auto"/>
    <w:pitch w:val="default"/>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ind w:firstLine="360"/>
      <w:rPr>
        <w:rStyle w:val="7"/>
      </w:rPr>
    </w:pPr>
    <w:r>
      <w:rPr>
        <w:rStyle w:val="7"/>
      </w:rPr>
      <w:fldChar w:fldCharType="begin"/>
    </w:r>
    <w:r>
      <w:rPr>
        <w:rStyle w:val="7"/>
      </w:rPr>
      <w:instrText xml:space="preserve">PAGE  </w:instrText>
    </w:r>
    <w:r>
      <w:rPr>
        <w:rStyle w:val="7"/>
      </w:rPr>
      <w:fldChar w:fldCharType="separate"/>
    </w:r>
    <w:r>
      <w:rPr>
        <w:rStyle w:val="7"/>
      </w:rPr>
      <w:t>1</w:t>
    </w:r>
    <w:r>
      <w:rPr>
        <w:rStyle w:val="7"/>
      </w:rPr>
      <w:fldChar w:fldCharType="end"/>
    </w:r>
  </w:p>
  <w:p>
    <w:pPr>
      <w:pStyle w:val="4"/>
      <w:ind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C2325D"/>
    <w:multiLevelType w:val="singleLevel"/>
    <w:tmpl w:val="69C2325D"/>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969"/>
    <w:rsid w:val="0004502A"/>
    <w:rsid w:val="000C1951"/>
    <w:rsid w:val="0010736B"/>
    <w:rsid w:val="00136430"/>
    <w:rsid w:val="0015133D"/>
    <w:rsid w:val="001F1B65"/>
    <w:rsid w:val="0020720A"/>
    <w:rsid w:val="00271F9E"/>
    <w:rsid w:val="00335359"/>
    <w:rsid w:val="00385D4E"/>
    <w:rsid w:val="004841EF"/>
    <w:rsid w:val="00632E15"/>
    <w:rsid w:val="00765990"/>
    <w:rsid w:val="007C5969"/>
    <w:rsid w:val="007D50CA"/>
    <w:rsid w:val="007D514A"/>
    <w:rsid w:val="00846439"/>
    <w:rsid w:val="00861964"/>
    <w:rsid w:val="008B4180"/>
    <w:rsid w:val="008C4DEF"/>
    <w:rsid w:val="0099769B"/>
    <w:rsid w:val="00A50C4B"/>
    <w:rsid w:val="00A5549B"/>
    <w:rsid w:val="00AC3863"/>
    <w:rsid w:val="00B03E4B"/>
    <w:rsid w:val="00B12733"/>
    <w:rsid w:val="00B60F78"/>
    <w:rsid w:val="00CF6DF6"/>
    <w:rsid w:val="00D92EAA"/>
    <w:rsid w:val="00D937A9"/>
    <w:rsid w:val="00DA3A1A"/>
    <w:rsid w:val="00E26073"/>
    <w:rsid w:val="00E430E2"/>
    <w:rsid w:val="00E56FD1"/>
    <w:rsid w:val="00E62D84"/>
    <w:rsid w:val="00ED7BD7"/>
    <w:rsid w:val="00EF518F"/>
    <w:rsid w:val="00F578CA"/>
    <w:rsid w:val="00F806E1"/>
    <w:rsid w:val="01212FAE"/>
    <w:rsid w:val="0E2D1E36"/>
    <w:rsid w:val="105C3764"/>
    <w:rsid w:val="130F3349"/>
    <w:rsid w:val="2C52097A"/>
    <w:rsid w:val="307A0857"/>
    <w:rsid w:val="347C2458"/>
    <w:rsid w:val="35074E3B"/>
    <w:rsid w:val="3FA44BB0"/>
    <w:rsid w:val="456D25B9"/>
    <w:rsid w:val="4D033913"/>
    <w:rsid w:val="4EDF521B"/>
    <w:rsid w:val="4FFD6909"/>
    <w:rsid w:val="51A21768"/>
    <w:rsid w:val="52735C8E"/>
    <w:rsid w:val="57B102E7"/>
    <w:rsid w:val="58AC6019"/>
    <w:rsid w:val="5A445514"/>
    <w:rsid w:val="5A51332F"/>
    <w:rsid w:val="5D7454DA"/>
    <w:rsid w:val="5E9E07FB"/>
    <w:rsid w:val="6956504E"/>
    <w:rsid w:val="72E92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Arial" w:hAnsi="Arial"/>
      <w:b/>
      <w:sz w:val="32"/>
    </w:rPr>
  </w:style>
  <w:style w:type="paragraph" w:styleId="3">
    <w:name w:val="Normal Indent"/>
    <w:basedOn w:val="1"/>
    <w:next w:val="1"/>
    <w:unhideWhenUsed/>
    <w:qFormat/>
    <w:uiPriority w:val="99"/>
    <w:pPr>
      <w:ind w:firstLine="420"/>
    </w:pPr>
    <w:rPr>
      <w:rFonts w:ascii="Times New Roman" w:hAnsi="Times New Roman" w:cs="Times New Roman"/>
      <w:szCs w:val="20"/>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semiHidden/>
    <w:qFormat/>
    <w:uiPriority w:val="99"/>
    <w:rPr>
      <w:rFonts w:cs="Times New Roman"/>
    </w:rPr>
  </w:style>
  <w:style w:type="character" w:customStyle="1" w:styleId="9">
    <w:name w:val="页眉 Char"/>
    <w:basedOn w:val="6"/>
    <w:link w:val="5"/>
    <w:qFormat/>
    <w:uiPriority w:val="99"/>
    <w:rPr>
      <w:sz w:val="18"/>
      <w:szCs w:val="18"/>
    </w:rPr>
  </w:style>
  <w:style w:type="character" w:customStyle="1" w:styleId="10">
    <w:name w:val="页脚 Char"/>
    <w:basedOn w:val="6"/>
    <w:link w:val="4"/>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184</Words>
  <Characters>1052</Characters>
  <Lines>8</Lines>
  <Paragraphs>2</Paragraphs>
  <ScaleCrop>false</ScaleCrop>
  <LinksUpToDate>false</LinksUpToDate>
  <CharactersWithSpaces>1234</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2026-03-13T07:23:00Z</dcterms:created>
  <dc:creator>李菁</dc:creator>
  <cp:lastModifiedBy>admin</cp:lastModifiedBy>
  <dcterms:modified xsi:type="dcterms:W3CDTF">2026-03-26T02:37:06Z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