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4"/>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一、部门基本情况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keepNext/>
        <w:keepLines/>
        <w:pageBreakBefore w:val="0"/>
        <w:widowControl w:val="0"/>
        <w:kinsoku/>
        <w:wordWrap/>
        <w:overflowPunct/>
        <w:topLinePunct w:val="0"/>
        <w:autoSpaceDE/>
        <w:autoSpaceDN/>
        <w:bidi w:val="0"/>
        <w:adjustRightInd/>
        <w:snapToGrid/>
        <w:spacing w:line="580" w:lineRule="exact"/>
        <w:ind w:firstLine="560" w:firstLineChars="200"/>
        <w:textAlignment w:val="auto"/>
        <w:outlineLvl w:val="9"/>
        <w:rPr>
          <w:b w:val="0"/>
          <w:bCs w:val="0"/>
        </w:rPr>
      </w:pPr>
      <w:r>
        <w:rPr>
          <w:rFonts w:hint="eastAsia" w:ascii="仿宋_GB2312" w:hAnsi="仿宋_GB2312" w:eastAsia="仿宋_GB2312" w:cs="仿宋_GB2312"/>
          <w:b w:val="0"/>
          <w:bCs w:val="0"/>
          <w:sz w:val="28"/>
          <w:szCs w:val="28"/>
        </w:rPr>
        <w:t>负责建立健全本区生态环境基本制度</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rPr>
        <w:t>负责本区重大生态环境问题的统筹协调和监督管理</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rPr>
        <w:t>负责监督管理本区污染减排目标的落实。参与提出生态环境项目财政性资金安排的意见，配合有关部门做好组织实施和监督工作</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rPr>
        <w:t>负责本区环境污染防治的监督管理。指导协调和监督本区生态保护修复工作</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rPr>
        <w:t>负责本区辐射安全的监督管理</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rPr>
        <w:t>负责本区生态环境准入的监督管理</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rPr>
        <w:t>负责本区生态环境监测相关工作</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rPr>
        <w:t>组织本区开展应对气候变化工作</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rPr>
        <w:t>组织开展本区生态环境保护督</w:t>
      </w:r>
      <w:r>
        <w:rPr>
          <w:rFonts w:hint="eastAsia" w:ascii="仿宋_GB2312" w:hAnsi="仿宋_GB2312" w:eastAsia="仿宋_GB2312" w:cs="仿宋_GB2312"/>
          <w:b w:val="0"/>
          <w:bCs w:val="0"/>
          <w:sz w:val="28"/>
          <w:szCs w:val="28"/>
          <w:lang w:eastAsia="zh-CN"/>
        </w:rPr>
        <w:t>查</w:t>
      </w:r>
      <w:r>
        <w:rPr>
          <w:rFonts w:hint="eastAsia" w:ascii="仿宋_GB2312" w:hAnsi="仿宋_GB2312" w:eastAsia="仿宋_GB2312" w:cs="仿宋_GB2312"/>
          <w:b w:val="0"/>
          <w:bCs w:val="0"/>
          <w:sz w:val="28"/>
          <w:szCs w:val="28"/>
        </w:rPr>
        <w:t>工作</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rPr>
        <w:t>组织指导和协调本区生态环境宣传教育工作。负责组织开展生态环境监督执法</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rPr>
        <w:t>负责指导、监督检查各乡镇、街道生态环境工作</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rPr>
        <w:t>完成区委、区政府交办的其他任务。</w:t>
      </w:r>
    </w:p>
    <w:p>
      <w:pPr>
        <w:numPr>
          <w:ilvl w:val="0"/>
          <w:numId w:val="1"/>
        </w:num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机构</w:t>
      </w:r>
      <w:r>
        <w:rPr>
          <w:rFonts w:ascii="仿宋_GB2312" w:eastAsia="仿宋_GB2312"/>
          <w:sz w:val="28"/>
          <w:szCs w:val="28"/>
        </w:rPr>
        <w:t>设置</w:t>
      </w:r>
      <w:r>
        <w:rPr>
          <w:rFonts w:hint="eastAsia" w:ascii="仿宋_GB2312" w:eastAsia="仿宋_GB2312"/>
          <w:sz w:val="28"/>
          <w:szCs w:val="28"/>
        </w:rPr>
        <w:t>情况</w:t>
      </w:r>
    </w:p>
    <w:p>
      <w:pPr>
        <w:keepNext/>
        <w:keepLines/>
        <w:pageBreakBefore w:val="0"/>
        <w:widowControl w:val="0"/>
        <w:numPr>
          <w:ilvl w:val="0"/>
          <w:numId w:val="0"/>
        </w:numPr>
        <w:kinsoku/>
        <w:wordWrap/>
        <w:overflowPunct/>
        <w:topLinePunct w:val="0"/>
        <w:autoSpaceDE/>
        <w:autoSpaceDN/>
        <w:bidi w:val="0"/>
        <w:adjustRightInd/>
        <w:snapToGrid/>
        <w:spacing w:line="580" w:lineRule="exact"/>
        <w:ind w:firstLine="560" w:firstLineChars="200"/>
        <w:textAlignment w:val="auto"/>
        <w:outlineLvl w:val="9"/>
        <w:rPr>
          <w:b w:val="0"/>
          <w:bCs w:val="0"/>
        </w:rPr>
      </w:pPr>
      <w:r>
        <w:rPr>
          <w:rFonts w:hint="eastAsia" w:ascii="仿宋_GB2312" w:hAnsi="仿宋_GB2312" w:eastAsia="仿宋_GB2312" w:cs="仿宋_GB2312"/>
          <w:b w:val="0"/>
          <w:bCs w:val="0"/>
          <w:sz w:val="28"/>
          <w:szCs w:val="28"/>
        </w:rPr>
        <w:t>本部门共设</w:t>
      </w:r>
      <w:r>
        <w:rPr>
          <w:rFonts w:hint="eastAsia" w:ascii="仿宋_GB2312" w:hAnsi="仿宋_GB2312" w:eastAsia="仿宋_GB2312" w:cs="仿宋_GB2312"/>
          <w:b w:val="0"/>
          <w:bCs w:val="0"/>
          <w:sz w:val="28"/>
          <w:szCs w:val="28"/>
          <w:lang w:val="en-US" w:eastAsia="zh-CN"/>
        </w:rPr>
        <w:t>5</w:t>
      </w:r>
      <w:r>
        <w:rPr>
          <w:rFonts w:hint="eastAsia" w:ascii="仿宋_GB2312" w:hAnsi="仿宋_GB2312" w:eastAsia="仿宋_GB2312" w:cs="仿宋_GB2312"/>
          <w:b w:val="0"/>
          <w:bCs w:val="0"/>
          <w:sz w:val="28"/>
          <w:szCs w:val="28"/>
        </w:rPr>
        <w:t>个内设机构，下设</w:t>
      </w:r>
      <w:r>
        <w:rPr>
          <w:rFonts w:hint="eastAsia" w:ascii="仿宋_GB2312" w:hAnsi="仿宋_GB2312" w:eastAsia="仿宋_GB2312" w:cs="仿宋_GB2312"/>
          <w:b w:val="0"/>
          <w:bCs w:val="0"/>
          <w:sz w:val="28"/>
          <w:szCs w:val="28"/>
          <w:lang w:val="en-US" w:eastAsia="zh-CN"/>
        </w:rPr>
        <w:t>2</w:t>
      </w:r>
      <w:r>
        <w:rPr>
          <w:rFonts w:hint="eastAsia" w:ascii="仿宋_GB2312" w:hAnsi="仿宋_GB2312" w:eastAsia="仿宋_GB2312" w:cs="仿宋_GB2312"/>
          <w:b w:val="0"/>
          <w:bCs w:val="0"/>
          <w:sz w:val="28"/>
          <w:szCs w:val="28"/>
        </w:rPr>
        <w:t>个事业单位</w:t>
      </w:r>
      <w:r>
        <w:rPr>
          <w:rFonts w:hint="eastAsia" w:ascii="仿宋_GB2312" w:hAnsi="仿宋_GB2312" w:eastAsia="仿宋_GB2312" w:cs="仿宋_GB2312"/>
          <w:b w:val="0"/>
          <w:bCs w:val="0"/>
          <w:sz w:val="28"/>
          <w:szCs w:val="28"/>
          <w:lang w:eastAsia="zh-CN"/>
        </w:rPr>
        <w:t>，即北京市门头沟区生态环境监测站、北京市门头沟区生态环境事务中心；</w:t>
      </w:r>
      <w:r>
        <w:rPr>
          <w:rFonts w:hint="eastAsia" w:ascii="仿宋_GB2312" w:hAnsi="仿宋_GB2312" w:eastAsia="仿宋_GB2312" w:cs="仿宋_GB2312"/>
          <w:b w:val="0"/>
          <w:bCs w:val="0"/>
          <w:sz w:val="28"/>
          <w:szCs w:val="28"/>
        </w:rPr>
        <w:t>1个行政执法单位</w:t>
      </w:r>
      <w:r>
        <w:rPr>
          <w:rFonts w:hint="eastAsia" w:ascii="仿宋_GB2312" w:hAnsi="仿宋_GB2312" w:eastAsia="仿宋_GB2312" w:cs="仿宋_GB2312"/>
          <w:b w:val="0"/>
          <w:bCs w:val="0"/>
          <w:sz w:val="28"/>
          <w:szCs w:val="28"/>
          <w:lang w:eastAsia="zh-CN"/>
        </w:rPr>
        <w:t>，即北京市门头沟区生态环境综合执法大队</w:t>
      </w:r>
      <w:r>
        <w:rPr>
          <w:rFonts w:hint="eastAsia" w:ascii="仿宋_GB2312" w:hAnsi="仿宋_GB2312" w:eastAsia="仿宋_GB2312" w:cs="仿宋_GB2312"/>
          <w:b w:val="0"/>
          <w:bCs w:val="0"/>
          <w:sz w:val="28"/>
          <w:szCs w:val="28"/>
        </w:rPr>
        <w:t>。</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78</w:t>
      </w:r>
      <w:r>
        <w:rPr>
          <w:rFonts w:hint="eastAsia" w:ascii="仿宋_GB2312" w:eastAsia="仿宋_GB2312"/>
          <w:sz w:val="28"/>
          <w:szCs w:val="28"/>
          <w:lang w:val="en-US" w:eastAsia="zh-CN"/>
        </w:rPr>
        <w:t>,</w:t>
      </w:r>
      <w:r>
        <w:rPr>
          <w:rFonts w:ascii="仿宋_GB2312" w:eastAsia="仿宋_GB2312"/>
          <w:sz w:val="28"/>
          <w:szCs w:val="28"/>
        </w:rPr>
        <w:t>249</w:t>
      </w:r>
      <w:r>
        <w:rPr>
          <w:rFonts w:hint="eastAsia" w:ascii="仿宋_GB2312" w:eastAsia="仿宋_GB2312"/>
          <w:sz w:val="28"/>
          <w:szCs w:val="28"/>
          <w:lang w:val="en-US" w:eastAsia="zh-CN"/>
        </w:rPr>
        <w:t>,</w:t>
      </w:r>
      <w:r>
        <w:rPr>
          <w:rFonts w:ascii="仿宋_GB2312" w:eastAsia="仿宋_GB2312"/>
          <w:sz w:val="28"/>
          <w:szCs w:val="28"/>
        </w:rPr>
        <w:t>313.38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4,001,459.64</w:t>
      </w:r>
      <w:r>
        <w:rPr>
          <w:rFonts w:hint="eastAsia" w:ascii="仿宋_GB2312" w:eastAsia="仿宋_GB2312"/>
          <w:sz w:val="28"/>
          <w:szCs w:val="28"/>
        </w:rPr>
        <w:t>元，下降</w:t>
      </w:r>
      <w:r>
        <w:rPr>
          <w:rFonts w:hint="eastAsia" w:ascii="仿宋_GB2312" w:eastAsia="仿宋_GB2312"/>
          <w:sz w:val="28"/>
          <w:szCs w:val="28"/>
          <w:lang w:val="en-US" w:eastAsia="zh-CN"/>
        </w:rPr>
        <w:t>4.9</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78</w:t>
      </w:r>
      <w:r>
        <w:rPr>
          <w:rFonts w:hint="eastAsia" w:ascii="仿宋_GB2312" w:eastAsia="仿宋_GB2312"/>
          <w:sz w:val="28"/>
          <w:szCs w:val="28"/>
          <w:lang w:val="en-US" w:eastAsia="zh-CN"/>
        </w:rPr>
        <w:t>,</w:t>
      </w:r>
      <w:r>
        <w:rPr>
          <w:rFonts w:ascii="仿宋_GB2312" w:eastAsia="仿宋_GB2312"/>
          <w:sz w:val="28"/>
          <w:szCs w:val="28"/>
        </w:rPr>
        <w:t>249</w:t>
      </w:r>
      <w:r>
        <w:rPr>
          <w:rFonts w:hint="eastAsia" w:ascii="仿宋_GB2312" w:eastAsia="仿宋_GB2312"/>
          <w:sz w:val="28"/>
          <w:szCs w:val="28"/>
          <w:lang w:val="en-US" w:eastAsia="zh-CN"/>
        </w:rPr>
        <w:t>,</w:t>
      </w:r>
      <w:r>
        <w:rPr>
          <w:rFonts w:ascii="仿宋_GB2312" w:eastAsia="仿宋_GB2312"/>
          <w:sz w:val="28"/>
          <w:szCs w:val="28"/>
        </w:rPr>
        <w:t>313.38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2,506,459.64</w:t>
      </w:r>
      <w:r>
        <w:rPr>
          <w:rFonts w:hint="eastAsia" w:ascii="仿宋_GB2312" w:eastAsia="仿宋_GB2312"/>
          <w:sz w:val="28"/>
          <w:szCs w:val="28"/>
        </w:rPr>
        <w:t>元，下降</w:t>
      </w:r>
      <w:r>
        <w:rPr>
          <w:rFonts w:hint="eastAsia" w:ascii="仿宋_GB2312" w:eastAsia="仿宋_GB2312"/>
          <w:sz w:val="28"/>
          <w:szCs w:val="28"/>
          <w:lang w:val="en-US" w:eastAsia="zh-CN"/>
        </w:rPr>
        <w:t>3.1</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78</w:t>
      </w:r>
      <w:r>
        <w:rPr>
          <w:rFonts w:hint="eastAsia" w:ascii="仿宋_GB2312" w:eastAsia="仿宋_GB2312"/>
          <w:sz w:val="28"/>
          <w:szCs w:val="28"/>
          <w:lang w:val="en-US" w:eastAsia="zh-CN"/>
        </w:rPr>
        <w:t>,</w:t>
      </w:r>
      <w:r>
        <w:rPr>
          <w:rFonts w:ascii="仿宋_GB2312" w:eastAsia="仿宋_GB2312"/>
          <w:sz w:val="28"/>
          <w:szCs w:val="28"/>
        </w:rPr>
        <w:t>249</w:t>
      </w:r>
      <w:r>
        <w:rPr>
          <w:rFonts w:hint="eastAsia" w:ascii="仿宋_GB2312" w:eastAsia="仿宋_GB2312"/>
          <w:sz w:val="28"/>
          <w:szCs w:val="28"/>
          <w:lang w:val="en-US" w:eastAsia="zh-CN"/>
        </w:rPr>
        <w:t>,</w:t>
      </w:r>
      <w:r>
        <w:rPr>
          <w:rFonts w:ascii="仿宋_GB2312" w:eastAsia="仿宋_GB2312"/>
          <w:sz w:val="28"/>
          <w:szCs w:val="28"/>
        </w:rPr>
        <w:t>313.38</w:t>
      </w:r>
      <w:r>
        <w:rPr>
          <w:rFonts w:hint="eastAsia" w:ascii="仿宋_GB2312" w:eastAsia="仿宋_GB2312"/>
          <w:sz w:val="28"/>
          <w:szCs w:val="28"/>
        </w:rPr>
        <w:t>元，占收入合计的100%。其中：一般公共预算财政拨款收入</w:t>
      </w:r>
      <w:r>
        <w:rPr>
          <w:rFonts w:ascii="仿宋_GB2312" w:eastAsia="仿宋_GB2312"/>
          <w:sz w:val="28"/>
          <w:szCs w:val="28"/>
        </w:rPr>
        <w:t>78</w:t>
      </w:r>
      <w:r>
        <w:rPr>
          <w:rFonts w:hint="eastAsia" w:ascii="仿宋_GB2312" w:eastAsia="仿宋_GB2312"/>
          <w:sz w:val="28"/>
          <w:szCs w:val="28"/>
          <w:lang w:val="en-US" w:eastAsia="zh-CN"/>
        </w:rPr>
        <w:t>,</w:t>
      </w:r>
      <w:r>
        <w:rPr>
          <w:rFonts w:ascii="仿宋_GB2312" w:eastAsia="仿宋_GB2312"/>
          <w:sz w:val="28"/>
          <w:szCs w:val="28"/>
        </w:rPr>
        <w:t>249</w:t>
      </w:r>
      <w:r>
        <w:rPr>
          <w:rFonts w:hint="eastAsia" w:ascii="仿宋_GB2312" w:eastAsia="仿宋_GB2312"/>
          <w:sz w:val="28"/>
          <w:szCs w:val="28"/>
          <w:lang w:val="en-US" w:eastAsia="zh-CN"/>
        </w:rPr>
        <w:t>,</w:t>
      </w:r>
      <w:r>
        <w:rPr>
          <w:rFonts w:ascii="仿宋_GB2312" w:eastAsia="仿宋_GB2312"/>
          <w:sz w:val="28"/>
          <w:szCs w:val="28"/>
        </w:rPr>
        <w:t>313.38</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pPr>
        <w:pStyle w:val="4"/>
        <w:jc w:val="center"/>
      </w:pPr>
      <w:r>
        <w:rPr>
          <w:rFonts w:hint="eastAsia" w:ascii="仿宋_GB2312" w:eastAsia="仿宋_GB2312"/>
          <w:color w:val="000000"/>
          <w:sz w:val="32"/>
        </w:rPr>
        <w:t>图1：收入决算</w:t>
      </w:r>
    </w:p>
    <w:p>
      <w:pPr>
        <w:pStyle w:val="5"/>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78</w:t>
      </w:r>
      <w:r>
        <w:rPr>
          <w:rFonts w:hint="eastAsia" w:ascii="仿宋_GB2312" w:eastAsia="仿宋_GB2312"/>
          <w:sz w:val="28"/>
          <w:szCs w:val="28"/>
          <w:lang w:val="en-US" w:eastAsia="zh-CN"/>
        </w:rPr>
        <w:t>,</w:t>
      </w:r>
      <w:r>
        <w:rPr>
          <w:rFonts w:ascii="仿宋_GB2312" w:eastAsia="仿宋_GB2312"/>
          <w:sz w:val="28"/>
          <w:szCs w:val="28"/>
        </w:rPr>
        <w:t>249</w:t>
      </w:r>
      <w:r>
        <w:rPr>
          <w:rFonts w:hint="eastAsia" w:ascii="仿宋_GB2312" w:eastAsia="仿宋_GB2312"/>
          <w:sz w:val="28"/>
          <w:szCs w:val="28"/>
          <w:lang w:val="en-US" w:eastAsia="zh-CN"/>
        </w:rPr>
        <w:t>,</w:t>
      </w:r>
      <w:r>
        <w:rPr>
          <w:rFonts w:ascii="仿宋_GB2312" w:eastAsia="仿宋_GB2312"/>
          <w:sz w:val="28"/>
          <w:szCs w:val="28"/>
        </w:rPr>
        <w:t>313.38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4,001,459.64</w:t>
      </w:r>
      <w:r>
        <w:rPr>
          <w:rFonts w:hint="eastAsia" w:ascii="仿宋_GB2312" w:eastAsia="仿宋_GB2312"/>
          <w:sz w:val="28"/>
          <w:szCs w:val="28"/>
        </w:rPr>
        <w:t>元，下降</w:t>
      </w:r>
      <w:r>
        <w:rPr>
          <w:rFonts w:hint="eastAsia" w:ascii="仿宋_GB2312" w:eastAsia="仿宋_GB2312"/>
          <w:sz w:val="28"/>
          <w:szCs w:val="28"/>
          <w:lang w:val="en-US" w:eastAsia="zh-CN"/>
        </w:rPr>
        <w:t>4.9</w:t>
      </w:r>
      <w:r>
        <w:rPr>
          <w:rFonts w:hint="eastAsia" w:ascii="仿宋_GB2312" w:eastAsia="仿宋_GB2312"/>
          <w:sz w:val="28"/>
          <w:szCs w:val="28"/>
        </w:rPr>
        <w:t>%，其中：基本支出</w:t>
      </w:r>
      <w:r>
        <w:rPr>
          <w:rFonts w:ascii="仿宋_GB2312" w:eastAsia="仿宋_GB2312"/>
          <w:sz w:val="28"/>
          <w:szCs w:val="28"/>
        </w:rPr>
        <w:t>36</w:t>
      </w:r>
      <w:r>
        <w:rPr>
          <w:rFonts w:hint="eastAsia" w:ascii="仿宋_GB2312" w:eastAsia="仿宋_GB2312"/>
          <w:sz w:val="28"/>
          <w:szCs w:val="28"/>
          <w:lang w:val="en-US" w:eastAsia="zh-CN"/>
        </w:rPr>
        <w:t>,</w:t>
      </w:r>
      <w:r>
        <w:rPr>
          <w:rFonts w:ascii="仿宋_GB2312" w:eastAsia="仿宋_GB2312"/>
          <w:sz w:val="28"/>
          <w:szCs w:val="28"/>
        </w:rPr>
        <w:t>523</w:t>
      </w:r>
      <w:r>
        <w:rPr>
          <w:rFonts w:hint="eastAsia" w:ascii="仿宋_GB2312" w:eastAsia="仿宋_GB2312"/>
          <w:sz w:val="28"/>
          <w:szCs w:val="28"/>
          <w:lang w:val="en-US" w:eastAsia="zh-CN"/>
        </w:rPr>
        <w:t>,</w:t>
      </w:r>
      <w:r>
        <w:rPr>
          <w:rFonts w:ascii="仿宋_GB2312" w:eastAsia="仿宋_GB2312"/>
          <w:sz w:val="28"/>
          <w:szCs w:val="28"/>
        </w:rPr>
        <w:t>655.8</w:t>
      </w:r>
      <w:r>
        <w:rPr>
          <w:rFonts w:hint="eastAsia" w:ascii="仿宋_GB2312" w:eastAsia="仿宋_GB2312"/>
          <w:sz w:val="28"/>
          <w:szCs w:val="28"/>
          <w:lang w:val="en-US" w:eastAsia="zh-CN"/>
        </w:rPr>
        <w:t>0</w:t>
      </w:r>
      <w:r>
        <w:rPr>
          <w:rFonts w:hint="eastAsia" w:ascii="仿宋_GB2312" w:eastAsia="仿宋_GB2312"/>
          <w:sz w:val="28"/>
          <w:szCs w:val="28"/>
        </w:rPr>
        <w:t>元，占支出合计的46.</w:t>
      </w:r>
      <w:r>
        <w:rPr>
          <w:rFonts w:hint="eastAsia" w:ascii="仿宋_GB2312" w:eastAsia="仿宋_GB2312"/>
          <w:sz w:val="28"/>
          <w:szCs w:val="28"/>
          <w:lang w:val="en-US" w:eastAsia="zh-CN"/>
        </w:rPr>
        <w:t>7</w:t>
      </w:r>
      <w:r>
        <w:rPr>
          <w:rFonts w:hint="eastAsia" w:ascii="仿宋_GB2312" w:eastAsia="仿宋_GB2312"/>
          <w:sz w:val="28"/>
          <w:szCs w:val="28"/>
        </w:rPr>
        <w:t>%；项目支出</w:t>
      </w:r>
      <w:r>
        <w:rPr>
          <w:rFonts w:ascii="仿宋_GB2312" w:eastAsia="仿宋_GB2312"/>
          <w:sz w:val="28"/>
          <w:szCs w:val="28"/>
        </w:rPr>
        <w:t>41</w:t>
      </w:r>
      <w:r>
        <w:rPr>
          <w:rFonts w:hint="eastAsia" w:ascii="仿宋_GB2312" w:eastAsia="仿宋_GB2312"/>
          <w:sz w:val="28"/>
          <w:szCs w:val="28"/>
          <w:lang w:val="en-US" w:eastAsia="zh-CN"/>
        </w:rPr>
        <w:t>,</w:t>
      </w:r>
      <w:r>
        <w:rPr>
          <w:rFonts w:ascii="仿宋_GB2312" w:eastAsia="仿宋_GB2312"/>
          <w:sz w:val="28"/>
          <w:szCs w:val="28"/>
        </w:rPr>
        <w:t>725</w:t>
      </w:r>
      <w:r>
        <w:rPr>
          <w:rFonts w:hint="eastAsia" w:ascii="仿宋_GB2312" w:eastAsia="仿宋_GB2312"/>
          <w:sz w:val="28"/>
          <w:szCs w:val="28"/>
          <w:lang w:val="en-US" w:eastAsia="zh-CN"/>
        </w:rPr>
        <w:t>,</w:t>
      </w:r>
      <w:r>
        <w:rPr>
          <w:rFonts w:ascii="仿宋_GB2312" w:eastAsia="仿宋_GB2312"/>
          <w:sz w:val="28"/>
          <w:szCs w:val="28"/>
        </w:rPr>
        <w:t>657.58</w:t>
      </w:r>
      <w:r>
        <w:rPr>
          <w:rFonts w:hint="eastAsia" w:ascii="仿宋_GB2312" w:eastAsia="仿宋_GB2312"/>
          <w:sz w:val="28"/>
          <w:szCs w:val="28"/>
        </w:rPr>
        <w:t>元，占支出合计的53.3%;上缴上级支出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pPr>
        <w:pStyle w:val="4"/>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78</w:t>
      </w:r>
      <w:r>
        <w:rPr>
          <w:rFonts w:hint="eastAsia" w:ascii="仿宋_GB2312" w:eastAsia="仿宋_GB2312"/>
          <w:sz w:val="28"/>
          <w:szCs w:val="28"/>
          <w:lang w:val="en-US" w:eastAsia="zh-CN"/>
        </w:rPr>
        <w:t>,</w:t>
      </w:r>
      <w:r>
        <w:rPr>
          <w:rFonts w:ascii="仿宋_GB2312" w:eastAsia="仿宋_GB2312"/>
          <w:sz w:val="28"/>
          <w:szCs w:val="28"/>
        </w:rPr>
        <w:t>249</w:t>
      </w:r>
      <w:r>
        <w:rPr>
          <w:rFonts w:hint="eastAsia" w:ascii="仿宋_GB2312" w:eastAsia="仿宋_GB2312"/>
          <w:sz w:val="28"/>
          <w:szCs w:val="28"/>
          <w:lang w:val="en-US" w:eastAsia="zh-CN"/>
        </w:rPr>
        <w:t>,</w:t>
      </w:r>
      <w:r>
        <w:rPr>
          <w:rFonts w:ascii="仿宋_GB2312" w:eastAsia="仿宋_GB2312"/>
          <w:sz w:val="28"/>
          <w:szCs w:val="28"/>
        </w:rPr>
        <w:t>313.38</w:t>
      </w:r>
      <w:r>
        <w:rPr>
          <w:rFonts w:hint="eastAsia" w:ascii="仿宋_GB2312" w:eastAsia="仿宋_GB2312"/>
          <w:sz w:val="28"/>
          <w:szCs w:val="28"/>
        </w:rPr>
        <w:t>元，比上年减少</w:t>
      </w:r>
      <w:r>
        <w:rPr>
          <w:rFonts w:hint="eastAsia" w:ascii="仿宋_GB2312" w:eastAsia="仿宋_GB2312"/>
          <w:sz w:val="28"/>
          <w:szCs w:val="28"/>
          <w:lang w:val="en-US" w:eastAsia="zh-CN"/>
        </w:rPr>
        <w:t>4,001,459.64</w:t>
      </w:r>
      <w:r>
        <w:rPr>
          <w:rFonts w:hint="eastAsia" w:ascii="仿宋_GB2312" w:eastAsia="仿宋_GB2312"/>
          <w:sz w:val="28"/>
          <w:szCs w:val="28"/>
        </w:rPr>
        <w:t>元，下降</w:t>
      </w:r>
      <w:r>
        <w:rPr>
          <w:rFonts w:hint="eastAsia" w:ascii="仿宋_GB2312" w:eastAsia="仿宋_GB2312"/>
          <w:sz w:val="28"/>
          <w:szCs w:val="28"/>
          <w:lang w:val="en-US" w:eastAsia="zh-CN"/>
        </w:rPr>
        <w:t>4.9</w:t>
      </w:r>
      <w:r>
        <w:rPr>
          <w:rFonts w:hint="eastAsia" w:ascii="仿宋_GB2312" w:eastAsia="仿宋_GB2312"/>
          <w:sz w:val="28"/>
          <w:szCs w:val="28"/>
        </w:rPr>
        <w:t>%。主要原因：</w:t>
      </w:r>
      <w:r>
        <w:rPr>
          <w:rFonts w:hint="eastAsia" w:ascii="仿宋_GB2312" w:eastAsia="仿宋_GB2312"/>
          <w:sz w:val="28"/>
          <w:szCs w:val="28"/>
          <w:lang w:val="en-US" w:eastAsia="zh-CN"/>
        </w:rPr>
        <w:t>项目经费减少</w:t>
      </w:r>
      <w:r>
        <w:rPr>
          <w:rFonts w:hint="eastAsia" w:ascii="仿宋_GB2312" w:eastAsia="仿宋_GB2312"/>
          <w:sz w:val="28"/>
          <w:szCs w:val="28"/>
        </w:rPr>
        <w:t>。</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78</w:t>
      </w:r>
      <w:r>
        <w:rPr>
          <w:rFonts w:hint="eastAsia" w:ascii="仿宋_GB2312" w:eastAsia="仿宋_GB2312"/>
          <w:sz w:val="28"/>
          <w:szCs w:val="28"/>
          <w:lang w:val="en-US" w:eastAsia="zh-CN"/>
        </w:rPr>
        <w:t>,</w:t>
      </w:r>
      <w:r>
        <w:rPr>
          <w:rFonts w:ascii="仿宋_GB2312" w:eastAsia="仿宋_GB2312"/>
          <w:sz w:val="28"/>
          <w:szCs w:val="28"/>
        </w:rPr>
        <w:t>249</w:t>
      </w:r>
      <w:r>
        <w:rPr>
          <w:rFonts w:hint="eastAsia" w:ascii="仿宋_GB2312" w:eastAsia="仿宋_GB2312"/>
          <w:sz w:val="28"/>
          <w:szCs w:val="28"/>
          <w:lang w:val="en-US" w:eastAsia="zh-CN"/>
        </w:rPr>
        <w:t>,</w:t>
      </w:r>
      <w:r>
        <w:rPr>
          <w:rFonts w:ascii="仿宋_GB2312" w:eastAsia="仿宋_GB2312"/>
          <w:sz w:val="28"/>
          <w:szCs w:val="28"/>
        </w:rPr>
        <w:t>313.38</w:t>
      </w:r>
      <w:r>
        <w:rPr>
          <w:rFonts w:hint="eastAsia" w:ascii="仿宋_GB2312" w:eastAsia="仿宋_GB2312"/>
          <w:sz w:val="28"/>
          <w:szCs w:val="28"/>
        </w:rPr>
        <w:t>元，主要用于以下方面（按大类）：</w:t>
      </w:r>
      <w:bookmarkStart w:id="0" w:name="OLE_LINK1"/>
      <w:r>
        <w:rPr>
          <w:rFonts w:hint="eastAsia" w:ascii="仿宋_GB2312" w:eastAsia="仿宋_GB2312"/>
          <w:sz w:val="28"/>
          <w:szCs w:val="28"/>
          <w:lang w:eastAsia="zh-CN"/>
        </w:rPr>
        <w:t>社会保障和就业支出</w:t>
      </w:r>
      <w:bookmarkEnd w:id="0"/>
      <w:r>
        <w:rPr>
          <w:rFonts w:hint="eastAsia" w:ascii="仿宋_GB2312" w:eastAsia="仿宋_GB2312"/>
          <w:sz w:val="28"/>
          <w:szCs w:val="28"/>
          <w:lang w:val="en-US" w:eastAsia="zh-CN"/>
        </w:rPr>
        <w:t>249,000</w:t>
      </w:r>
      <w:r>
        <w:rPr>
          <w:rFonts w:hint="eastAsia" w:ascii="仿宋_GB2312" w:eastAsia="仿宋_GB2312"/>
          <w:sz w:val="28"/>
          <w:szCs w:val="28"/>
        </w:rPr>
        <w:t>元，占本年财政拨款支出</w:t>
      </w:r>
      <w:r>
        <w:rPr>
          <w:rFonts w:hint="eastAsia" w:ascii="仿宋_GB2312" w:eastAsia="仿宋_GB2312"/>
          <w:sz w:val="28"/>
          <w:szCs w:val="28"/>
          <w:lang w:val="en-US" w:eastAsia="zh-CN"/>
        </w:rPr>
        <w:t>0.3</w:t>
      </w:r>
      <w:r>
        <w:rPr>
          <w:rFonts w:hint="eastAsia" w:ascii="仿宋_GB2312" w:eastAsia="仿宋_GB2312"/>
          <w:sz w:val="28"/>
          <w:szCs w:val="28"/>
        </w:rPr>
        <w:t>%；</w:t>
      </w:r>
      <w:r>
        <w:rPr>
          <w:rFonts w:hint="eastAsia" w:ascii="仿宋_GB2312" w:eastAsia="仿宋_GB2312"/>
          <w:sz w:val="28"/>
          <w:szCs w:val="28"/>
          <w:lang w:eastAsia="zh-CN"/>
        </w:rPr>
        <w:t>节能环保支出</w:t>
      </w:r>
      <w:r>
        <w:rPr>
          <w:rFonts w:hint="eastAsia" w:ascii="仿宋_GB2312" w:eastAsia="仿宋_GB2312"/>
          <w:sz w:val="28"/>
          <w:szCs w:val="28"/>
          <w:lang w:val="en-US" w:eastAsia="zh-CN"/>
        </w:rPr>
        <w:t>77,985,720.88元，占本年财政拨款支出99.7%；资源勘探工业信息等支出14,592.50元，占本年财政拨款支出0.02%</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1、“</w:t>
      </w:r>
      <w:r>
        <w:rPr>
          <w:rFonts w:hint="eastAsia" w:ascii="仿宋_GB2312" w:eastAsia="仿宋_GB2312"/>
          <w:sz w:val="28"/>
          <w:szCs w:val="28"/>
          <w:lang w:eastAsia="zh-CN"/>
        </w:rPr>
        <w:t>社会保障和就业支出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210,012</w:t>
      </w:r>
      <w:r>
        <w:rPr>
          <w:rFonts w:hint="eastAsia" w:ascii="仿宋_GB2312" w:eastAsia="仿宋_GB2312"/>
          <w:sz w:val="28"/>
          <w:szCs w:val="28"/>
        </w:rPr>
        <w:t>元，2025年度决算</w:t>
      </w:r>
      <w:r>
        <w:rPr>
          <w:rFonts w:hint="eastAsia" w:ascii="仿宋_GB2312" w:eastAsia="仿宋_GB2312"/>
          <w:sz w:val="28"/>
          <w:szCs w:val="28"/>
          <w:lang w:val="en-US" w:eastAsia="zh-CN"/>
        </w:rPr>
        <w:t>249,000</w:t>
      </w:r>
      <w:r>
        <w:rPr>
          <w:rFonts w:hint="eastAsia" w:ascii="仿宋_GB2312" w:eastAsia="仿宋_GB2312"/>
          <w:sz w:val="28"/>
          <w:szCs w:val="28"/>
        </w:rPr>
        <w:t>元，完成年初预算的</w:t>
      </w:r>
      <w:r>
        <w:rPr>
          <w:rFonts w:hint="eastAsia" w:ascii="仿宋_GB2312" w:eastAsia="仿宋_GB2312"/>
          <w:sz w:val="28"/>
          <w:szCs w:val="28"/>
          <w:lang w:val="en-US" w:eastAsia="zh-CN"/>
        </w:rPr>
        <w:t>118.6</w:t>
      </w:r>
      <w:r>
        <w:rPr>
          <w:rFonts w:hint="eastAsia" w:ascii="仿宋_GB2312" w:eastAsia="仿宋_GB2312"/>
          <w:sz w:val="28"/>
          <w:szCs w:val="28"/>
        </w:rPr>
        <w:t>%。</w:t>
      </w:r>
    </w:p>
    <w:p>
      <w:pPr>
        <w:autoSpaceDE w:val="0"/>
        <w:autoSpaceDN w:val="0"/>
        <w:adjustRightInd w:val="0"/>
        <w:spacing w:line="580" w:lineRule="exact"/>
        <w:jc w:val="left"/>
        <w:rPr>
          <w:rFonts w:ascii="仿宋_GB2312" w:eastAsia="仿宋_GB2312"/>
          <w:sz w:val="28"/>
          <w:szCs w:val="28"/>
        </w:rPr>
      </w:pPr>
      <w:r>
        <w:rPr>
          <w:rFonts w:hint="eastAsia" w:ascii="仿宋_GB2312" w:eastAsia="仿宋_GB2312"/>
          <w:sz w:val="28"/>
          <w:szCs w:val="28"/>
        </w:rPr>
        <w:t>其中：</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行政事业单位养老支出</w:t>
      </w:r>
      <w:r>
        <w:rPr>
          <w:rFonts w:hint="eastAsia" w:ascii="仿宋_GB2312" w:eastAsia="仿宋_GB2312"/>
          <w:sz w:val="28"/>
          <w:szCs w:val="28"/>
        </w:rPr>
        <w:t>”（款，下同）2025年度年初预算</w:t>
      </w:r>
      <w:r>
        <w:rPr>
          <w:rFonts w:hint="eastAsia" w:ascii="仿宋_GB2312" w:eastAsia="仿宋_GB2312"/>
          <w:sz w:val="28"/>
          <w:szCs w:val="28"/>
          <w:lang w:val="en-US" w:eastAsia="zh-CN"/>
        </w:rPr>
        <w:t>210,012</w:t>
      </w:r>
      <w:r>
        <w:rPr>
          <w:rFonts w:hint="eastAsia" w:ascii="仿宋_GB2312" w:eastAsia="仿宋_GB2312"/>
          <w:sz w:val="28"/>
          <w:szCs w:val="28"/>
        </w:rPr>
        <w:t>元，2025年度决算</w:t>
      </w:r>
      <w:r>
        <w:rPr>
          <w:rFonts w:hint="eastAsia" w:ascii="仿宋_GB2312" w:eastAsia="仿宋_GB2312"/>
          <w:sz w:val="28"/>
          <w:szCs w:val="28"/>
          <w:lang w:val="en-US" w:eastAsia="zh-CN"/>
        </w:rPr>
        <w:t>249,000</w:t>
      </w:r>
      <w:r>
        <w:rPr>
          <w:rFonts w:hint="eastAsia" w:ascii="仿宋_GB2312" w:eastAsia="仿宋_GB2312"/>
          <w:sz w:val="28"/>
          <w:szCs w:val="28"/>
        </w:rPr>
        <w:t>元，完成年初预算的</w:t>
      </w:r>
      <w:r>
        <w:rPr>
          <w:rFonts w:hint="eastAsia" w:ascii="仿宋_GB2312" w:eastAsia="仿宋_GB2312"/>
          <w:sz w:val="28"/>
          <w:szCs w:val="28"/>
          <w:lang w:val="en-US" w:eastAsia="zh-CN"/>
        </w:rPr>
        <w:t>118.6</w:t>
      </w:r>
      <w:r>
        <w:rPr>
          <w:rFonts w:hint="eastAsia" w:ascii="仿宋_GB2312" w:eastAsia="仿宋_GB2312"/>
          <w:sz w:val="28"/>
          <w:szCs w:val="28"/>
        </w:rPr>
        <w:t>%。主要原因：</w:t>
      </w:r>
      <w:r>
        <w:rPr>
          <w:rFonts w:hint="eastAsia" w:ascii="仿宋_GB2312" w:eastAsia="仿宋_GB2312"/>
          <w:sz w:val="28"/>
          <w:szCs w:val="28"/>
          <w:lang w:eastAsia="zh-CN"/>
        </w:rPr>
        <w:t>退休人员变动</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2、“</w:t>
      </w:r>
      <w:r>
        <w:rPr>
          <w:rFonts w:hint="eastAsia" w:ascii="仿宋_GB2312" w:eastAsia="仿宋_GB2312"/>
          <w:sz w:val="28"/>
          <w:szCs w:val="28"/>
          <w:lang w:eastAsia="zh-CN"/>
        </w:rPr>
        <w:t>节能环保支出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168,686,463.94</w:t>
      </w:r>
      <w:r>
        <w:rPr>
          <w:rFonts w:hint="eastAsia" w:ascii="仿宋_GB2312" w:eastAsia="仿宋_GB2312"/>
          <w:sz w:val="28"/>
          <w:szCs w:val="28"/>
        </w:rPr>
        <w:t>元，2025年度决算</w:t>
      </w:r>
      <w:r>
        <w:rPr>
          <w:rFonts w:hint="eastAsia" w:ascii="仿宋_GB2312" w:eastAsia="仿宋_GB2312"/>
          <w:sz w:val="28"/>
          <w:szCs w:val="28"/>
          <w:lang w:val="en-US" w:eastAsia="zh-CN"/>
        </w:rPr>
        <w:t>77,985,720.88</w:t>
      </w:r>
      <w:r>
        <w:rPr>
          <w:rFonts w:hint="eastAsia" w:ascii="仿宋_GB2312" w:eastAsia="仿宋_GB2312"/>
          <w:sz w:val="28"/>
          <w:szCs w:val="28"/>
        </w:rPr>
        <w:t>元，完成年初预算的</w:t>
      </w:r>
      <w:r>
        <w:rPr>
          <w:rFonts w:hint="eastAsia" w:ascii="仿宋_GB2312" w:eastAsia="仿宋_GB2312"/>
          <w:sz w:val="28"/>
          <w:szCs w:val="28"/>
          <w:lang w:val="en-US" w:eastAsia="zh-CN"/>
        </w:rPr>
        <w:t>46.2</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环境保护管理事务</w:t>
      </w:r>
      <w:r>
        <w:rPr>
          <w:rFonts w:hint="eastAsia" w:ascii="仿宋_GB2312" w:eastAsia="仿宋_GB2312"/>
          <w:sz w:val="28"/>
          <w:szCs w:val="28"/>
        </w:rPr>
        <w:t>”（款）2025年度年初预算</w:t>
      </w:r>
      <w:r>
        <w:rPr>
          <w:rFonts w:hint="eastAsia" w:ascii="仿宋_GB2312" w:eastAsia="仿宋_GB2312"/>
          <w:sz w:val="28"/>
          <w:szCs w:val="28"/>
          <w:lang w:val="en-US" w:eastAsia="zh-CN"/>
        </w:rPr>
        <w:t>125,151,392.49</w:t>
      </w:r>
      <w:r>
        <w:rPr>
          <w:rFonts w:hint="eastAsia" w:ascii="仿宋_GB2312" w:eastAsia="仿宋_GB2312"/>
          <w:sz w:val="28"/>
          <w:szCs w:val="28"/>
        </w:rPr>
        <w:t>元，2025年度决算</w:t>
      </w:r>
      <w:r>
        <w:rPr>
          <w:rFonts w:hint="eastAsia" w:ascii="仿宋_GB2312" w:eastAsia="仿宋_GB2312"/>
          <w:sz w:val="28"/>
          <w:szCs w:val="28"/>
          <w:lang w:val="en-US" w:eastAsia="zh-CN"/>
        </w:rPr>
        <w:t>30,884,319.40</w:t>
      </w:r>
      <w:r>
        <w:rPr>
          <w:rFonts w:hint="eastAsia" w:ascii="仿宋_GB2312" w:eastAsia="仿宋_GB2312"/>
          <w:sz w:val="28"/>
          <w:szCs w:val="28"/>
        </w:rPr>
        <w:t>元，完成年初预算的</w:t>
      </w:r>
      <w:r>
        <w:rPr>
          <w:rFonts w:hint="eastAsia" w:ascii="仿宋_GB2312" w:eastAsia="仿宋_GB2312"/>
          <w:sz w:val="28"/>
          <w:szCs w:val="28"/>
          <w:lang w:val="en-US" w:eastAsia="zh-CN"/>
        </w:rPr>
        <w:t>24.7</w:t>
      </w:r>
      <w:r>
        <w:rPr>
          <w:rFonts w:hint="eastAsia" w:ascii="仿宋_GB2312" w:eastAsia="仿宋_GB2312"/>
          <w:sz w:val="28"/>
          <w:szCs w:val="28"/>
        </w:rPr>
        <w:t>%。</w:t>
      </w:r>
      <w:r>
        <w:rPr>
          <w:rFonts w:hint="eastAsia" w:ascii="仿宋_GB2312" w:eastAsia="仿宋_GB2312"/>
          <w:color w:val="auto"/>
          <w:sz w:val="28"/>
          <w:szCs w:val="28"/>
        </w:rPr>
        <w:t>主要原因：</w:t>
      </w:r>
      <w:r>
        <w:rPr>
          <w:rFonts w:hint="eastAsia" w:ascii="仿宋_GB2312" w:eastAsia="仿宋_GB2312"/>
          <w:color w:val="auto"/>
          <w:sz w:val="28"/>
          <w:szCs w:val="28"/>
          <w:lang w:eastAsia="zh-CN"/>
        </w:rPr>
        <w:t>按照项目储备及成熟程度，调整至其他项目</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“环境监测与监察”（款）</w:t>
      </w:r>
      <w:r>
        <w:rPr>
          <w:rFonts w:hint="eastAsia" w:ascii="仿宋_GB2312" w:eastAsia="仿宋_GB2312"/>
          <w:sz w:val="28"/>
          <w:szCs w:val="28"/>
        </w:rPr>
        <w:t>2025年度年初预算</w:t>
      </w:r>
      <w:r>
        <w:rPr>
          <w:rFonts w:hint="eastAsia" w:ascii="仿宋_GB2312" w:eastAsia="仿宋_GB2312"/>
          <w:sz w:val="28"/>
          <w:szCs w:val="28"/>
          <w:lang w:val="en-US" w:eastAsia="zh-CN"/>
        </w:rPr>
        <w:t>7,701,654.50</w:t>
      </w:r>
      <w:r>
        <w:rPr>
          <w:rFonts w:hint="eastAsia" w:ascii="仿宋_GB2312" w:eastAsia="仿宋_GB2312"/>
          <w:sz w:val="28"/>
          <w:szCs w:val="28"/>
        </w:rPr>
        <w:t>元，2025年度决算</w:t>
      </w:r>
      <w:r>
        <w:rPr>
          <w:rFonts w:hint="eastAsia" w:ascii="仿宋_GB2312" w:eastAsia="仿宋_GB2312"/>
          <w:sz w:val="28"/>
          <w:szCs w:val="28"/>
          <w:lang w:val="en-US" w:eastAsia="zh-CN"/>
        </w:rPr>
        <w:t>7,886,938.05</w:t>
      </w:r>
      <w:r>
        <w:rPr>
          <w:rFonts w:hint="eastAsia" w:ascii="仿宋_GB2312" w:eastAsia="仿宋_GB2312"/>
          <w:sz w:val="28"/>
          <w:szCs w:val="28"/>
        </w:rPr>
        <w:t>元，完成年初预算的</w:t>
      </w:r>
      <w:r>
        <w:rPr>
          <w:rFonts w:hint="eastAsia" w:ascii="仿宋_GB2312" w:eastAsia="仿宋_GB2312"/>
          <w:sz w:val="28"/>
          <w:szCs w:val="28"/>
          <w:lang w:val="en-US" w:eastAsia="zh-CN"/>
        </w:rPr>
        <w:t>102.4</w:t>
      </w:r>
      <w:r>
        <w:rPr>
          <w:rFonts w:hint="eastAsia" w:ascii="仿宋_GB2312" w:eastAsia="仿宋_GB2312"/>
          <w:sz w:val="28"/>
          <w:szCs w:val="28"/>
        </w:rPr>
        <w:t>%。主要原因：</w:t>
      </w:r>
      <w:r>
        <w:rPr>
          <w:rFonts w:hint="eastAsia" w:ascii="仿宋_GB2312" w:eastAsia="仿宋_GB2312"/>
          <w:sz w:val="28"/>
          <w:szCs w:val="28"/>
          <w:lang w:eastAsia="zh-CN"/>
        </w:rPr>
        <w:t>项目经费增加</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“污染防治”（款）</w:t>
      </w:r>
      <w:r>
        <w:rPr>
          <w:rFonts w:hint="eastAsia" w:ascii="仿宋_GB2312" w:eastAsia="仿宋_GB2312"/>
          <w:sz w:val="28"/>
          <w:szCs w:val="28"/>
        </w:rPr>
        <w:t>2025年度年初预算</w:t>
      </w:r>
      <w:r>
        <w:rPr>
          <w:rFonts w:hint="eastAsia" w:ascii="仿宋_GB2312" w:eastAsia="仿宋_GB2312"/>
          <w:sz w:val="28"/>
          <w:szCs w:val="28"/>
          <w:lang w:val="en-US" w:eastAsia="zh-CN"/>
        </w:rPr>
        <w:t>17,437,792</w:t>
      </w:r>
      <w:r>
        <w:rPr>
          <w:rFonts w:hint="eastAsia" w:ascii="仿宋_GB2312" w:eastAsia="仿宋_GB2312"/>
          <w:sz w:val="28"/>
          <w:szCs w:val="28"/>
        </w:rPr>
        <w:t>元，2025年度决算</w:t>
      </w:r>
      <w:r>
        <w:rPr>
          <w:rFonts w:hint="eastAsia" w:ascii="仿宋_GB2312" w:eastAsia="仿宋_GB2312"/>
          <w:sz w:val="28"/>
          <w:szCs w:val="28"/>
          <w:lang w:val="en-US" w:eastAsia="zh-CN"/>
        </w:rPr>
        <w:t>20,111,387.09</w:t>
      </w:r>
      <w:r>
        <w:rPr>
          <w:rFonts w:hint="eastAsia" w:ascii="仿宋_GB2312" w:eastAsia="仿宋_GB2312"/>
          <w:sz w:val="28"/>
          <w:szCs w:val="28"/>
        </w:rPr>
        <w:t>元，完成年初预算的</w:t>
      </w:r>
      <w:r>
        <w:rPr>
          <w:rFonts w:hint="eastAsia" w:ascii="仿宋_GB2312" w:eastAsia="仿宋_GB2312"/>
          <w:sz w:val="28"/>
          <w:szCs w:val="28"/>
          <w:lang w:val="en-US" w:eastAsia="zh-CN"/>
        </w:rPr>
        <w:t>115.3</w:t>
      </w:r>
      <w:r>
        <w:rPr>
          <w:rFonts w:hint="eastAsia" w:ascii="仿宋_GB2312" w:eastAsia="仿宋_GB2312"/>
          <w:sz w:val="28"/>
          <w:szCs w:val="28"/>
        </w:rPr>
        <w:t>%。主要原因：</w:t>
      </w:r>
      <w:r>
        <w:rPr>
          <w:rFonts w:hint="eastAsia" w:ascii="仿宋_GB2312" w:eastAsia="仿宋_GB2312"/>
          <w:sz w:val="28"/>
          <w:szCs w:val="28"/>
          <w:lang w:eastAsia="zh-CN"/>
        </w:rPr>
        <w:t>项目经费增加</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“自然生态保护”（款）</w:t>
      </w:r>
      <w:r>
        <w:rPr>
          <w:rFonts w:hint="eastAsia" w:ascii="仿宋_GB2312" w:eastAsia="仿宋_GB2312"/>
          <w:sz w:val="28"/>
          <w:szCs w:val="28"/>
        </w:rPr>
        <w:t>2025年度年初预算</w:t>
      </w:r>
      <w:r>
        <w:rPr>
          <w:rFonts w:hint="eastAsia" w:ascii="仿宋_GB2312" w:eastAsia="仿宋_GB2312"/>
          <w:sz w:val="28"/>
          <w:szCs w:val="28"/>
          <w:lang w:val="en-US" w:eastAsia="zh-CN"/>
        </w:rPr>
        <w:t>7,221,733.98</w:t>
      </w:r>
      <w:r>
        <w:rPr>
          <w:rFonts w:hint="eastAsia" w:ascii="仿宋_GB2312" w:eastAsia="仿宋_GB2312"/>
          <w:sz w:val="28"/>
          <w:szCs w:val="28"/>
        </w:rPr>
        <w:t>元，2025年度决算</w:t>
      </w:r>
      <w:r>
        <w:rPr>
          <w:rFonts w:hint="eastAsia" w:ascii="仿宋_GB2312" w:eastAsia="仿宋_GB2312"/>
          <w:sz w:val="28"/>
          <w:szCs w:val="28"/>
          <w:lang w:val="en-US" w:eastAsia="zh-CN"/>
        </w:rPr>
        <w:t>7,536,248</w:t>
      </w:r>
      <w:r>
        <w:rPr>
          <w:rFonts w:hint="eastAsia" w:ascii="仿宋_GB2312" w:eastAsia="仿宋_GB2312"/>
          <w:sz w:val="28"/>
          <w:szCs w:val="28"/>
        </w:rPr>
        <w:t>元，完成年初预算的</w:t>
      </w:r>
      <w:r>
        <w:rPr>
          <w:rFonts w:hint="eastAsia" w:ascii="仿宋_GB2312" w:eastAsia="仿宋_GB2312"/>
          <w:sz w:val="28"/>
          <w:szCs w:val="28"/>
          <w:lang w:val="en-US" w:eastAsia="zh-CN"/>
        </w:rPr>
        <w:t>104.4</w:t>
      </w:r>
      <w:r>
        <w:rPr>
          <w:rFonts w:hint="eastAsia" w:ascii="仿宋_GB2312" w:eastAsia="仿宋_GB2312"/>
          <w:sz w:val="28"/>
          <w:szCs w:val="28"/>
        </w:rPr>
        <w:t>%。主要原因：</w:t>
      </w:r>
      <w:r>
        <w:rPr>
          <w:rFonts w:hint="eastAsia" w:ascii="仿宋_GB2312" w:eastAsia="仿宋_GB2312"/>
          <w:sz w:val="28"/>
          <w:szCs w:val="28"/>
          <w:lang w:eastAsia="zh-CN"/>
        </w:rPr>
        <w:t>项目经费增加</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“污染减排”（款）</w:t>
      </w:r>
      <w:r>
        <w:rPr>
          <w:rFonts w:hint="eastAsia" w:ascii="仿宋_GB2312" w:eastAsia="仿宋_GB2312"/>
          <w:sz w:val="28"/>
          <w:szCs w:val="28"/>
        </w:rPr>
        <w:t>2025年度年初预算</w:t>
      </w:r>
      <w:r>
        <w:rPr>
          <w:rFonts w:hint="eastAsia" w:ascii="仿宋_GB2312" w:eastAsia="仿宋_GB2312"/>
          <w:sz w:val="28"/>
          <w:szCs w:val="28"/>
          <w:lang w:val="en-US" w:eastAsia="zh-CN"/>
        </w:rPr>
        <w:t>10,905,043.97</w:t>
      </w:r>
      <w:r>
        <w:rPr>
          <w:rFonts w:hint="eastAsia" w:ascii="仿宋_GB2312" w:eastAsia="仿宋_GB2312"/>
          <w:sz w:val="28"/>
          <w:szCs w:val="28"/>
        </w:rPr>
        <w:t>元，2025年度决算</w:t>
      </w:r>
      <w:r>
        <w:rPr>
          <w:rFonts w:hint="eastAsia" w:ascii="仿宋_GB2312" w:eastAsia="仿宋_GB2312"/>
          <w:sz w:val="28"/>
          <w:szCs w:val="28"/>
          <w:lang w:val="en-US" w:eastAsia="zh-CN"/>
        </w:rPr>
        <w:t>11,203,789.54</w:t>
      </w:r>
      <w:r>
        <w:rPr>
          <w:rFonts w:hint="eastAsia" w:ascii="仿宋_GB2312" w:eastAsia="仿宋_GB2312"/>
          <w:sz w:val="28"/>
          <w:szCs w:val="28"/>
        </w:rPr>
        <w:t>元，完成年初预算的</w:t>
      </w:r>
      <w:r>
        <w:rPr>
          <w:rFonts w:hint="eastAsia" w:ascii="仿宋_GB2312" w:eastAsia="仿宋_GB2312"/>
          <w:sz w:val="28"/>
          <w:szCs w:val="28"/>
          <w:lang w:val="en-US" w:eastAsia="zh-CN"/>
        </w:rPr>
        <w:t>102.7</w:t>
      </w:r>
      <w:r>
        <w:rPr>
          <w:rFonts w:hint="eastAsia" w:ascii="仿宋_GB2312" w:eastAsia="仿宋_GB2312"/>
          <w:sz w:val="28"/>
          <w:szCs w:val="28"/>
        </w:rPr>
        <w:t>%。主要原因：</w:t>
      </w:r>
      <w:r>
        <w:rPr>
          <w:rFonts w:hint="eastAsia" w:ascii="仿宋_GB2312" w:eastAsia="仿宋_GB2312"/>
          <w:sz w:val="28"/>
          <w:szCs w:val="28"/>
          <w:lang w:eastAsia="zh-CN"/>
        </w:rPr>
        <w:t>项目经费增加</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“其他节能环保支出”（款）</w:t>
      </w:r>
      <w:r>
        <w:rPr>
          <w:rFonts w:hint="eastAsia" w:ascii="仿宋_GB2312" w:eastAsia="仿宋_GB2312"/>
          <w:sz w:val="28"/>
          <w:szCs w:val="28"/>
        </w:rPr>
        <w:t>2025年度年初预算</w:t>
      </w:r>
      <w:r>
        <w:rPr>
          <w:rFonts w:hint="eastAsia" w:ascii="仿宋_GB2312" w:eastAsia="仿宋_GB2312"/>
          <w:sz w:val="28"/>
          <w:szCs w:val="28"/>
          <w:lang w:val="en-US" w:eastAsia="zh-CN"/>
        </w:rPr>
        <w:t>268,847</w:t>
      </w:r>
      <w:r>
        <w:rPr>
          <w:rFonts w:hint="eastAsia" w:ascii="仿宋_GB2312" w:eastAsia="仿宋_GB2312"/>
          <w:sz w:val="28"/>
          <w:szCs w:val="28"/>
        </w:rPr>
        <w:t>元，2025年度决算</w:t>
      </w:r>
      <w:r>
        <w:rPr>
          <w:rFonts w:hint="eastAsia" w:ascii="仿宋_GB2312" w:eastAsia="仿宋_GB2312"/>
          <w:sz w:val="28"/>
          <w:szCs w:val="28"/>
          <w:lang w:val="en-US" w:eastAsia="zh-CN"/>
        </w:rPr>
        <w:t>363,038.80</w:t>
      </w:r>
      <w:r>
        <w:rPr>
          <w:rFonts w:hint="eastAsia" w:ascii="仿宋_GB2312" w:eastAsia="仿宋_GB2312"/>
          <w:sz w:val="28"/>
          <w:szCs w:val="28"/>
        </w:rPr>
        <w:t>元，完成年初预算的</w:t>
      </w:r>
      <w:r>
        <w:rPr>
          <w:rFonts w:hint="eastAsia" w:ascii="仿宋_GB2312" w:eastAsia="仿宋_GB2312"/>
          <w:sz w:val="28"/>
          <w:szCs w:val="28"/>
          <w:lang w:val="en-US" w:eastAsia="zh-CN"/>
        </w:rPr>
        <w:t>135.0</w:t>
      </w:r>
      <w:r>
        <w:rPr>
          <w:rFonts w:hint="eastAsia" w:ascii="仿宋_GB2312" w:eastAsia="仿宋_GB2312"/>
          <w:sz w:val="28"/>
          <w:szCs w:val="28"/>
        </w:rPr>
        <w:t>%。主要原因：</w:t>
      </w:r>
      <w:r>
        <w:rPr>
          <w:rFonts w:hint="eastAsia" w:ascii="仿宋_GB2312" w:eastAsia="仿宋_GB2312"/>
          <w:sz w:val="28"/>
          <w:szCs w:val="28"/>
          <w:lang w:eastAsia="zh-CN"/>
        </w:rPr>
        <w:t>项目经费增加</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3、“资源勘探工业信息等支出”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14,592.50</w:t>
      </w:r>
      <w:r>
        <w:rPr>
          <w:rFonts w:hint="eastAsia" w:ascii="仿宋_GB2312" w:eastAsia="仿宋_GB2312"/>
          <w:sz w:val="28"/>
          <w:szCs w:val="28"/>
        </w:rPr>
        <w:t>元。其中：</w:t>
      </w:r>
    </w:p>
    <w:p>
      <w:pPr>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“制造业”</w:t>
      </w:r>
      <w:r>
        <w:rPr>
          <w:rFonts w:hint="eastAsia" w:ascii="仿宋_GB2312" w:eastAsia="仿宋_GB2312"/>
          <w:sz w:val="28"/>
          <w:szCs w:val="28"/>
          <w:lang w:eastAsia="zh-CN"/>
        </w:rPr>
        <w:t>（款）</w:t>
      </w:r>
      <w:r>
        <w:rPr>
          <w:rFonts w:hint="eastAsia" w:ascii="仿宋_GB2312" w:eastAsia="仿宋_GB2312"/>
          <w:sz w:val="28"/>
          <w:szCs w:val="28"/>
        </w:rPr>
        <w:t>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14,592.50</w:t>
      </w:r>
      <w:r>
        <w:rPr>
          <w:rFonts w:hint="eastAsia" w:ascii="仿宋_GB2312" w:eastAsia="仿宋_GB2312"/>
          <w:sz w:val="28"/>
          <w:szCs w:val="28"/>
        </w:rPr>
        <w:t>元。主要原因：</w:t>
      </w:r>
      <w:r>
        <w:rPr>
          <w:rFonts w:hint="eastAsia" w:ascii="仿宋_GB2312" w:eastAsia="仿宋_GB2312"/>
          <w:sz w:val="28"/>
          <w:szCs w:val="28"/>
          <w:lang w:eastAsia="zh-CN"/>
        </w:rPr>
        <w:t>追加项目经费</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本部门本年度无此项支出。</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本部门本年度无此项支出。</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36</w:t>
      </w:r>
      <w:r>
        <w:rPr>
          <w:rFonts w:hint="eastAsia" w:ascii="仿宋_GB2312" w:eastAsia="仿宋_GB2312"/>
          <w:sz w:val="28"/>
          <w:szCs w:val="28"/>
          <w:lang w:val="en-US" w:eastAsia="zh-CN"/>
        </w:rPr>
        <w:t>,</w:t>
      </w:r>
      <w:r>
        <w:rPr>
          <w:rFonts w:ascii="仿宋_GB2312" w:eastAsia="仿宋_GB2312"/>
          <w:sz w:val="28"/>
          <w:szCs w:val="28"/>
        </w:rPr>
        <w:t>523</w:t>
      </w:r>
      <w:r>
        <w:rPr>
          <w:rFonts w:hint="eastAsia" w:ascii="仿宋_GB2312" w:eastAsia="仿宋_GB2312"/>
          <w:sz w:val="28"/>
          <w:szCs w:val="28"/>
          <w:lang w:val="en-US" w:eastAsia="zh-CN"/>
        </w:rPr>
        <w:t>,</w:t>
      </w:r>
      <w:r>
        <w:rPr>
          <w:rFonts w:ascii="仿宋_GB2312" w:eastAsia="仿宋_GB2312"/>
          <w:sz w:val="28"/>
          <w:szCs w:val="28"/>
        </w:rPr>
        <w:t>655.8</w:t>
      </w:r>
      <w:r>
        <w:rPr>
          <w:rFonts w:hint="eastAsia" w:ascii="仿宋_GB2312" w:eastAsia="仿宋_GB2312"/>
          <w:sz w:val="28"/>
          <w:szCs w:val="28"/>
          <w:lang w:val="en-US" w:eastAsia="zh-CN"/>
        </w:rPr>
        <w:t>0</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34</w:t>
      </w:r>
      <w:r>
        <w:rPr>
          <w:rFonts w:hint="eastAsia" w:ascii="仿宋_GB2312" w:eastAsia="仿宋_GB2312"/>
          <w:sz w:val="28"/>
          <w:szCs w:val="28"/>
          <w:lang w:val="en-US" w:eastAsia="zh-CN"/>
        </w:rPr>
        <w:t>,</w:t>
      </w:r>
      <w:r>
        <w:rPr>
          <w:rFonts w:ascii="仿宋_GB2312" w:eastAsia="仿宋_GB2312"/>
          <w:sz w:val="28"/>
          <w:szCs w:val="28"/>
        </w:rPr>
        <w:t>889.91</w:t>
      </w:r>
      <w:r>
        <w:rPr>
          <w:rFonts w:hint="eastAsia" w:ascii="仿宋_GB2312" w:eastAsia="仿宋_GB2312"/>
          <w:sz w:val="28"/>
          <w:szCs w:val="28"/>
        </w:rPr>
        <w:t>元，比2025年度“三公”经费财政拨款年初预算</w:t>
      </w:r>
      <w:r>
        <w:rPr>
          <w:rFonts w:ascii="仿宋_GB2312" w:eastAsia="仿宋_GB2312"/>
          <w:sz w:val="28"/>
          <w:szCs w:val="28"/>
        </w:rPr>
        <w:t>73</w:t>
      </w:r>
      <w:r>
        <w:rPr>
          <w:rFonts w:hint="eastAsia" w:ascii="仿宋_GB2312" w:eastAsia="仿宋_GB2312"/>
          <w:sz w:val="28"/>
          <w:szCs w:val="28"/>
          <w:lang w:val="en-US" w:eastAsia="zh-CN"/>
        </w:rPr>
        <w:t>,</w:t>
      </w:r>
      <w:r>
        <w:rPr>
          <w:rFonts w:ascii="仿宋_GB2312" w:eastAsia="仿宋_GB2312"/>
          <w:sz w:val="28"/>
          <w:szCs w:val="28"/>
        </w:rPr>
        <w:t>277</w:t>
      </w:r>
      <w:r>
        <w:rPr>
          <w:rFonts w:hint="eastAsia" w:ascii="仿宋_GB2312" w:eastAsia="仿宋_GB2312"/>
          <w:sz w:val="28"/>
          <w:szCs w:val="28"/>
        </w:rPr>
        <w:t>元减少</w:t>
      </w:r>
      <w:r>
        <w:rPr>
          <w:rFonts w:ascii="仿宋_GB2312" w:eastAsia="仿宋_GB2312"/>
          <w:sz w:val="28"/>
          <w:szCs w:val="28"/>
        </w:rPr>
        <w:t>38</w:t>
      </w:r>
      <w:r>
        <w:rPr>
          <w:rFonts w:hint="eastAsia" w:ascii="仿宋_GB2312" w:eastAsia="仿宋_GB2312"/>
          <w:sz w:val="28"/>
          <w:szCs w:val="28"/>
          <w:lang w:val="en-US" w:eastAsia="zh-CN"/>
        </w:rPr>
        <w:t>,</w:t>
      </w:r>
      <w:r>
        <w:rPr>
          <w:rFonts w:ascii="仿宋_GB2312" w:eastAsia="仿宋_GB2312"/>
          <w:sz w:val="28"/>
          <w:szCs w:val="28"/>
        </w:rPr>
        <w:t>387.09</w:t>
      </w:r>
      <w:r>
        <w:rPr>
          <w:rFonts w:hint="eastAsia" w:ascii="仿宋_GB2312" w:eastAsia="仿宋_GB2312"/>
          <w:sz w:val="28"/>
          <w:szCs w:val="28"/>
        </w:rPr>
        <w:t>元。其中：</w:t>
      </w:r>
    </w:p>
    <w:p>
      <w:pPr>
        <w:numPr>
          <w:ilvl w:val="0"/>
          <w:numId w:val="2"/>
        </w:numPr>
        <w:spacing w:line="560" w:lineRule="exact"/>
        <w:ind w:firstLine="600"/>
        <w:rPr>
          <w:rFonts w:hint="eastAsia" w:ascii="仿宋_GB2312" w:eastAsia="仿宋_GB2312"/>
          <w:sz w:val="28"/>
          <w:szCs w:val="28"/>
        </w:rPr>
      </w:pPr>
      <w:r>
        <w:rPr>
          <w:rFonts w:hint="eastAsia" w:ascii="仿宋_GB2312" w:eastAsia="仿宋_GB2312"/>
          <w:sz w:val="28"/>
          <w:szCs w:val="28"/>
        </w:rPr>
        <w:t>因公出国（境）费用。2025年度决算数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0</w:t>
      </w:r>
      <w:r>
        <w:rPr>
          <w:rFonts w:hint="eastAsia" w:ascii="仿宋_GB2312" w:eastAsia="仿宋_GB2312"/>
          <w:sz w:val="28"/>
          <w:szCs w:val="28"/>
        </w:rPr>
        <w:t>元减少</w:t>
      </w:r>
      <w:r>
        <w:rPr>
          <w:rFonts w:ascii="仿宋_GB2312" w:eastAsia="仿宋_GB2312"/>
          <w:sz w:val="28"/>
          <w:szCs w:val="28"/>
        </w:rPr>
        <w:t>0</w:t>
      </w:r>
      <w:r>
        <w:rPr>
          <w:rFonts w:hint="eastAsia" w:ascii="仿宋_GB2312" w:eastAsia="仿宋_GB2312"/>
          <w:sz w:val="28"/>
          <w:szCs w:val="28"/>
        </w:rPr>
        <w:t>元。</w:t>
      </w:r>
    </w:p>
    <w:p>
      <w:pPr>
        <w:numPr>
          <w:ilvl w:val="0"/>
          <w:numId w:val="2"/>
        </w:numPr>
        <w:spacing w:line="560" w:lineRule="exact"/>
        <w:ind w:firstLine="600"/>
        <w:rPr>
          <w:rFonts w:ascii="仿宋_GB2312" w:eastAsia="仿宋_GB2312"/>
          <w:sz w:val="28"/>
          <w:szCs w:val="28"/>
        </w:rPr>
      </w:pPr>
      <w:r>
        <w:rPr>
          <w:rFonts w:hint="eastAsia" w:ascii="仿宋_GB2312" w:eastAsia="仿宋_GB2312"/>
          <w:sz w:val="28"/>
          <w:szCs w:val="28"/>
        </w:rPr>
        <w:t>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19</w:t>
      </w:r>
      <w:r>
        <w:rPr>
          <w:rFonts w:hint="eastAsia" w:ascii="仿宋_GB2312" w:eastAsia="仿宋_GB2312"/>
          <w:sz w:val="28"/>
          <w:szCs w:val="28"/>
          <w:lang w:val="en-US" w:eastAsia="zh-CN"/>
        </w:rPr>
        <w:t>,</w:t>
      </w:r>
      <w:r>
        <w:rPr>
          <w:rFonts w:ascii="仿宋_GB2312" w:eastAsia="仿宋_GB2312"/>
          <w:sz w:val="28"/>
          <w:szCs w:val="28"/>
        </w:rPr>
        <w:t>277</w:t>
      </w:r>
      <w:r>
        <w:rPr>
          <w:rFonts w:hint="eastAsia" w:ascii="仿宋_GB2312" w:eastAsia="仿宋_GB2312"/>
          <w:sz w:val="28"/>
          <w:szCs w:val="28"/>
        </w:rPr>
        <w:t>元减少</w:t>
      </w:r>
      <w:r>
        <w:rPr>
          <w:rFonts w:ascii="仿宋_GB2312" w:eastAsia="仿宋_GB2312"/>
          <w:sz w:val="28"/>
          <w:szCs w:val="28"/>
        </w:rPr>
        <w:t>19</w:t>
      </w:r>
      <w:r>
        <w:rPr>
          <w:rFonts w:hint="eastAsia" w:ascii="仿宋_GB2312" w:eastAsia="仿宋_GB2312"/>
          <w:sz w:val="28"/>
          <w:szCs w:val="28"/>
          <w:lang w:val="en-US" w:eastAsia="zh-CN"/>
        </w:rPr>
        <w:t>,</w:t>
      </w:r>
      <w:r>
        <w:rPr>
          <w:rFonts w:ascii="仿宋_GB2312" w:eastAsia="仿宋_GB2312"/>
          <w:sz w:val="28"/>
          <w:szCs w:val="28"/>
        </w:rPr>
        <w:t>277</w:t>
      </w:r>
      <w:r>
        <w:rPr>
          <w:rFonts w:hint="eastAsia" w:ascii="仿宋_GB2312" w:eastAsia="仿宋_GB2312"/>
          <w:sz w:val="28"/>
          <w:szCs w:val="28"/>
        </w:rPr>
        <w:t>元。主要原因：</w:t>
      </w:r>
      <w:r>
        <w:rPr>
          <w:rFonts w:hint="eastAsia" w:ascii="仿宋_GB2312" w:eastAsia="仿宋_GB2312"/>
          <w:sz w:val="28"/>
          <w:szCs w:val="28"/>
          <w:lang w:val="en-US" w:eastAsia="zh-CN"/>
        </w:rPr>
        <w:t>未发生公务接待费</w:t>
      </w:r>
      <w:r>
        <w:rPr>
          <w:rFonts w:hint="eastAsia" w:ascii="仿宋_GB2312" w:eastAsia="仿宋_GB2312"/>
          <w:sz w:val="28"/>
          <w:szCs w:val="28"/>
        </w:rPr>
        <w:t>。</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34</w:t>
      </w:r>
      <w:r>
        <w:rPr>
          <w:rFonts w:hint="eastAsia" w:ascii="仿宋_GB2312" w:eastAsia="仿宋_GB2312"/>
          <w:sz w:val="28"/>
          <w:szCs w:val="28"/>
          <w:lang w:val="en-US" w:eastAsia="zh-CN"/>
        </w:rPr>
        <w:t>,</w:t>
      </w:r>
      <w:r>
        <w:rPr>
          <w:rFonts w:ascii="仿宋_GB2312" w:eastAsia="仿宋_GB2312"/>
          <w:sz w:val="28"/>
          <w:szCs w:val="28"/>
        </w:rPr>
        <w:t>889.91</w:t>
      </w:r>
      <w:r>
        <w:rPr>
          <w:rFonts w:hint="eastAsia" w:ascii="仿宋_GB2312" w:eastAsia="仿宋_GB2312"/>
          <w:sz w:val="28"/>
          <w:szCs w:val="28"/>
        </w:rPr>
        <w:t>元，比2025年度年初预算数</w:t>
      </w:r>
      <w:r>
        <w:rPr>
          <w:rFonts w:ascii="仿宋_GB2312" w:eastAsia="仿宋_GB2312"/>
          <w:sz w:val="28"/>
          <w:szCs w:val="28"/>
        </w:rPr>
        <w:t>54</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元减少</w:t>
      </w:r>
      <w:r>
        <w:rPr>
          <w:rFonts w:ascii="仿宋_GB2312" w:eastAsia="仿宋_GB2312"/>
          <w:sz w:val="28"/>
          <w:szCs w:val="28"/>
        </w:rPr>
        <w:t>19</w:t>
      </w:r>
      <w:r>
        <w:rPr>
          <w:rFonts w:hint="eastAsia" w:ascii="仿宋_GB2312" w:eastAsia="仿宋_GB2312"/>
          <w:sz w:val="28"/>
          <w:szCs w:val="28"/>
          <w:lang w:val="en-US" w:eastAsia="zh-CN"/>
        </w:rPr>
        <w:t>,</w:t>
      </w:r>
      <w:r>
        <w:rPr>
          <w:rFonts w:ascii="仿宋_GB2312" w:eastAsia="仿宋_GB2312"/>
          <w:sz w:val="28"/>
          <w:szCs w:val="28"/>
        </w:rPr>
        <w:t>110.09</w:t>
      </w:r>
      <w:r>
        <w:rPr>
          <w:rFonts w:hint="eastAsia" w:ascii="仿宋_GB2312" w:eastAsia="仿宋_GB2312"/>
          <w:sz w:val="28"/>
          <w:szCs w:val="28"/>
        </w:rPr>
        <w:t>元。其中，公务用车购置费2025年度决算数0元，2025年度购置（更新）0辆。公务用车运行维护费2025年度决算数34</w:t>
      </w:r>
      <w:r>
        <w:rPr>
          <w:rFonts w:hint="eastAsia" w:ascii="仿宋_GB2312" w:eastAsia="仿宋_GB2312"/>
          <w:sz w:val="28"/>
          <w:szCs w:val="28"/>
          <w:lang w:val="en-US" w:eastAsia="zh-CN"/>
        </w:rPr>
        <w:t>,</w:t>
      </w:r>
      <w:r>
        <w:rPr>
          <w:rFonts w:hint="eastAsia" w:ascii="仿宋_GB2312" w:eastAsia="仿宋_GB2312"/>
          <w:sz w:val="28"/>
          <w:szCs w:val="28"/>
        </w:rPr>
        <w:t>889.91元，主要原因：</w:t>
      </w:r>
      <w:r>
        <w:rPr>
          <w:rFonts w:hint="eastAsia" w:ascii="仿宋_GB2312" w:eastAsia="仿宋_GB2312"/>
          <w:sz w:val="28"/>
          <w:szCs w:val="28"/>
          <w:lang w:val="en-US" w:eastAsia="zh-CN"/>
        </w:rPr>
        <w:t>公务用车运行维护费减少</w:t>
      </w:r>
      <w:r>
        <w:rPr>
          <w:rFonts w:hint="eastAsia" w:ascii="仿宋_GB2312" w:eastAsia="仿宋_GB2312"/>
          <w:sz w:val="28"/>
          <w:szCs w:val="28"/>
        </w:rPr>
        <w:t>。2025年度公务用车保有量</w:t>
      </w:r>
      <w:r>
        <w:rPr>
          <w:rFonts w:ascii="仿宋_GB2312" w:eastAsia="仿宋_GB2312"/>
          <w:sz w:val="28"/>
          <w:szCs w:val="28"/>
        </w:rPr>
        <w:t>3</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2025年度机关运行经费支出合计1</w:t>
      </w:r>
      <w:r>
        <w:rPr>
          <w:rFonts w:hint="eastAsia" w:ascii="仿宋_GB2312" w:eastAsia="仿宋_GB2312"/>
          <w:sz w:val="28"/>
          <w:szCs w:val="28"/>
          <w:lang w:val="en-US" w:eastAsia="zh-CN"/>
        </w:rPr>
        <w:t>,</w:t>
      </w:r>
      <w:r>
        <w:rPr>
          <w:rFonts w:hint="eastAsia" w:ascii="仿宋_GB2312" w:eastAsia="仿宋_GB2312"/>
          <w:sz w:val="28"/>
          <w:szCs w:val="28"/>
        </w:rPr>
        <w:t>894</w:t>
      </w:r>
      <w:r>
        <w:rPr>
          <w:rFonts w:hint="eastAsia" w:ascii="仿宋_GB2312" w:eastAsia="仿宋_GB2312"/>
          <w:sz w:val="28"/>
          <w:szCs w:val="28"/>
          <w:lang w:val="en-US" w:eastAsia="zh-CN"/>
        </w:rPr>
        <w:t>,</w:t>
      </w:r>
      <w:r>
        <w:rPr>
          <w:rFonts w:hint="eastAsia" w:ascii="仿宋_GB2312" w:eastAsia="仿宋_GB2312"/>
          <w:sz w:val="28"/>
          <w:szCs w:val="28"/>
        </w:rPr>
        <w:t>817.93元，比上年增加</w:t>
      </w:r>
      <w:r>
        <w:rPr>
          <w:rFonts w:hint="eastAsia" w:ascii="仿宋_GB2312" w:eastAsia="仿宋_GB2312"/>
          <w:sz w:val="28"/>
          <w:szCs w:val="28"/>
          <w:lang w:val="en-US" w:eastAsia="zh-CN"/>
        </w:rPr>
        <w:t>58,918.12</w:t>
      </w:r>
      <w:r>
        <w:rPr>
          <w:rFonts w:hint="eastAsia" w:ascii="仿宋_GB2312" w:eastAsia="仿宋_GB2312"/>
          <w:sz w:val="28"/>
          <w:szCs w:val="28"/>
        </w:rPr>
        <w:t>元，增加原因：</w:t>
      </w:r>
      <w:r>
        <w:rPr>
          <w:rFonts w:hint="eastAsia" w:ascii="仿宋_GB2312" w:eastAsia="仿宋_GB2312"/>
          <w:sz w:val="28"/>
          <w:szCs w:val="28"/>
          <w:lang w:val="en-US" w:eastAsia="zh-CN"/>
        </w:rPr>
        <w:t>人员较上年有所增加，费用增加</w:t>
      </w:r>
      <w:r>
        <w:rPr>
          <w:rFonts w:hint="eastAsia" w:ascii="仿宋_GB2312" w:eastAsia="仿宋_GB2312"/>
          <w:sz w:val="28"/>
          <w:szCs w:val="28"/>
        </w:rPr>
        <w:t>。</w:t>
      </w:r>
    </w:p>
    <w:p>
      <w:pPr>
        <w:ind w:left="540"/>
        <w:rPr>
          <w:rFonts w:ascii="黑体" w:eastAsia="黑体"/>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26</w:t>
      </w:r>
      <w:r>
        <w:rPr>
          <w:rFonts w:hint="eastAsia" w:ascii="仿宋_GB2312" w:eastAsia="仿宋_GB2312"/>
          <w:sz w:val="28"/>
          <w:szCs w:val="28"/>
          <w:lang w:val="en-US" w:eastAsia="zh-CN"/>
        </w:rPr>
        <w:t>,</w:t>
      </w:r>
      <w:r>
        <w:rPr>
          <w:rFonts w:ascii="仿宋_GB2312" w:eastAsia="仿宋_GB2312"/>
          <w:sz w:val="28"/>
          <w:szCs w:val="28"/>
        </w:rPr>
        <w:t>347</w:t>
      </w:r>
      <w:r>
        <w:rPr>
          <w:rFonts w:hint="eastAsia" w:ascii="仿宋_GB2312" w:eastAsia="仿宋_GB2312"/>
          <w:sz w:val="28"/>
          <w:szCs w:val="28"/>
          <w:lang w:val="en-US" w:eastAsia="zh-CN"/>
        </w:rPr>
        <w:t>,</w:t>
      </w:r>
      <w:r>
        <w:rPr>
          <w:rFonts w:ascii="仿宋_GB2312" w:eastAsia="仿宋_GB2312"/>
          <w:sz w:val="28"/>
          <w:szCs w:val="28"/>
        </w:rPr>
        <w:t>206.31</w:t>
      </w:r>
      <w:r>
        <w:rPr>
          <w:rFonts w:hint="eastAsia" w:ascii="仿宋_GB2312" w:eastAsia="仿宋_GB2312"/>
          <w:sz w:val="28"/>
          <w:szCs w:val="28"/>
        </w:rPr>
        <w:t>元，其中：政府采购货物支出</w:t>
      </w:r>
      <w:r>
        <w:rPr>
          <w:rFonts w:ascii="仿宋_GB2312" w:eastAsia="仿宋_GB2312"/>
          <w:sz w:val="28"/>
          <w:szCs w:val="28"/>
        </w:rPr>
        <w:t>6</w:t>
      </w:r>
      <w:r>
        <w:rPr>
          <w:rFonts w:hint="eastAsia" w:ascii="仿宋_GB2312" w:eastAsia="仿宋_GB2312"/>
          <w:sz w:val="28"/>
          <w:szCs w:val="28"/>
          <w:lang w:val="en-US" w:eastAsia="zh-CN"/>
        </w:rPr>
        <w:t>,</w:t>
      </w:r>
      <w:r>
        <w:rPr>
          <w:rFonts w:ascii="仿宋_GB2312" w:eastAsia="仿宋_GB2312"/>
          <w:sz w:val="28"/>
          <w:szCs w:val="28"/>
        </w:rPr>
        <w:t>121</w:t>
      </w:r>
      <w:r>
        <w:rPr>
          <w:rFonts w:hint="eastAsia" w:ascii="仿宋_GB2312" w:eastAsia="仿宋_GB2312"/>
          <w:sz w:val="28"/>
          <w:szCs w:val="28"/>
          <w:lang w:val="en-US" w:eastAsia="zh-CN"/>
        </w:rPr>
        <w:t>,</w:t>
      </w:r>
      <w:r>
        <w:rPr>
          <w:rFonts w:ascii="仿宋_GB2312" w:eastAsia="仿宋_GB2312"/>
          <w:sz w:val="28"/>
          <w:szCs w:val="28"/>
        </w:rPr>
        <w:t>392</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rPr>
        <w:t>元，政府采购服务支出</w:t>
      </w:r>
      <w:r>
        <w:rPr>
          <w:rFonts w:ascii="仿宋_GB2312" w:eastAsia="仿宋_GB2312"/>
          <w:sz w:val="28"/>
          <w:szCs w:val="28"/>
        </w:rPr>
        <w:t>20</w:t>
      </w:r>
      <w:r>
        <w:rPr>
          <w:rFonts w:hint="eastAsia" w:ascii="仿宋_GB2312" w:eastAsia="仿宋_GB2312"/>
          <w:sz w:val="28"/>
          <w:szCs w:val="28"/>
          <w:lang w:val="en-US" w:eastAsia="zh-CN"/>
        </w:rPr>
        <w:t>,</w:t>
      </w:r>
      <w:bookmarkStart w:id="5" w:name="_GoBack"/>
      <w:bookmarkEnd w:id="5"/>
      <w:r>
        <w:rPr>
          <w:rFonts w:ascii="仿宋_GB2312" w:eastAsia="仿宋_GB2312"/>
          <w:sz w:val="28"/>
          <w:szCs w:val="28"/>
        </w:rPr>
        <w:t>225</w:t>
      </w:r>
      <w:r>
        <w:rPr>
          <w:rFonts w:hint="eastAsia" w:ascii="仿宋_GB2312" w:eastAsia="仿宋_GB2312"/>
          <w:sz w:val="28"/>
          <w:szCs w:val="28"/>
          <w:lang w:val="en-US" w:eastAsia="zh-CN"/>
        </w:rPr>
        <w:t>,</w:t>
      </w:r>
      <w:r>
        <w:rPr>
          <w:rFonts w:ascii="仿宋_GB2312" w:eastAsia="仿宋_GB2312"/>
          <w:sz w:val="28"/>
          <w:szCs w:val="28"/>
        </w:rPr>
        <w:t>814.31</w:t>
      </w:r>
      <w:r>
        <w:rPr>
          <w:rFonts w:hint="eastAsia" w:ascii="仿宋_GB2312" w:eastAsia="仿宋_GB2312"/>
          <w:sz w:val="28"/>
          <w:szCs w:val="28"/>
        </w:rPr>
        <w:t>元。授予中小企业合同金额</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998</w:t>
      </w:r>
      <w:r>
        <w:rPr>
          <w:rFonts w:hint="eastAsia" w:ascii="仿宋_GB2312" w:eastAsia="仿宋_GB2312"/>
          <w:sz w:val="28"/>
          <w:szCs w:val="28"/>
          <w:lang w:val="en-US" w:eastAsia="zh-CN"/>
        </w:rPr>
        <w:t>,</w:t>
      </w:r>
      <w:r>
        <w:rPr>
          <w:rFonts w:ascii="仿宋_GB2312" w:eastAsia="仿宋_GB2312"/>
          <w:sz w:val="28"/>
          <w:szCs w:val="28"/>
        </w:rPr>
        <w:t>262</w:t>
      </w:r>
      <w:r>
        <w:rPr>
          <w:rFonts w:hint="eastAsia" w:ascii="仿宋_GB2312" w:eastAsia="仿宋_GB2312"/>
          <w:sz w:val="28"/>
          <w:szCs w:val="28"/>
        </w:rPr>
        <w:t>元，占政府采购支出总额的1</w:t>
      </w:r>
      <w:r>
        <w:rPr>
          <w:rFonts w:hint="eastAsia" w:ascii="仿宋_GB2312" w:eastAsia="仿宋_GB2312"/>
          <w:sz w:val="28"/>
          <w:szCs w:val="28"/>
          <w:lang w:val="en-US" w:eastAsia="zh-CN"/>
        </w:rPr>
        <w:t>9.0</w:t>
      </w:r>
      <w:r>
        <w:rPr>
          <w:rFonts w:hint="eastAsia" w:ascii="仿宋_GB2312" w:eastAsia="仿宋_GB2312"/>
          <w:sz w:val="28"/>
          <w:szCs w:val="28"/>
        </w:rPr>
        <w:t>%，其中：授予小微企业合同金额</w:t>
      </w:r>
      <w:r>
        <w:rPr>
          <w:rFonts w:ascii="仿宋_GB2312" w:eastAsia="仿宋_GB2312"/>
          <w:sz w:val="28"/>
          <w:szCs w:val="28"/>
        </w:rPr>
        <w:t>116</w:t>
      </w:r>
      <w:r>
        <w:rPr>
          <w:rFonts w:hint="eastAsia" w:ascii="仿宋_GB2312" w:eastAsia="仿宋_GB2312"/>
          <w:sz w:val="28"/>
          <w:szCs w:val="28"/>
          <w:lang w:val="en-US" w:eastAsia="zh-CN"/>
        </w:rPr>
        <w:t>,</w:t>
      </w:r>
      <w:r>
        <w:rPr>
          <w:rFonts w:ascii="仿宋_GB2312" w:eastAsia="仿宋_GB2312"/>
          <w:sz w:val="28"/>
          <w:szCs w:val="28"/>
        </w:rPr>
        <w:t>162</w:t>
      </w:r>
      <w:r>
        <w:rPr>
          <w:rFonts w:hint="eastAsia" w:ascii="仿宋_GB2312" w:eastAsia="仿宋_GB2312"/>
          <w:sz w:val="28"/>
          <w:szCs w:val="28"/>
        </w:rPr>
        <w:t>元，占政府采购支出总额的</w:t>
      </w:r>
      <w:r>
        <w:rPr>
          <w:rFonts w:ascii="仿宋_GB2312" w:eastAsia="仿宋_GB2312"/>
          <w:sz w:val="28"/>
          <w:szCs w:val="28"/>
        </w:rPr>
        <w:t>0.4</w:t>
      </w:r>
      <w:r>
        <w:rPr>
          <w:rFonts w:hint="eastAsia" w:ascii="仿宋_GB2312" w:eastAsia="仿宋_GB2312"/>
          <w:sz w:val="28"/>
          <w:szCs w:val="28"/>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截至12月31日，北京市门头沟区生态环境局（部门）共有车辆3台；单位价值100</w:t>
      </w:r>
      <w:r>
        <w:rPr>
          <w:rFonts w:hint="eastAsia" w:ascii="仿宋_GB2312" w:eastAsia="仿宋_GB2312"/>
          <w:sz w:val="28"/>
          <w:szCs w:val="28"/>
          <w:lang w:val="en-US" w:eastAsia="zh-CN"/>
        </w:rPr>
        <w:t>万</w:t>
      </w:r>
      <w:r>
        <w:rPr>
          <w:rFonts w:hint="eastAsia" w:ascii="仿宋_GB2312" w:eastAsia="仿宋_GB2312"/>
          <w:sz w:val="28"/>
          <w:szCs w:val="28"/>
        </w:rPr>
        <w:t>元（含）以上的设备13台（套）。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ascii="仿宋_GB2312" w:hAnsi="Times New Roman" w:eastAsia="仿宋_GB2312"/>
          <w:b w:val="0"/>
          <w:bCs/>
          <w:color w:val="000000"/>
          <w:spacing w:val="-2"/>
          <w:sz w:val="28"/>
          <w:szCs w:val="28"/>
        </w:rPr>
      </w:pPr>
      <w:r>
        <w:rPr>
          <w:rFonts w:hint="eastAsia" w:ascii="仿宋_GB2312" w:eastAsia="仿宋_GB2312"/>
          <w:sz w:val="28"/>
          <w:szCs w:val="28"/>
        </w:rPr>
        <w:t>6</w:t>
      </w:r>
      <w:r>
        <w:rPr>
          <w:rFonts w:ascii="仿宋_GB2312" w:eastAsia="仿宋_GB2312"/>
          <w:sz w:val="28"/>
          <w:szCs w:val="28"/>
        </w:rPr>
        <w:t>.</w:t>
      </w:r>
      <w:r>
        <w:rPr>
          <w:rFonts w:hint="eastAsia" w:ascii="仿宋_GB2312" w:eastAsia="仿宋_GB2312"/>
          <w:b w:val="0"/>
          <w:bCs/>
          <w:color w:val="000000"/>
          <w:spacing w:val="-2"/>
          <w:sz w:val="28"/>
          <w:szCs w:val="28"/>
        </w:rPr>
        <w:t>各单位需根据自身业务职能</w:t>
      </w:r>
      <w:r>
        <w:rPr>
          <w:rFonts w:hint="eastAsia" w:ascii="仿宋_GB2312" w:hAnsi="Times New Roman" w:eastAsia="仿宋_GB2312"/>
          <w:b w:val="0"/>
          <w:bCs/>
          <w:color w:val="000000"/>
          <w:spacing w:val="-2"/>
          <w:sz w:val="28"/>
          <w:szCs w:val="28"/>
        </w:rPr>
        <w:t>，补充当年使用的所有支出功能分类项级科目名词解释：</w:t>
      </w:r>
    </w:p>
    <w:p>
      <w:pPr>
        <w:spacing w:line="520" w:lineRule="exact"/>
        <w:ind w:firstLine="552" w:firstLineChars="200"/>
        <w:rPr>
          <w:rFonts w:hint="eastAsia" w:ascii="仿宋_GB2312" w:eastAsia="仿宋_GB2312"/>
          <w:b w:val="0"/>
          <w:bCs/>
          <w:sz w:val="28"/>
          <w:szCs w:val="28"/>
        </w:rPr>
      </w:pPr>
      <w:r>
        <w:rPr>
          <w:rFonts w:hint="eastAsia" w:ascii="仿宋_GB2312" w:eastAsia="仿宋_GB2312"/>
          <w:b w:val="0"/>
          <w:bCs/>
          <w:color w:val="000000"/>
          <w:spacing w:val="-2"/>
          <w:sz w:val="28"/>
          <w:szCs w:val="28"/>
          <w:lang w:eastAsia="zh-CN"/>
        </w:rPr>
        <w:t>社会保障和就业支出</w:t>
      </w:r>
      <w:r>
        <w:rPr>
          <w:rFonts w:hint="eastAsia" w:ascii="仿宋_GB2312" w:eastAsia="仿宋_GB2312"/>
          <w:b w:val="0"/>
          <w:bCs/>
          <w:color w:val="000000"/>
          <w:spacing w:val="-2"/>
          <w:sz w:val="28"/>
          <w:szCs w:val="28"/>
        </w:rPr>
        <w:t>（类）</w:t>
      </w:r>
      <w:r>
        <w:rPr>
          <w:rFonts w:hint="eastAsia" w:ascii="仿宋_GB2312" w:eastAsia="仿宋_GB2312"/>
          <w:b w:val="0"/>
          <w:bCs/>
          <w:color w:val="000000"/>
          <w:spacing w:val="-2"/>
          <w:sz w:val="28"/>
          <w:szCs w:val="28"/>
          <w:lang w:eastAsia="zh-CN"/>
        </w:rPr>
        <w:t>行政事业单位养老支出</w:t>
      </w:r>
      <w:r>
        <w:rPr>
          <w:rFonts w:hint="eastAsia" w:ascii="仿宋_GB2312" w:eastAsia="仿宋_GB2312"/>
          <w:b w:val="0"/>
          <w:bCs/>
          <w:color w:val="000000"/>
          <w:spacing w:val="-2"/>
          <w:sz w:val="28"/>
          <w:szCs w:val="28"/>
        </w:rPr>
        <w:t>（款）</w:t>
      </w:r>
      <w:r>
        <w:rPr>
          <w:rFonts w:hint="eastAsia" w:ascii="仿宋_GB2312" w:eastAsia="仿宋_GB2312"/>
          <w:b w:val="0"/>
          <w:bCs/>
          <w:color w:val="000000"/>
          <w:spacing w:val="-2"/>
          <w:sz w:val="28"/>
          <w:szCs w:val="28"/>
          <w:lang w:eastAsia="zh-CN"/>
        </w:rPr>
        <w:t>行政单位离退休</w:t>
      </w:r>
      <w:r>
        <w:rPr>
          <w:rFonts w:hint="eastAsia" w:ascii="仿宋_GB2312" w:eastAsia="仿宋_GB2312"/>
          <w:b w:val="0"/>
          <w:bCs/>
          <w:color w:val="000000"/>
          <w:spacing w:val="-2"/>
          <w:sz w:val="28"/>
          <w:szCs w:val="28"/>
        </w:rPr>
        <w:t>（项）：反映行政单位（包括实行公务员管理的事业单位）</w:t>
      </w:r>
      <w:r>
        <w:rPr>
          <w:rFonts w:hint="eastAsia" w:ascii="仿宋_GB2312" w:eastAsia="仿宋_GB2312"/>
          <w:b w:val="0"/>
          <w:bCs/>
          <w:color w:val="000000"/>
          <w:spacing w:val="-2"/>
          <w:sz w:val="28"/>
          <w:szCs w:val="28"/>
          <w:lang w:eastAsia="zh-CN"/>
        </w:rPr>
        <w:t>开支的离退休经费</w:t>
      </w:r>
      <w:r>
        <w:rPr>
          <w:rFonts w:hint="eastAsia" w:ascii="仿宋_GB2312" w:eastAsia="仿宋_GB2312"/>
          <w:b w:val="0"/>
          <w:bCs/>
          <w:sz w:val="28"/>
          <w:szCs w:val="28"/>
        </w:rPr>
        <w:t>。</w:t>
      </w:r>
    </w:p>
    <w:p>
      <w:pPr>
        <w:spacing w:line="520" w:lineRule="exact"/>
        <w:ind w:firstLine="552" w:firstLineChars="200"/>
        <w:rPr>
          <w:rFonts w:hint="eastAsia" w:ascii="仿宋_GB2312" w:eastAsia="仿宋_GB2312"/>
          <w:b w:val="0"/>
          <w:bCs/>
          <w:sz w:val="28"/>
          <w:szCs w:val="28"/>
        </w:rPr>
      </w:pPr>
      <w:r>
        <w:rPr>
          <w:rFonts w:hint="eastAsia" w:ascii="仿宋_GB2312" w:eastAsia="仿宋_GB2312"/>
          <w:b w:val="0"/>
          <w:bCs/>
          <w:color w:val="000000"/>
          <w:spacing w:val="-2"/>
          <w:sz w:val="28"/>
          <w:szCs w:val="28"/>
          <w:lang w:eastAsia="zh-CN"/>
        </w:rPr>
        <w:t>社会保障和就业支出</w:t>
      </w:r>
      <w:r>
        <w:rPr>
          <w:rFonts w:hint="eastAsia" w:ascii="仿宋_GB2312" w:eastAsia="仿宋_GB2312"/>
          <w:b w:val="0"/>
          <w:bCs/>
          <w:color w:val="000000"/>
          <w:spacing w:val="-2"/>
          <w:sz w:val="28"/>
          <w:szCs w:val="28"/>
        </w:rPr>
        <w:t>（类）</w:t>
      </w:r>
      <w:r>
        <w:rPr>
          <w:rFonts w:hint="eastAsia" w:ascii="仿宋_GB2312" w:eastAsia="仿宋_GB2312"/>
          <w:b w:val="0"/>
          <w:bCs/>
          <w:color w:val="000000"/>
          <w:spacing w:val="-2"/>
          <w:sz w:val="28"/>
          <w:szCs w:val="28"/>
          <w:lang w:eastAsia="zh-CN"/>
        </w:rPr>
        <w:t>行政事业单位养老支出</w:t>
      </w:r>
      <w:r>
        <w:rPr>
          <w:rFonts w:hint="eastAsia" w:ascii="仿宋_GB2312" w:eastAsia="仿宋_GB2312"/>
          <w:b w:val="0"/>
          <w:bCs/>
          <w:color w:val="000000"/>
          <w:spacing w:val="-2"/>
          <w:sz w:val="28"/>
          <w:szCs w:val="28"/>
        </w:rPr>
        <w:t>（款）</w:t>
      </w:r>
      <w:r>
        <w:rPr>
          <w:rFonts w:hint="eastAsia" w:ascii="仿宋_GB2312" w:eastAsia="仿宋_GB2312"/>
          <w:b w:val="0"/>
          <w:bCs/>
          <w:color w:val="000000"/>
          <w:spacing w:val="-2"/>
          <w:sz w:val="28"/>
          <w:szCs w:val="28"/>
          <w:lang w:eastAsia="zh-CN"/>
        </w:rPr>
        <w:t>事业单位离退休</w:t>
      </w:r>
      <w:r>
        <w:rPr>
          <w:rFonts w:hint="eastAsia" w:ascii="仿宋_GB2312" w:eastAsia="仿宋_GB2312"/>
          <w:b w:val="0"/>
          <w:bCs/>
          <w:color w:val="000000"/>
          <w:spacing w:val="-2"/>
          <w:sz w:val="28"/>
          <w:szCs w:val="28"/>
        </w:rPr>
        <w:t>（项）：反映</w:t>
      </w:r>
      <w:r>
        <w:rPr>
          <w:rFonts w:hint="eastAsia" w:ascii="仿宋_GB2312" w:eastAsia="仿宋_GB2312"/>
          <w:b w:val="0"/>
          <w:bCs/>
          <w:color w:val="000000"/>
          <w:spacing w:val="-2"/>
          <w:sz w:val="28"/>
          <w:szCs w:val="28"/>
          <w:lang w:eastAsia="zh-CN"/>
        </w:rPr>
        <w:t>事业</w:t>
      </w:r>
      <w:r>
        <w:rPr>
          <w:rFonts w:hint="eastAsia" w:ascii="仿宋_GB2312" w:eastAsia="仿宋_GB2312"/>
          <w:b w:val="0"/>
          <w:bCs/>
          <w:color w:val="000000"/>
          <w:spacing w:val="-2"/>
          <w:sz w:val="28"/>
          <w:szCs w:val="28"/>
        </w:rPr>
        <w:t>单位</w:t>
      </w:r>
      <w:r>
        <w:rPr>
          <w:rFonts w:hint="eastAsia" w:ascii="仿宋_GB2312" w:eastAsia="仿宋_GB2312"/>
          <w:b w:val="0"/>
          <w:bCs/>
          <w:color w:val="000000"/>
          <w:spacing w:val="-2"/>
          <w:sz w:val="28"/>
          <w:szCs w:val="28"/>
          <w:lang w:eastAsia="zh-CN"/>
        </w:rPr>
        <w:t>开支的离退休经费</w:t>
      </w:r>
      <w:r>
        <w:rPr>
          <w:rFonts w:hint="eastAsia" w:ascii="仿宋_GB2312" w:eastAsia="仿宋_GB2312"/>
          <w:b w:val="0"/>
          <w:bCs/>
          <w:sz w:val="28"/>
          <w:szCs w:val="28"/>
        </w:rPr>
        <w:t>。</w:t>
      </w:r>
    </w:p>
    <w:p>
      <w:pPr>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节能环保支出（类）环境保护管理事务（款）行政运行（项）：反映行政单位（包括实行公务员管理的事业单位）的基本支出。</w:t>
      </w:r>
    </w:p>
    <w:p>
      <w:pPr>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节能环保支出（类）环境保护管理事务（款）一般行政管理事务（项）：反映行政单位（包括实行公务员管理的事业单位）未单独设置项级科目的其他项目支出。</w:t>
      </w:r>
    </w:p>
    <w:p>
      <w:pPr>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节能环保支出（类）污染防治（款）大气（项）：反映政府在治理空气污染、汽车尾气、酸雨、二氧化硫、沙尘暴等方面的支出。</w:t>
      </w:r>
    </w:p>
    <w:p>
      <w:pPr>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节能环保支出（类）污染减排（款）生态环境监测与信息（项）：反映生态环境部门监测和信息方面的支出。</w:t>
      </w:r>
    </w:p>
    <w:p>
      <w:pPr>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资源勘探工业信息等支出（类）制造业（款）其他制造业支出（项）：反映除纺织、轻工、化工、医药、机械、冶炼、建材、交通运输设备、烟草、兵器、核工、航空、航天、船舶、电子及通讯设备等以外其他用于制造业方面的支出。</w:t>
      </w:r>
    </w:p>
    <w:p>
      <w:pPr>
        <w:rPr>
          <w:rFonts w:ascii="黑体" w:eastAsia="黑体"/>
          <w:sz w:val="32"/>
          <w:szCs w:val="32"/>
        </w:rPr>
      </w:pPr>
    </w:p>
    <w:p>
      <w:pPr>
        <w:jc w:val="both"/>
        <w:rPr>
          <w:rFonts w:ascii="黑体" w:eastAsia="黑体"/>
          <w:sz w:val="32"/>
          <w:szCs w:val="32"/>
        </w:rPr>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80" w:lineRule="exact"/>
        <w:ind w:firstLine="640"/>
        <w:rPr>
          <w:rFonts w:hint="eastAsia" w:ascii="仿宋_GB2312" w:eastAsia="仿宋_GB2312"/>
          <w:sz w:val="32"/>
          <w:szCs w:val="32"/>
        </w:rPr>
      </w:pPr>
      <w:bookmarkStart w:id="1" w:name="_Toc268005755"/>
      <w:r>
        <w:rPr>
          <w:rFonts w:hint="eastAsia" w:ascii="仿宋_GB2312" w:eastAsia="仿宋_GB2312"/>
          <w:sz w:val="32"/>
          <w:szCs w:val="32"/>
        </w:rPr>
        <w:t>1.部门职责情况</w:t>
      </w:r>
    </w:p>
    <w:p>
      <w:pPr>
        <w:pStyle w:val="2"/>
        <w:rPr>
          <w:rFonts w:hint="eastAsia" w:eastAsia="仿宋_GB2312"/>
          <w:lang w:val="en-US" w:eastAsia="zh-CN"/>
        </w:rPr>
      </w:pPr>
      <w:r>
        <w:rPr>
          <w:rFonts w:hint="eastAsia" w:ascii="仿宋_GB2312" w:eastAsia="仿宋_GB2312"/>
          <w:sz w:val="32"/>
          <w:szCs w:val="32"/>
          <w:lang w:val="en-US" w:eastAsia="zh-CN"/>
        </w:rPr>
        <w:t xml:space="preserve">  </w:t>
      </w:r>
      <w:r>
        <w:rPr>
          <w:rFonts w:hint="eastAsia" w:ascii="仿宋_GB2312" w:hAnsi="仿宋" w:eastAsia="仿宋_GB2312" w:cs="Times New Roman"/>
          <w:sz w:val="28"/>
          <w:szCs w:val="28"/>
        </w:rPr>
        <w:t>北京市门头沟区生态环境局负责建立健全本区生态环境基本制度，负责本区重大生态环境问题的统筹协调和监督管理，负责监督管理本区污染减排目标的落实。参与提出生态环境项目财政性资金安排的意见，配合有关部门做好组织实施和监督工作，负责本区环境污染防治的监督管理。指导协调和监督本区生态保护修复工作，负责本区辐射安全的监督管理，负责本区生态环境准入的监督管理，负责本区生态环境监测相关工作。组织本区开展应对气候变化工作，组织开展本区生态环境保护督查工作，组织指导和协调本区生态环境宣传教育工作。负责组织开展生态环境监督执法，负责指导、监督检查各乡镇、街道生态环境工作，完成区委、区政府交办的其他任务。</w:t>
      </w:r>
    </w:p>
    <w:p>
      <w:pPr>
        <w:numPr>
          <w:ilvl w:val="0"/>
          <w:numId w:val="0"/>
        </w:numPr>
        <w:spacing w:line="580" w:lineRule="exact"/>
        <w:ind w:left="600" w:leftChars="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部门机构设置情况</w:t>
      </w:r>
    </w:p>
    <w:p>
      <w:pPr>
        <w:pStyle w:val="2"/>
        <w:numPr>
          <w:ilvl w:val="0"/>
          <w:numId w:val="0"/>
        </w:numPr>
        <w:ind w:left="600" w:leftChars="0"/>
        <w:rPr>
          <w:rFonts w:hint="eastAsia" w:ascii="仿宋_GB2312" w:hAnsi="仿宋" w:eastAsia="仿宋_GB2312" w:cs="Times New Roman"/>
          <w:sz w:val="28"/>
          <w:szCs w:val="28"/>
        </w:rPr>
      </w:pPr>
      <w:r>
        <w:rPr>
          <w:rFonts w:hint="eastAsia" w:ascii="仿宋_GB2312" w:hAnsi="仿宋" w:eastAsia="仿宋_GB2312" w:cs="Times New Roman"/>
          <w:sz w:val="28"/>
          <w:szCs w:val="28"/>
        </w:rPr>
        <w:t>共设5个内设机构，分别是办公室、综合科、大气科、污管科、审批科；下属2个事业单位门头沟区生态环境事务</w:t>
      </w:r>
    </w:p>
    <w:p>
      <w:pPr>
        <w:pStyle w:val="2"/>
        <w:numPr>
          <w:ilvl w:val="0"/>
          <w:numId w:val="0"/>
        </w:numPr>
        <w:rPr>
          <w:rFonts w:hint="eastAsia"/>
        </w:rPr>
      </w:pPr>
      <w:r>
        <w:rPr>
          <w:rFonts w:hint="eastAsia" w:ascii="仿宋_GB2312" w:hAnsi="仿宋" w:eastAsia="仿宋_GB2312" w:cs="Times New Roman"/>
          <w:sz w:val="28"/>
          <w:szCs w:val="28"/>
        </w:rPr>
        <w:t>中心和监测站，1个行政执法单位门头沟区生态环境综合执法大队。</w:t>
      </w:r>
    </w:p>
    <w:p>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p>
      <w:pPr>
        <w:pStyle w:val="2"/>
        <w:ind w:left="0" w:leftChars="0" w:firstLine="0" w:firstLineChars="0"/>
        <w:rPr>
          <w:rFonts w:hint="eastAsia" w:eastAsia="仿宋_GB2312"/>
          <w:lang w:val="en-US" w:eastAsia="zh-CN"/>
        </w:rPr>
      </w:pPr>
      <w:r>
        <w:rPr>
          <w:rFonts w:hint="eastAsia" w:ascii="仿宋_GB2312" w:eastAsia="仿宋_GB2312"/>
          <w:sz w:val="32"/>
          <w:szCs w:val="32"/>
          <w:lang w:val="en-US" w:eastAsia="zh-CN"/>
        </w:rPr>
        <w:t xml:space="preserve">    </w:t>
      </w:r>
      <w:r>
        <w:rPr>
          <w:rFonts w:hint="eastAsia" w:ascii="仿宋_GB2312" w:hAnsi="仿宋" w:eastAsia="仿宋_GB2312" w:cs="Times New Roman"/>
          <w:sz w:val="28"/>
          <w:szCs w:val="28"/>
        </w:rPr>
        <w:t>牢牢把握生态涵养区功能定位，贯彻国家和北京市“十四五”规划要求，坚持以改善生态环境质量为核心，扎实推进生态文明建设和各项生态环境保护工作。</w:t>
      </w:r>
      <w:r>
        <w:rPr>
          <w:rFonts w:hint="eastAsia" w:ascii="仿宋_GB2312" w:hAnsi="仿宋" w:eastAsia="仿宋_GB2312" w:cs="Times New Roman"/>
          <w:b/>
          <w:bCs/>
          <w:sz w:val="28"/>
          <w:szCs w:val="28"/>
        </w:rPr>
        <w:t>一是</w:t>
      </w:r>
      <w:r>
        <w:rPr>
          <w:rFonts w:hint="eastAsia" w:ascii="仿宋_GB2312" w:hAnsi="仿宋" w:eastAsia="仿宋_GB2312" w:cs="Times New Roman"/>
          <w:sz w:val="28"/>
          <w:szCs w:val="28"/>
        </w:rPr>
        <w:t>全面提升生态环境保护执法效能和质量水平，推动精细化治污，持续深入打好污染防治攻坚战,巩固空气质量改善成效，PM</w:t>
      </w:r>
      <w:r>
        <w:rPr>
          <w:rFonts w:hint="eastAsia" w:ascii="仿宋_GB2312" w:hAnsi="仿宋" w:eastAsia="仿宋_GB2312" w:cs="Times New Roman"/>
          <w:sz w:val="28"/>
          <w:szCs w:val="28"/>
          <w:vertAlign w:val="subscript"/>
        </w:rPr>
        <w:t>2.5</w:t>
      </w:r>
      <w:r>
        <w:rPr>
          <w:rFonts w:hint="eastAsia" w:ascii="仿宋_GB2312" w:hAnsi="仿宋" w:eastAsia="仿宋_GB2312" w:cs="Times New Roman"/>
          <w:sz w:val="28"/>
          <w:szCs w:val="28"/>
        </w:rPr>
        <w:t>年均浓度、优良天数比率、重污染天数比率高质量完成市级下达的目标要求。</w:t>
      </w:r>
      <w:r>
        <w:rPr>
          <w:rFonts w:hint="eastAsia" w:ascii="仿宋_GB2312" w:hAnsi="仿宋" w:eastAsia="仿宋_GB2312" w:cs="Times New Roman"/>
          <w:b/>
          <w:bCs/>
          <w:sz w:val="28"/>
          <w:szCs w:val="28"/>
        </w:rPr>
        <w:t>二是</w:t>
      </w:r>
      <w:r>
        <w:rPr>
          <w:rFonts w:hint="eastAsia" w:ascii="仿宋_GB2312" w:hAnsi="仿宋" w:eastAsia="仿宋_GB2312" w:cs="Times New Roman"/>
          <w:sz w:val="28"/>
          <w:szCs w:val="28"/>
        </w:rPr>
        <w:t>全面提升区级生态环境监测机构监测能力，提供更加精准有效的监测数据，为全区生态环境监管提供有效技术支持。</w:t>
      </w:r>
      <w:r>
        <w:rPr>
          <w:rFonts w:hint="eastAsia" w:ascii="仿宋_GB2312" w:hAnsi="仿宋" w:eastAsia="仿宋_GB2312" w:cs="Times New Roman"/>
          <w:b/>
          <w:bCs/>
          <w:sz w:val="28"/>
          <w:szCs w:val="28"/>
        </w:rPr>
        <w:t>三是</w:t>
      </w:r>
      <w:r>
        <w:rPr>
          <w:rFonts w:hint="eastAsia" w:ascii="仿宋_GB2312" w:hAnsi="仿宋" w:eastAsia="仿宋_GB2312" w:cs="Times New Roman"/>
          <w:sz w:val="28"/>
          <w:szCs w:val="28"/>
        </w:rPr>
        <w:t>巩固环境质量改善成效，市控断面优良水体比例、重点建设用地安全利用率达到考核要求，加大排污许可证核查核实，全面实行排污许可制。</w:t>
      </w:r>
      <w:r>
        <w:rPr>
          <w:rFonts w:hint="eastAsia" w:ascii="仿宋_GB2312" w:hAnsi="仿宋" w:eastAsia="仿宋_GB2312" w:cs="Times New Roman"/>
          <w:b/>
          <w:bCs/>
          <w:sz w:val="28"/>
          <w:szCs w:val="28"/>
        </w:rPr>
        <w:t>四是</w:t>
      </w:r>
      <w:r>
        <w:rPr>
          <w:rFonts w:hint="eastAsia" w:ascii="仿宋_GB2312" w:hAnsi="仿宋" w:eastAsia="仿宋_GB2312" w:cs="Times New Roman"/>
          <w:sz w:val="28"/>
          <w:szCs w:val="28"/>
        </w:rPr>
        <w:t>生态环境质量稳中向好，开展EI监测评估及提升策略研究，开展典型区域生态产品供需评估与GEP稳步增长对策研究，建立生物多样性智慧监测体系，深化生态文明示范创建，促进生态保护可持续发展。</w:t>
      </w:r>
      <w:r>
        <w:rPr>
          <w:rFonts w:hint="eastAsia" w:ascii="仿宋_GB2312" w:hAnsi="仿宋" w:eastAsia="仿宋_GB2312" w:cs="Times New Roman"/>
          <w:b/>
          <w:bCs/>
          <w:sz w:val="28"/>
          <w:szCs w:val="28"/>
        </w:rPr>
        <w:t>五是</w:t>
      </w:r>
      <w:r>
        <w:rPr>
          <w:rFonts w:hint="eastAsia" w:ascii="仿宋_GB2312" w:hAnsi="仿宋" w:eastAsia="仿宋_GB2312" w:cs="Times New Roman"/>
          <w:sz w:val="28"/>
          <w:szCs w:val="28"/>
        </w:rPr>
        <w:t>加强生态环境风险监测、评估和预防，实施覆盖全域的生态系统监测评估，加大日常巡查和执法监管力度，守牢生态安全底线。</w:t>
      </w:r>
    </w:p>
    <w:bookmarkEnd w:id="1"/>
    <w:p>
      <w:pPr>
        <w:spacing w:line="580" w:lineRule="exact"/>
        <w:ind w:firstLine="640"/>
        <w:rPr>
          <w:rFonts w:hint="eastAsia" w:ascii="仿宋_GB2312" w:eastAsia="仿宋_GB2312"/>
          <w:sz w:val="32"/>
          <w:szCs w:val="32"/>
        </w:rPr>
      </w:pPr>
      <w:bookmarkStart w:id="2" w:name="_Toc268005759"/>
      <w:bookmarkStart w:id="3" w:name="_Toc263686375"/>
      <w:r>
        <w:rPr>
          <w:rFonts w:hint="eastAsia" w:ascii="仿宋_GB2312" w:eastAsia="仿宋_GB2312"/>
          <w:sz w:val="32"/>
          <w:szCs w:val="32"/>
        </w:rPr>
        <w:t>4.部门</w:t>
      </w:r>
      <w:bookmarkEnd w:id="2"/>
      <w:r>
        <w:rPr>
          <w:rFonts w:hint="eastAsia" w:ascii="仿宋_GB2312" w:eastAsia="仿宋_GB2312"/>
          <w:sz w:val="32"/>
          <w:szCs w:val="32"/>
        </w:rPr>
        <w:t>整体绩效目标设立情况</w:t>
      </w:r>
    </w:p>
    <w:tbl>
      <w:tblPr>
        <w:tblStyle w:val="15"/>
        <w:tblW w:w="14786" w:type="dxa"/>
        <w:tblInd w:w="0" w:type="dxa"/>
        <w:tblLayout w:type="fixed"/>
        <w:tblCellMar>
          <w:top w:w="0" w:type="dxa"/>
          <w:left w:w="108" w:type="dxa"/>
          <w:bottom w:w="0" w:type="dxa"/>
          <w:right w:w="108" w:type="dxa"/>
        </w:tblCellMar>
      </w:tblPr>
      <w:tblGrid>
        <w:gridCol w:w="2011"/>
        <w:gridCol w:w="2783"/>
        <w:gridCol w:w="2523"/>
        <w:gridCol w:w="2020"/>
        <w:gridCol w:w="2529"/>
        <w:gridCol w:w="2920"/>
      </w:tblGrid>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2783"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2523"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指标性质</w:t>
            </w:r>
          </w:p>
        </w:tc>
        <w:tc>
          <w:tcPr>
            <w:tcW w:w="2020"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指标值</w:t>
            </w:r>
          </w:p>
        </w:tc>
        <w:tc>
          <w:tcPr>
            <w:tcW w:w="2529" w:type="dxa"/>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度量单位</w:t>
            </w:r>
          </w:p>
        </w:tc>
        <w:tc>
          <w:tcPr>
            <w:tcW w:w="2920" w:type="dxa"/>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指标权重</w:t>
            </w: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ascii="仿宋_GB2312" w:hAnsi="仿宋" w:eastAsia="仿宋_GB2312" w:cs="Times New Roman"/>
                <w:sz w:val="28"/>
                <w:szCs w:val="28"/>
              </w:rPr>
              <w:t>1</w:t>
            </w:r>
          </w:p>
        </w:tc>
        <w:tc>
          <w:tcPr>
            <w:tcW w:w="2783"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生态环境质量指数</w:t>
            </w:r>
          </w:p>
        </w:tc>
        <w:tc>
          <w:tcPr>
            <w:tcW w:w="2523"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定性</w:t>
            </w:r>
          </w:p>
        </w:tc>
        <w:tc>
          <w:tcPr>
            <w:tcW w:w="2020"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稳中向好</w:t>
            </w:r>
          </w:p>
        </w:tc>
        <w:tc>
          <w:tcPr>
            <w:tcW w:w="2529"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w:t>
            </w:r>
          </w:p>
        </w:tc>
        <w:tc>
          <w:tcPr>
            <w:tcW w:w="2920"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10%</w:t>
            </w: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ascii="仿宋_GB2312" w:hAnsi="仿宋" w:eastAsia="仿宋_GB2312" w:cs="Times New Roman"/>
                <w:sz w:val="28"/>
                <w:szCs w:val="28"/>
              </w:rPr>
              <w:t>2</w:t>
            </w:r>
          </w:p>
        </w:tc>
        <w:tc>
          <w:tcPr>
            <w:tcW w:w="2783"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空气质量、水生态环境质量</w:t>
            </w:r>
          </w:p>
        </w:tc>
        <w:tc>
          <w:tcPr>
            <w:tcW w:w="2523"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定性</w:t>
            </w:r>
          </w:p>
        </w:tc>
        <w:tc>
          <w:tcPr>
            <w:tcW w:w="2020"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稳中向好</w:t>
            </w:r>
          </w:p>
        </w:tc>
        <w:tc>
          <w:tcPr>
            <w:tcW w:w="2529"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w:t>
            </w:r>
          </w:p>
        </w:tc>
        <w:tc>
          <w:tcPr>
            <w:tcW w:w="2920"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10%</w:t>
            </w: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ascii="仿宋_GB2312" w:hAnsi="仿宋" w:eastAsia="仿宋_GB2312" w:cs="Times New Roman"/>
                <w:sz w:val="28"/>
                <w:szCs w:val="28"/>
              </w:rPr>
              <w:t>3</w:t>
            </w:r>
          </w:p>
        </w:tc>
        <w:tc>
          <w:tcPr>
            <w:tcW w:w="2783"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预算项目支出进度</w:t>
            </w:r>
          </w:p>
        </w:tc>
        <w:tc>
          <w:tcPr>
            <w:tcW w:w="2523"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w:t>
            </w:r>
          </w:p>
        </w:tc>
        <w:tc>
          <w:tcPr>
            <w:tcW w:w="2020"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12</w:t>
            </w:r>
          </w:p>
        </w:tc>
        <w:tc>
          <w:tcPr>
            <w:tcW w:w="2529"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月</w:t>
            </w:r>
          </w:p>
        </w:tc>
        <w:tc>
          <w:tcPr>
            <w:tcW w:w="2920"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10%</w:t>
            </w: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4</w:t>
            </w:r>
          </w:p>
        </w:tc>
        <w:tc>
          <w:tcPr>
            <w:tcW w:w="2783"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实施项目验收合格率</w:t>
            </w:r>
          </w:p>
        </w:tc>
        <w:tc>
          <w:tcPr>
            <w:tcW w:w="2523"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w:t>
            </w:r>
          </w:p>
        </w:tc>
        <w:tc>
          <w:tcPr>
            <w:tcW w:w="2020"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90</w:t>
            </w:r>
          </w:p>
        </w:tc>
        <w:tc>
          <w:tcPr>
            <w:tcW w:w="2529"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w:t>
            </w:r>
          </w:p>
        </w:tc>
        <w:tc>
          <w:tcPr>
            <w:tcW w:w="2920"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10%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bookmarkStart w:id="4" w:name="_Toc268005761"/>
            <w:r>
              <w:rPr>
                <w:rFonts w:hint="eastAsia" w:ascii="仿宋_GB2312" w:hAnsi="仿宋" w:eastAsia="仿宋_GB2312" w:cs="Times New Roman"/>
                <w:sz w:val="28"/>
                <w:szCs w:val="28"/>
                <w:lang w:val="en-US" w:eastAsia="zh-CN"/>
              </w:rPr>
              <w:t>5</w:t>
            </w:r>
          </w:p>
        </w:tc>
        <w:tc>
          <w:tcPr>
            <w:tcW w:w="2783"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重污染天数比率</w:t>
            </w:r>
          </w:p>
        </w:tc>
        <w:tc>
          <w:tcPr>
            <w:tcW w:w="2523"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w:t>
            </w:r>
          </w:p>
        </w:tc>
        <w:tc>
          <w:tcPr>
            <w:tcW w:w="2020"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3</w:t>
            </w:r>
          </w:p>
        </w:tc>
        <w:tc>
          <w:tcPr>
            <w:tcW w:w="2529"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w:t>
            </w:r>
          </w:p>
        </w:tc>
        <w:tc>
          <w:tcPr>
            <w:tcW w:w="2920"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10%</w:t>
            </w:r>
          </w:p>
        </w:tc>
      </w:tr>
      <w:tr>
        <w:tblPrEx>
          <w:tblLayout w:type="fixed"/>
          <w:tblCellMar>
            <w:top w:w="0" w:type="dxa"/>
            <w:left w:w="108" w:type="dxa"/>
            <w:bottom w:w="0" w:type="dxa"/>
            <w:right w:w="108" w:type="dxa"/>
          </w:tblCellMar>
        </w:tblPrEx>
        <w:trPr>
          <w:trHeight w:val="922" w:hRule="atLeast"/>
        </w:trPr>
        <w:tc>
          <w:tcPr>
            <w:tcW w:w="2011"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6</w:t>
            </w:r>
          </w:p>
        </w:tc>
        <w:tc>
          <w:tcPr>
            <w:tcW w:w="2783"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重点建设用地安全利用率</w:t>
            </w:r>
          </w:p>
        </w:tc>
        <w:tc>
          <w:tcPr>
            <w:tcW w:w="2523"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w:t>
            </w:r>
          </w:p>
        </w:tc>
        <w:tc>
          <w:tcPr>
            <w:tcW w:w="2020"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100</w:t>
            </w:r>
          </w:p>
        </w:tc>
        <w:tc>
          <w:tcPr>
            <w:tcW w:w="2529"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w:t>
            </w:r>
          </w:p>
        </w:tc>
        <w:tc>
          <w:tcPr>
            <w:tcW w:w="2920"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10%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7</w:t>
            </w:r>
          </w:p>
        </w:tc>
        <w:tc>
          <w:tcPr>
            <w:tcW w:w="2783"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优良天数比率</w:t>
            </w:r>
          </w:p>
        </w:tc>
        <w:tc>
          <w:tcPr>
            <w:tcW w:w="2523"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w:t>
            </w:r>
          </w:p>
        </w:tc>
        <w:tc>
          <w:tcPr>
            <w:tcW w:w="2020"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78</w:t>
            </w:r>
          </w:p>
        </w:tc>
        <w:tc>
          <w:tcPr>
            <w:tcW w:w="2529"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w:t>
            </w:r>
          </w:p>
        </w:tc>
        <w:tc>
          <w:tcPr>
            <w:tcW w:w="2920"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10%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8</w:t>
            </w:r>
          </w:p>
        </w:tc>
        <w:tc>
          <w:tcPr>
            <w:tcW w:w="2783"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断面水质达标率</w:t>
            </w:r>
          </w:p>
        </w:tc>
        <w:tc>
          <w:tcPr>
            <w:tcW w:w="2523"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w:t>
            </w:r>
          </w:p>
        </w:tc>
        <w:tc>
          <w:tcPr>
            <w:tcW w:w="2020"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100</w:t>
            </w:r>
          </w:p>
        </w:tc>
        <w:tc>
          <w:tcPr>
            <w:tcW w:w="2529"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w:t>
            </w:r>
          </w:p>
        </w:tc>
        <w:tc>
          <w:tcPr>
            <w:tcW w:w="2920"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10%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9</w:t>
            </w:r>
          </w:p>
        </w:tc>
        <w:tc>
          <w:tcPr>
            <w:tcW w:w="2783"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公众生态环境满意度</w:t>
            </w:r>
          </w:p>
        </w:tc>
        <w:tc>
          <w:tcPr>
            <w:tcW w:w="2523"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w:t>
            </w:r>
          </w:p>
        </w:tc>
        <w:tc>
          <w:tcPr>
            <w:tcW w:w="2020"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95</w:t>
            </w:r>
          </w:p>
        </w:tc>
        <w:tc>
          <w:tcPr>
            <w:tcW w:w="2529"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w:t>
            </w:r>
          </w:p>
        </w:tc>
        <w:tc>
          <w:tcPr>
            <w:tcW w:w="2920"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10%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10</w:t>
            </w:r>
          </w:p>
        </w:tc>
        <w:tc>
          <w:tcPr>
            <w:tcW w:w="2783"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预算项目金额</w:t>
            </w:r>
          </w:p>
        </w:tc>
        <w:tc>
          <w:tcPr>
            <w:tcW w:w="2523"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w:t>
            </w:r>
          </w:p>
        </w:tc>
        <w:tc>
          <w:tcPr>
            <w:tcW w:w="2020"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37797709.28</w:t>
            </w:r>
          </w:p>
        </w:tc>
        <w:tc>
          <w:tcPr>
            <w:tcW w:w="2529"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元</w:t>
            </w:r>
          </w:p>
        </w:tc>
        <w:tc>
          <w:tcPr>
            <w:tcW w:w="2920" w:type="dxa"/>
            <w:tcBorders>
              <w:top w:val="single" w:color="auto" w:sz="4" w:space="0"/>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10%</w:t>
            </w:r>
          </w:p>
        </w:tc>
      </w:tr>
    </w:tbl>
    <w:p>
      <w:pPr>
        <w:spacing w:line="580" w:lineRule="exact"/>
        <w:ind w:firstLine="641"/>
        <w:rPr>
          <w:rFonts w:hint="eastAsia" w:ascii="楷体_GB2312" w:hAnsi="Calibri" w:eastAsia="楷体_GB2312"/>
          <w:b/>
          <w:sz w:val="32"/>
          <w:szCs w:val="32"/>
        </w:rPr>
      </w:pPr>
      <w:r>
        <w:rPr>
          <w:rFonts w:hint="eastAsia" w:ascii="楷体_GB2312" w:eastAsia="楷体_GB2312"/>
          <w:b/>
          <w:sz w:val="32"/>
          <w:szCs w:val="32"/>
        </w:rPr>
        <w:t>(二)当年预算执行情况</w:t>
      </w:r>
      <w:bookmarkEnd w:id="4"/>
      <w:r>
        <w:rPr>
          <w:rFonts w:hint="eastAsia" w:ascii="仿宋_GB2312" w:eastAsia="仿宋_GB2312"/>
          <w:sz w:val="32"/>
          <w:szCs w:val="32"/>
        </w:rPr>
        <w:t xml:space="preserve">  </w:t>
      </w:r>
    </w:p>
    <w:p>
      <w:pPr>
        <w:pageBreakBefore w:val="0"/>
        <w:kinsoku/>
        <w:wordWrap/>
        <w:overflowPunct/>
        <w:topLinePunct w:val="0"/>
        <w:autoSpaceDE/>
        <w:autoSpaceDN/>
        <w:bidi w:val="0"/>
        <w:spacing w:line="560" w:lineRule="exact"/>
        <w:ind w:firstLine="560" w:firstLineChars="200"/>
        <w:textAlignment w:val="auto"/>
        <w:rPr>
          <w:rFonts w:ascii="仿宋_GB2312" w:hAnsi="仿宋" w:eastAsia="仿宋_GB2312" w:cs="Times New Roman"/>
          <w:color w:val="auto"/>
          <w:sz w:val="28"/>
          <w:szCs w:val="28"/>
        </w:rPr>
      </w:pPr>
      <w:r>
        <w:rPr>
          <w:rFonts w:ascii="仿宋_GB2312" w:hAnsi="仿宋" w:eastAsia="仿宋_GB2312" w:cs="Times New Roman"/>
          <w:color w:val="auto"/>
          <w:sz w:val="28"/>
          <w:szCs w:val="28"/>
        </w:rPr>
        <w:t>202</w:t>
      </w:r>
      <w:r>
        <w:rPr>
          <w:rFonts w:hint="eastAsia" w:ascii="仿宋_GB2312" w:hAnsi="仿宋" w:eastAsia="仿宋_GB2312" w:cs="Times New Roman"/>
          <w:color w:val="auto"/>
          <w:sz w:val="28"/>
          <w:szCs w:val="28"/>
        </w:rPr>
        <w:t>5年全年预算数8</w:t>
      </w:r>
      <w:r>
        <w:rPr>
          <w:rFonts w:hint="eastAsia" w:ascii="仿宋_GB2312" w:hAnsi="仿宋" w:eastAsia="仿宋_GB2312" w:cs="Times New Roman"/>
          <w:color w:val="auto"/>
          <w:sz w:val="28"/>
          <w:szCs w:val="28"/>
          <w:lang w:val="en-US" w:eastAsia="zh-CN"/>
        </w:rPr>
        <w:t>,</w:t>
      </w:r>
      <w:r>
        <w:rPr>
          <w:rFonts w:hint="eastAsia" w:ascii="仿宋_GB2312" w:hAnsi="仿宋" w:eastAsia="仿宋_GB2312" w:cs="Times New Roman"/>
          <w:color w:val="auto"/>
          <w:sz w:val="28"/>
          <w:szCs w:val="28"/>
        </w:rPr>
        <w:t>110</w:t>
      </w:r>
      <w:r>
        <w:rPr>
          <w:rFonts w:hint="eastAsia" w:ascii="仿宋_GB2312" w:hAnsi="仿宋" w:eastAsia="仿宋_GB2312" w:cs="Times New Roman"/>
          <w:color w:val="auto"/>
          <w:sz w:val="28"/>
          <w:szCs w:val="28"/>
          <w:lang w:val="en-US" w:eastAsia="zh-CN"/>
        </w:rPr>
        <w:t>.</w:t>
      </w:r>
      <w:r>
        <w:rPr>
          <w:rFonts w:hint="eastAsia" w:ascii="仿宋_GB2312" w:hAnsi="仿宋" w:eastAsia="仿宋_GB2312" w:cs="Times New Roman"/>
          <w:color w:val="auto"/>
          <w:sz w:val="28"/>
          <w:szCs w:val="28"/>
        </w:rPr>
        <w:t>33万元，其中：基本支出3</w:t>
      </w:r>
      <w:r>
        <w:rPr>
          <w:rFonts w:hint="eastAsia" w:ascii="仿宋_GB2312" w:hAnsi="仿宋" w:eastAsia="仿宋_GB2312" w:cs="Times New Roman"/>
          <w:color w:val="auto"/>
          <w:sz w:val="28"/>
          <w:szCs w:val="28"/>
          <w:lang w:val="en-US" w:eastAsia="zh-CN"/>
        </w:rPr>
        <w:t>,</w:t>
      </w:r>
      <w:r>
        <w:rPr>
          <w:rFonts w:hint="eastAsia" w:ascii="仿宋_GB2312" w:hAnsi="仿宋" w:eastAsia="仿宋_GB2312" w:cs="Times New Roman"/>
          <w:color w:val="auto"/>
          <w:sz w:val="28"/>
          <w:szCs w:val="28"/>
        </w:rPr>
        <w:t>652</w:t>
      </w:r>
      <w:r>
        <w:rPr>
          <w:rFonts w:hint="eastAsia" w:ascii="仿宋_GB2312" w:hAnsi="仿宋" w:eastAsia="仿宋_GB2312" w:cs="Times New Roman"/>
          <w:color w:val="auto"/>
          <w:sz w:val="28"/>
          <w:szCs w:val="28"/>
          <w:lang w:val="en-US" w:eastAsia="zh-CN"/>
        </w:rPr>
        <w:t>.</w:t>
      </w:r>
      <w:r>
        <w:rPr>
          <w:rFonts w:hint="eastAsia" w:ascii="仿宋_GB2312" w:hAnsi="仿宋" w:eastAsia="仿宋_GB2312" w:cs="Times New Roman"/>
          <w:color w:val="auto"/>
          <w:sz w:val="28"/>
          <w:szCs w:val="28"/>
        </w:rPr>
        <w:t>3</w:t>
      </w:r>
      <w:r>
        <w:rPr>
          <w:rFonts w:hint="eastAsia" w:ascii="仿宋_GB2312" w:hAnsi="仿宋" w:eastAsia="仿宋_GB2312" w:cs="Times New Roman"/>
          <w:color w:val="auto"/>
          <w:sz w:val="28"/>
          <w:szCs w:val="28"/>
          <w:lang w:val="en-US" w:eastAsia="zh-CN"/>
        </w:rPr>
        <w:t>7</w:t>
      </w:r>
      <w:r>
        <w:rPr>
          <w:rFonts w:hint="eastAsia" w:ascii="仿宋_GB2312" w:hAnsi="仿宋" w:eastAsia="仿宋_GB2312" w:cs="Times New Roman"/>
          <w:color w:val="auto"/>
          <w:sz w:val="28"/>
          <w:szCs w:val="28"/>
        </w:rPr>
        <w:t>万元，占比45.03%；项目支出4</w:t>
      </w:r>
      <w:r>
        <w:rPr>
          <w:rFonts w:hint="eastAsia" w:ascii="仿宋_GB2312" w:hAnsi="仿宋" w:eastAsia="仿宋_GB2312" w:cs="Times New Roman"/>
          <w:color w:val="auto"/>
          <w:sz w:val="28"/>
          <w:szCs w:val="28"/>
          <w:lang w:val="en-US" w:eastAsia="zh-CN"/>
        </w:rPr>
        <w:t>,</w:t>
      </w:r>
      <w:r>
        <w:rPr>
          <w:rFonts w:hint="eastAsia" w:ascii="仿宋_GB2312" w:hAnsi="仿宋" w:eastAsia="仿宋_GB2312" w:cs="Times New Roman"/>
          <w:color w:val="auto"/>
          <w:sz w:val="28"/>
          <w:szCs w:val="28"/>
        </w:rPr>
        <w:t>457</w:t>
      </w:r>
      <w:r>
        <w:rPr>
          <w:rFonts w:hint="eastAsia" w:ascii="仿宋_GB2312" w:hAnsi="仿宋" w:eastAsia="仿宋_GB2312" w:cs="Times New Roman"/>
          <w:color w:val="auto"/>
          <w:sz w:val="28"/>
          <w:szCs w:val="28"/>
          <w:lang w:val="en-US" w:eastAsia="zh-CN"/>
        </w:rPr>
        <w:t>.</w:t>
      </w:r>
      <w:r>
        <w:rPr>
          <w:rFonts w:hint="eastAsia" w:ascii="仿宋_GB2312" w:hAnsi="仿宋" w:eastAsia="仿宋_GB2312" w:cs="Times New Roman"/>
          <w:color w:val="auto"/>
          <w:sz w:val="28"/>
          <w:szCs w:val="28"/>
        </w:rPr>
        <w:t>9</w:t>
      </w:r>
      <w:r>
        <w:rPr>
          <w:rFonts w:hint="eastAsia" w:ascii="仿宋_GB2312" w:hAnsi="仿宋" w:eastAsia="仿宋_GB2312" w:cs="Times New Roman"/>
          <w:color w:val="auto"/>
          <w:sz w:val="28"/>
          <w:szCs w:val="28"/>
          <w:lang w:val="en-US" w:eastAsia="zh-CN"/>
        </w:rPr>
        <w:t>7</w:t>
      </w:r>
      <w:r>
        <w:rPr>
          <w:rFonts w:hint="eastAsia" w:ascii="仿宋_GB2312" w:hAnsi="仿宋" w:eastAsia="仿宋_GB2312" w:cs="Times New Roman"/>
          <w:color w:val="auto"/>
          <w:sz w:val="28"/>
          <w:szCs w:val="28"/>
        </w:rPr>
        <w:t>万元，占比54.97%；其他支出</w:t>
      </w:r>
      <w:r>
        <w:rPr>
          <w:rFonts w:hint="eastAsia" w:ascii="仿宋_GB2312" w:hAnsi="仿宋" w:eastAsia="仿宋_GB2312" w:cs="Times New Roman"/>
          <w:color w:val="auto"/>
          <w:sz w:val="28"/>
          <w:szCs w:val="28"/>
          <w:lang w:val="en-US" w:eastAsia="zh-CN"/>
        </w:rPr>
        <w:t>0</w:t>
      </w:r>
      <w:r>
        <w:rPr>
          <w:rFonts w:hint="eastAsia" w:ascii="仿宋_GB2312" w:hAnsi="仿宋" w:eastAsia="仿宋_GB2312" w:cs="Times New Roman"/>
          <w:color w:val="auto"/>
          <w:sz w:val="28"/>
          <w:szCs w:val="28"/>
        </w:rPr>
        <w:t>万元，占比</w:t>
      </w:r>
      <w:r>
        <w:rPr>
          <w:rFonts w:hint="eastAsia" w:ascii="仿宋_GB2312" w:hAnsi="仿宋" w:eastAsia="仿宋_GB2312" w:cs="Times New Roman"/>
          <w:color w:val="auto"/>
          <w:sz w:val="28"/>
          <w:szCs w:val="28"/>
          <w:lang w:val="en-US" w:eastAsia="zh-CN"/>
        </w:rPr>
        <w:t>0</w:t>
      </w:r>
      <w:r>
        <w:rPr>
          <w:rFonts w:ascii="仿宋_GB2312" w:hAnsi="仿宋" w:eastAsia="仿宋_GB2312" w:cs="Times New Roman"/>
          <w:color w:val="auto"/>
          <w:sz w:val="28"/>
          <w:szCs w:val="28"/>
        </w:rPr>
        <w:t>%</w:t>
      </w:r>
      <w:r>
        <w:rPr>
          <w:rFonts w:hint="eastAsia" w:ascii="仿宋_GB2312" w:hAnsi="仿宋" w:eastAsia="仿宋_GB2312" w:cs="Times New Roman"/>
          <w:color w:val="auto"/>
          <w:sz w:val="28"/>
          <w:szCs w:val="28"/>
        </w:rPr>
        <w:t>。</w:t>
      </w:r>
    </w:p>
    <w:p>
      <w:pPr>
        <w:pageBreakBefore w:val="0"/>
        <w:kinsoku/>
        <w:wordWrap/>
        <w:overflowPunct/>
        <w:topLinePunct w:val="0"/>
        <w:autoSpaceDE/>
        <w:autoSpaceDN/>
        <w:bidi w:val="0"/>
        <w:spacing w:line="560" w:lineRule="exact"/>
        <w:ind w:firstLine="560" w:firstLineChars="200"/>
        <w:textAlignment w:val="auto"/>
        <w:rPr>
          <w:rFonts w:hint="eastAsia" w:ascii="仿宋_GB2312" w:hAnsi="仿宋" w:eastAsia="仿宋_GB2312" w:cs="Times New Roman"/>
          <w:color w:val="auto"/>
          <w:sz w:val="28"/>
          <w:szCs w:val="28"/>
        </w:rPr>
      </w:pPr>
      <w:r>
        <w:rPr>
          <w:rFonts w:hint="eastAsia" w:ascii="仿宋_GB2312" w:hAnsi="仿宋" w:eastAsia="仿宋_GB2312" w:cs="Times New Roman"/>
          <w:color w:val="auto"/>
          <w:sz w:val="28"/>
          <w:szCs w:val="28"/>
        </w:rPr>
        <w:t>截止到</w:t>
      </w:r>
      <w:r>
        <w:rPr>
          <w:rFonts w:ascii="仿宋_GB2312" w:hAnsi="仿宋" w:eastAsia="仿宋_GB2312" w:cs="Times New Roman"/>
          <w:color w:val="auto"/>
          <w:sz w:val="28"/>
          <w:szCs w:val="28"/>
        </w:rPr>
        <w:t>202</w:t>
      </w:r>
      <w:r>
        <w:rPr>
          <w:rFonts w:hint="eastAsia" w:ascii="仿宋_GB2312" w:hAnsi="仿宋" w:eastAsia="仿宋_GB2312" w:cs="Times New Roman"/>
          <w:color w:val="auto"/>
          <w:sz w:val="28"/>
          <w:szCs w:val="28"/>
        </w:rPr>
        <w:t>5年</w:t>
      </w:r>
      <w:r>
        <w:rPr>
          <w:rFonts w:ascii="仿宋_GB2312" w:hAnsi="仿宋" w:eastAsia="仿宋_GB2312" w:cs="Times New Roman"/>
          <w:color w:val="auto"/>
          <w:sz w:val="28"/>
          <w:szCs w:val="28"/>
        </w:rPr>
        <w:t>12</w:t>
      </w:r>
      <w:r>
        <w:rPr>
          <w:rFonts w:hint="eastAsia" w:ascii="仿宋_GB2312" w:hAnsi="仿宋" w:eastAsia="仿宋_GB2312" w:cs="Times New Roman"/>
          <w:color w:val="auto"/>
          <w:sz w:val="28"/>
          <w:szCs w:val="28"/>
        </w:rPr>
        <w:t>月</w:t>
      </w:r>
      <w:r>
        <w:rPr>
          <w:rFonts w:ascii="仿宋_GB2312" w:hAnsi="仿宋" w:eastAsia="仿宋_GB2312" w:cs="Times New Roman"/>
          <w:color w:val="auto"/>
          <w:sz w:val="28"/>
          <w:szCs w:val="28"/>
        </w:rPr>
        <w:t>31</w:t>
      </w:r>
      <w:r>
        <w:rPr>
          <w:rFonts w:hint="eastAsia" w:ascii="仿宋_GB2312" w:hAnsi="仿宋" w:eastAsia="仿宋_GB2312" w:cs="Times New Roman"/>
          <w:color w:val="auto"/>
          <w:sz w:val="28"/>
          <w:szCs w:val="28"/>
        </w:rPr>
        <w:t>日，预算资金总体支出7</w:t>
      </w:r>
      <w:r>
        <w:rPr>
          <w:rFonts w:hint="eastAsia" w:ascii="仿宋_GB2312" w:hAnsi="仿宋" w:eastAsia="仿宋_GB2312" w:cs="Times New Roman"/>
          <w:color w:val="auto"/>
          <w:sz w:val="28"/>
          <w:szCs w:val="28"/>
          <w:lang w:val="en-US" w:eastAsia="zh-CN"/>
        </w:rPr>
        <w:t>,</w:t>
      </w:r>
      <w:r>
        <w:rPr>
          <w:rFonts w:hint="eastAsia" w:ascii="仿宋_GB2312" w:hAnsi="仿宋" w:eastAsia="仿宋_GB2312" w:cs="Times New Roman"/>
          <w:color w:val="auto"/>
          <w:sz w:val="28"/>
          <w:szCs w:val="28"/>
        </w:rPr>
        <w:t>824</w:t>
      </w:r>
      <w:r>
        <w:rPr>
          <w:rFonts w:hint="eastAsia" w:ascii="仿宋_GB2312" w:hAnsi="仿宋" w:eastAsia="仿宋_GB2312" w:cs="Times New Roman"/>
          <w:color w:val="auto"/>
          <w:sz w:val="28"/>
          <w:szCs w:val="28"/>
          <w:lang w:val="en-US" w:eastAsia="zh-CN"/>
        </w:rPr>
        <w:t>.</w:t>
      </w:r>
      <w:r>
        <w:rPr>
          <w:rFonts w:hint="eastAsia" w:ascii="仿宋_GB2312" w:hAnsi="仿宋" w:eastAsia="仿宋_GB2312" w:cs="Times New Roman"/>
          <w:color w:val="auto"/>
          <w:sz w:val="28"/>
          <w:szCs w:val="28"/>
        </w:rPr>
        <w:t>93万元，其中：基本支出3</w:t>
      </w:r>
      <w:r>
        <w:rPr>
          <w:rFonts w:hint="eastAsia" w:ascii="仿宋_GB2312" w:hAnsi="仿宋" w:eastAsia="仿宋_GB2312" w:cs="Times New Roman"/>
          <w:color w:val="auto"/>
          <w:sz w:val="28"/>
          <w:szCs w:val="28"/>
          <w:lang w:val="en-US" w:eastAsia="zh-CN"/>
        </w:rPr>
        <w:t>,</w:t>
      </w:r>
      <w:r>
        <w:rPr>
          <w:rFonts w:hint="eastAsia" w:ascii="仿宋_GB2312" w:hAnsi="仿宋" w:eastAsia="仿宋_GB2312" w:cs="Times New Roman"/>
          <w:color w:val="auto"/>
          <w:sz w:val="28"/>
          <w:szCs w:val="28"/>
        </w:rPr>
        <w:t>652</w:t>
      </w:r>
      <w:r>
        <w:rPr>
          <w:rFonts w:hint="eastAsia" w:ascii="仿宋_GB2312" w:hAnsi="仿宋" w:eastAsia="仿宋_GB2312" w:cs="Times New Roman"/>
          <w:color w:val="auto"/>
          <w:sz w:val="28"/>
          <w:szCs w:val="28"/>
          <w:lang w:val="en-US" w:eastAsia="zh-CN"/>
        </w:rPr>
        <w:t>.</w:t>
      </w:r>
      <w:r>
        <w:rPr>
          <w:rFonts w:hint="eastAsia" w:ascii="仿宋_GB2312" w:hAnsi="仿宋" w:eastAsia="仿宋_GB2312" w:cs="Times New Roman"/>
          <w:color w:val="auto"/>
          <w:sz w:val="28"/>
          <w:szCs w:val="28"/>
        </w:rPr>
        <w:t>3</w:t>
      </w:r>
      <w:r>
        <w:rPr>
          <w:rFonts w:hint="eastAsia" w:ascii="仿宋_GB2312" w:hAnsi="仿宋" w:eastAsia="仿宋_GB2312" w:cs="Times New Roman"/>
          <w:color w:val="auto"/>
          <w:sz w:val="28"/>
          <w:szCs w:val="28"/>
          <w:lang w:val="en-US" w:eastAsia="zh-CN"/>
        </w:rPr>
        <w:t>7</w:t>
      </w:r>
      <w:r>
        <w:rPr>
          <w:rFonts w:hint="eastAsia" w:ascii="仿宋_GB2312" w:hAnsi="仿宋" w:eastAsia="仿宋_GB2312" w:cs="Times New Roman"/>
          <w:color w:val="auto"/>
          <w:sz w:val="28"/>
          <w:szCs w:val="28"/>
        </w:rPr>
        <w:t>万元，占比46.68%；项目支出4</w:t>
      </w:r>
      <w:r>
        <w:rPr>
          <w:rFonts w:hint="eastAsia" w:ascii="仿宋_GB2312" w:hAnsi="仿宋" w:eastAsia="仿宋_GB2312" w:cs="Times New Roman"/>
          <w:color w:val="auto"/>
          <w:sz w:val="28"/>
          <w:szCs w:val="28"/>
          <w:lang w:val="en-US" w:eastAsia="zh-CN"/>
        </w:rPr>
        <w:t>,</w:t>
      </w:r>
      <w:r>
        <w:rPr>
          <w:rFonts w:hint="eastAsia" w:ascii="仿宋_GB2312" w:hAnsi="仿宋" w:eastAsia="仿宋_GB2312" w:cs="Times New Roman"/>
          <w:color w:val="auto"/>
          <w:sz w:val="28"/>
          <w:szCs w:val="28"/>
        </w:rPr>
        <w:t>172</w:t>
      </w:r>
      <w:r>
        <w:rPr>
          <w:rFonts w:hint="eastAsia" w:ascii="仿宋_GB2312" w:hAnsi="仿宋" w:eastAsia="仿宋_GB2312" w:cs="Times New Roman"/>
          <w:color w:val="auto"/>
          <w:sz w:val="28"/>
          <w:szCs w:val="28"/>
          <w:lang w:val="en-US" w:eastAsia="zh-CN"/>
        </w:rPr>
        <w:t>.</w:t>
      </w:r>
      <w:r>
        <w:rPr>
          <w:rFonts w:hint="eastAsia" w:ascii="仿宋_GB2312" w:hAnsi="仿宋" w:eastAsia="仿宋_GB2312" w:cs="Times New Roman"/>
          <w:color w:val="auto"/>
          <w:sz w:val="28"/>
          <w:szCs w:val="28"/>
        </w:rPr>
        <w:t>5</w:t>
      </w:r>
      <w:r>
        <w:rPr>
          <w:rFonts w:hint="eastAsia" w:ascii="仿宋_GB2312" w:hAnsi="仿宋" w:eastAsia="仿宋_GB2312" w:cs="Times New Roman"/>
          <w:color w:val="auto"/>
          <w:sz w:val="28"/>
          <w:szCs w:val="28"/>
          <w:lang w:val="en-US" w:eastAsia="zh-CN"/>
        </w:rPr>
        <w:t>7</w:t>
      </w:r>
      <w:r>
        <w:rPr>
          <w:rFonts w:hint="eastAsia" w:ascii="仿宋_GB2312" w:hAnsi="仿宋" w:eastAsia="仿宋_GB2312" w:cs="Times New Roman"/>
          <w:color w:val="auto"/>
          <w:sz w:val="28"/>
          <w:szCs w:val="28"/>
        </w:rPr>
        <w:t>万元，占比53.32%；其他支出</w:t>
      </w:r>
      <w:r>
        <w:rPr>
          <w:rFonts w:hint="eastAsia" w:ascii="仿宋_GB2312" w:hAnsi="仿宋" w:eastAsia="仿宋_GB2312" w:cs="Times New Roman"/>
          <w:color w:val="auto"/>
          <w:sz w:val="28"/>
          <w:szCs w:val="28"/>
          <w:lang w:val="en-US" w:eastAsia="zh-CN"/>
        </w:rPr>
        <w:t>0</w:t>
      </w:r>
      <w:r>
        <w:rPr>
          <w:rFonts w:hint="eastAsia" w:ascii="仿宋_GB2312" w:hAnsi="仿宋" w:eastAsia="仿宋_GB2312" w:cs="Times New Roman"/>
          <w:color w:val="auto"/>
          <w:sz w:val="28"/>
          <w:szCs w:val="28"/>
        </w:rPr>
        <w:t>万元，占比</w:t>
      </w:r>
      <w:r>
        <w:rPr>
          <w:rFonts w:hint="eastAsia" w:ascii="仿宋_GB2312" w:hAnsi="仿宋" w:eastAsia="仿宋_GB2312" w:cs="Times New Roman"/>
          <w:color w:val="auto"/>
          <w:sz w:val="28"/>
          <w:szCs w:val="28"/>
          <w:lang w:val="en-US" w:eastAsia="zh-CN"/>
        </w:rPr>
        <w:t>0</w:t>
      </w:r>
      <w:r>
        <w:rPr>
          <w:rFonts w:ascii="仿宋_GB2312" w:hAnsi="仿宋" w:eastAsia="仿宋_GB2312" w:cs="Times New Roman"/>
          <w:color w:val="auto"/>
          <w:sz w:val="28"/>
          <w:szCs w:val="28"/>
        </w:rPr>
        <w:t>%</w:t>
      </w:r>
      <w:r>
        <w:rPr>
          <w:rFonts w:hint="eastAsia" w:ascii="仿宋_GB2312" w:hAnsi="仿宋" w:eastAsia="仿宋_GB2312" w:cs="Times New Roman"/>
          <w:color w:val="auto"/>
          <w:sz w:val="28"/>
          <w:szCs w:val="28"/>
        </w:rPr>
        <w:t>。部门预算执行率为96.48%。</w:t>
      </w:r>
    </w:p>
    <w:p>
      <w:pPr>
        <w:pageBreakBefore w:val="0"/>
        <w:kinsoku/>
        <w:wordWrap/>
        <w:overflowPunct/>
        <w:topLinePunct w:val="0"/>
        <w:autoSpaceDE/>
        <w:autoSpaceDN/>
        <w:bidi w:val="0"/>
        <w:spacing w:line="560" w:lineRule="exact"/>
        <w:ind w:firstLine="560" w:firstLineChars="200"/>
        <w:textAlignment w:val="auto"/>
        <w:rPr>
          <w:rFonts w:hint="eastAsia" w:ascii="仿宋_GB2312" w:eastAsia="仿宋_GB2312"/>
          <w:sz w:val="32"/>
          <w:szCs w:val="32"/>
        </w:rPr>
      </w:pPr>
      <w:r>
        <w:rPr>
          <w:rFonts w:ascii="仿宋_GB2312" w:hAnsi="仿宋" w:eastAsia="仿宋_GB2312" w:cs="Times New Roman"/>
          <w:color w:val="auto"/>
          <w:sz w:val="28"/>
          <w:szCs w:val="28"/>
        </w:rPr>
        <w:t>202</w:t>
      </w:r>
      <w:r>
        <w:rPr>
          <w:rFonts w:hint="eastAsia" w:ascii="仿宋_GB2312" w:hAnsi="仿宋" w:eastAsia="仿宋_GB2312" w:cs="Times New Roman"/>
          <w:color w:val="auto"/>
          <w:sz w:val="28"/>
          <w:szCs w:val="28"/>
        </w:rPr>
        <w:t>5年年末结转结余资金总额为</w:t>
      </w:r>
      <w:r>
        <w:rPr>
          <w:rFonts w:hint="eastAsia" w:ascii="仿宋_GB2312" w:hAnsi="仿宋" w:eastAsia="仿宋_GB2312" w:cs="Times New Roman"/>
          <w:color w:val="auto"/>
          <w:sz w:val="28"/>
          <w:szCs w:val="28"/>
          <w:lang w:val="en-US" w:eastAsia="zh-CN"/>
        </w:rPr>
        <w:t>285.40</w:t>
      </w:r>
      <w:r>
        <w:rPr>
          <w:rFonts w:hint="eastAsia" w:ascii="仿宋_GB2312" w:hAnsi="Times New Roman" w:eastAsia="仿宋_GB2312" w:cs="Times New Roman"/>
          <w:color w:val="auto"/>
          <w:sz w:val="28"/>
          <w:szCs w:val="28"/>
        </w:rPr>
        <w:t>万元，全年支出预算数为</w:t>
      </w:r>
      <w:r>
        <w:rPr>
          <w:rFonts w:hint="eastAsia" w:ascii="仿宋_GB2312" w:hAnsi="仿宋" w:eastAsia="仿宋_GB2312" w:cs="Times New Roman"/>
          <w:color w:val="auto"/>
          <w:sz w:val="28"/>
          <w:szCs w:val="28"/>
        </w:rPr>
        <w:t>11</w:t>
      </w:r>
      <w:r>
        <w:rPr>
          <w:rFonts w:hint="eastAsia" w:ascii="仿宋_GB2312" w:hAnsi="仿宋" w:eastAsia="仿宋_GB2312" w:cs="Times New Roman"/>
          <w:color w:val="auto"/>
          <w:sz w:val="28"/>
          <w:szCs w:val="28"/>
          <w:lang w:val="en-US" w:eastAsia="zh-CN"/>
        </w:rPr>
        <w:t>,</w:t>
      </w:r>
      <w:r>
        <w:rPr>
          <w:rFonts w:hint="eastAsia" w:ascii="仿宋_GB2312" w:hAnsi="仿宋" w:eastAsia="仿宋_GB2312" w:cs="Times New Roman"/>
          <w:color w:val="auto"/>
          <w:sz w:val="28"/>
          <w:szCs w:val="28"/>
        </w:rPr>
        <w:t>742.1</w:t>
      </w:r>
      <w:r>
        <w:rPr>
          <w:rFonts w:hint="eastAsia" w:ascii="仿宋_GB2312" w:hAnsi="仿宋" w:eastAsia="仿宋_GB2312" w:cs="Times New Roman"/>
          <w:color w:val="auto"/>
          <w:sz w:val="28"/>
          <w:szCs w:val="28"/>
          <w:lang w:val="en-US" w:eastAsia="zh-CN"/>
        </w:rPr>
        <w:t>4</w:t>
      </w:r>
      <w:r>
        <w:rPr>
          <w:rFonts w:hint="eastAsia" w:ascii="仿宋_GB2312" w:hAnsi="Times New Roman" w:eastAsia="仿宋_GB2312" w:cs="Times New Roman"/>
          <w:color w:val="auto"/>
          <w:sz w:val="28"/>
          <w:szCs w:val="28"/>
        </w:rPr>
        <w:t>万元，资金结转结余率为2.43%；</w:t>
      </w:r>
      <w:r>
        <w:rPr>
          <w:rFonts w:hint="eastAsia" w:ascii="仿宋_GB2312" w:hAnsi="Times New Roman" w:eastAsia="仿宋_GB2312" w:cs="Times New Roman"/>
          <w:color w:val="auto"/>
          <w:kern w:val="2"/>
          <w:sz w:val="28"/>
          <w:szCs w:val="28"/>
          <w:lang w:val="en-US" w:eastAsia="zh-CN" w:bidi="ar-SA"/>
        </w:rPr>
        <w:t>2024年年末结转结余资金总额为127.42万元，全年支出预算数为8</w:t>
      </w:r>
      <w:r>
        <w:rPr>
          <w:rFonts w:hint="eastAsia" w:ascii="仿宋_GB2312" w:eastAsia="仿宋_GB2312" w:cs="Times New Roman"/>
          <w:color w:val="auto"/>
          <w:kern w:val="2"/>
          <w:sz w:val="28"/>
          <w:szCs w:val="28"/>
          <w:lang w:val="en-US" w:eastAsia="zh-CN" w:bidi="ar-SA"/>
        </w:rPr>
        <w:t>,</w:t>
      </w:r>
      <w:r>
        <w:rPr>
          <w:rFonts w:hint="eastAsia" w:ascii="仿宋_GB2312" w:hAnsi="Times New Roman" w:eastAsia="仿宋_GB2312" w:cs="Times New Roman"/>
          <w:color w:val="auto"/>
          <w:kern w:val="2"/>
          <w:sz w:val="28"/>
          <w:szCs w:val="28"/>
          <w:lang w:val="en-US" w:eastAsia="zh-CN" w:bidi="ar-SA"/>
        </w:rPr>
        <w:t>407.36万元，资金结转结余率为1.52%；</w:t>
      </w:r>
      <w:r>
        <w:rPr>
          <w:rFonts w:ascii="仿宋_GB2312" w:hAnsi="Times New Roman" w:eastAsia="仿宋_GB2312" w:cs="Times New Roman"/>
          <w:color w:val="auto"/>
          <w:sz w:val="28"/>
          <w:szCs w:val="28"/>
        </w:rPr>
        <w:t>202</w:t>
      </w:r>
      <w:r>
        <w:rPr>
          <w:rFonts w:hint="eastAsia" w:ascii="仿宋_GB2312" w:hAnsi="Times New Roman" w:eastAsia="仿宋_GB2312" w:cs="Times New Roman"/>
          <w:color w:val="auto"/>
          <w:sz w:val="28"/>
          <w:szCs w:val="28"/>
        </w:rPr>
        <w:t>5年度部门结转结余率较上一年上升了</w:t>
      </w:r>
      <w:r>
        <w:rPr>
          <w:rFonts w:hint="eastAsia" w:ascii="仿宋_GB2312" w:hAnsi="Times New Roman" w:eastAsia="仿宋_GB2312" w:cs="Times New Roman"/>
          <w:color w:val="auto"/>
          <w:sz w:val="28"/>
          <w:szCs w:val="28"/>
          <w:lang w:val="en-US" w:eastAsia="zh-CN"/>
        </w:rPr>
        <w:t>0.91</w:t>
      </w:r>
      <w:r>
        <w:rPr>
          <w:rFonts w:ascii="仿宋_GB2312" w:hAnsi="Times New Roman" w:eastAsia="仿宋_GB2312" w:cs="Times New Roman"/>
          <w:color w:val="auto"/>
          <w:sz w:val="28"/>
          <w:szCs w:val="28"/>
        </w:rPr>
        <w:t>%</w:t>
      </w:r>
      <w:r>
        <w:rPr>
          <w:rFonts w:hint="eastAsia" w:ascii="仿宋_GB2312" w:hAnsi="Times New Roman" w:eastAsia="仿宋_GB2312" w:cs="Times New Roman"/>
          <w:color w:val="auto"/>
          <w:sz w:val="28"/>
          <w:szCs w:val="28"/>
        </w:rPr>
        <w:t>。</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5"/>
        <w:tblW w:w="9200" w:type="dxa"/>
        <w:tblInd w:w="108" w:type="dxa"/>
        <w:tblLayout w:type="fixed"/>
        <w:tblCellMar>
          <w:top w:w="0" w:type="dxa"/>
          <w:left w:w="108" w:type="dxa"/>
          <w:bottom w:w="0" w:type="dxa"/>
          <w:right w:w="108" w:type="dxa"/>
        </w:tblCellMar>
      </w:tblPr>
      <w:tblGrid>
        <w:gridCol w:w="880"/>
        <w:gridCol w:w="4449"/>
        <w:gridCol w:w="1300"/>
        <w:gridCol w:w="1337"/>
        <w:gridCol w:w="1234"/>
      </w:tblGrid>
      <w:tr>
        <w:tblPrEx>
          <w:tblLayout w:type="fixed"/>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4449"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300"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337"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1234"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ascii="仿宋_GB2312" w:hAnsi="宋体" w:eastAsia="仿宋_GB2312" w:cs="宋体"/>
                <w:color w:val="000000"/>
                <w:kern w:val="0"/>
                <w:sz w:val="28"/>
                <w:szCs w:val="28"/>
              </w:rPr>
              <w:t>1</w:t>
            </w:r>
          </w:p>
        </w:tc>
        <w:tc>
          <w:tcPr>
            <w:tcW w:w="4449"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数量指标重污染天数比率</w:t>
            </w:r>
          </w:p>
        </w:tc>
        <w:tc>
          <w:tcPr>
            <w:tcW w:w="1300"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≤3%</w:t>
            </w:r>
          </w:p>
        </w:tc>
        <w:tc>
          <w:tcPr>
            <w:tcW w:w="1337"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0.5%</w:t>
            </w:r>
          </w:p>
        </w:tc>
        <w:tc>
          <w:tcPr>
            <w:tcW w:w="1234"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ascii="仿宋_GB2312" w:hAnsi="宋体" w:eastAsia="仿宋_GB2312" w:cs="宋体"/>
                <w:color w:val="000000"/>
                <w:kern w:val="0"/>
                <w:sz w:val="28"/>
                <w:szCs w:val="28"/>
              </w:rPr>
              <w:t>2</w:t>
            </w:r>
          </w:p>
        </w:tc>
        <w:tc>
          <w:tcPr>
            <w:tcW w:w="4449"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数量指标重点建设用地安全利用率</w:t>
            </w:r>
          </w:p>
        </w:tc>
        <w:tc>
          <w:tcPr>
            <w:tcW w:w="1300"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＝100%</w:t>
            </w:r>
          </w:p>
        </w:tc>
        <w:tc>
          <w:tcPr>
            <w:tcW w:w="1337"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100%</w:t>
            </w:r>
          </w:p>
        </w:tc>
        <w:tc>
          <w:tcPr>
            <w:tcW w:w="1234"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w:t>
            </w:r>
            <w:r>
              <w:rPr>
                <w:rFonts w:hint="eastAsia" w:ascii="仿宋_GB2312" w:hAnsi="宋体" w:eastAsia="仿宋_GB2312" w:cs="宋体"/>
                <w:color w:val="000000"/>
                <w:kern w:val="0"/>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ascii="仿宋_GB2312" w:hAnsi="宋体" w:eastAsia="仿宋_GB2312" w:cs="宋体"/>
                <w:color w:val="000000"/>
                <w:kern w:val="0"/>
                <w:sz w:val="28"/>
                <w:szCs w:val="28"/>
              </w:rPr>
              <w:t>3</w:t>
            </w:r>
          </w:p>
        </w:tc>
        <w:tc>
          <w:tcPr>
            <w:tcW w:w="4449"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数量指标优良天数比率</w:t>
            </w:r>
          </w:p>
        </w:tc>
        <w:tc>
          <w:tcPr>
            <w:tcW w:w="1300"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≥78%</w:t>
            </w:r>
          </w:p>
        </w:tc>
        <w:tc>
          <w:tcPr>
            <w:tcW w:w="1337"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86%</w:t>
            </w:r>
          </w:p>
        </w:tc>
        <w:tc>
          <w:tcPr>
            <w:tcW w:w="1234"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w:t>
            </w:r>
            <w:r>
              <w:rPr>
                <w:rFonts w:hint="eastAsia" w:ascii="仿宋_GB2312" w:hAnsi="宋体" w:eastAsia="仿宋_GB2312" w:cs="宋体"/>
                <w:color w:val="000000"/>
                <w:kern w:val="0"/>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4</w:t>
            </w:r>
          </w:p>
        </w:tc>
        <w:tc>
          <w:tcPr>
            <w:tcW w:w="4449"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数量指标断面水质达标率</w:t>
            </w:r>
          </w:p>
        </w:tc>
        <w:tc>
          <w:tcPr>
            <w:tcW w:w="1300"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＝100%</w:t>
            </w:r>
          </w:p>
        </w:tc>
        <w:tc>
          <w:tcPr>
            <w:tcW w:w="1337"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100%</w:t>
            </w:r>
          </w:p>
        </w:tc>
        <w:tc>
          <w:tcPr>
            <w:tcW w:w="1234"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napToGrid w:val="0"/>
              <w:spacing w:line="560" w:lineRule="exact"/>
              <w:ind w:left="0" w:leftChars="0" w:right="0" w:rightChars="0" w:firstLine="0" w:firstLineChars="0"/>
              <w:jc w:val="center"/>
              <w:textAlignment w:val="auto"/>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w:t>
            </w:r>
          </w:p>
        </w:tc>
      </w:tr>
    </w:tbl>
    <w:p>
      <w:pPr>
        <w:numPr>
          <w:ilvl w:val="0"/>
          <w:numId w:val="3"/>
        </w:numPr>
        <w:spacing w:line="580" w:lineRule="exact"/>
        <w:ind w:firstLine="640"/>
        <w:rPr>
          <w:rFonts w:hint="eastAsia" w:ascii="仿宋_GB2312" w:eastAsia="仿宋_GB2312"/>
          <w:sz w:val="32"/>
          <w:szCs w:val="32"/>
        </w:rPr>
      </w:pPr>
      <w:r>
        <w:rPr>
          <w:rFonts w:hint="eastAsia" w:ascii="仿宋_GB2312" w:eastAsia="仿宋_GB2312"/>
          <w:sz w:val="32"/>
          <w:szCs w:val="32"/>
        </w:rPr>
        <w:t>产出质量</w:t>
      </w:r>
    </w:p>
    <w:p>
      <w:pPr>
        <w:pStyle w:val="2"/>
        <w:numPr>
          <w:ilvl w:val="0"/>
          <w:numId w:val="0"/>
        </w:numPr>
        <w:rPr>
          <w:rFonts w:hint="eastAsia" w:eastAsia="宋体"/>
          <w:lang w:val="en-US" w:eastAsia="zh-CN"/>
        </w:rPr>
      </w:pPr>
      <w:r>
        <w:rPr>
          <w:rFonts w:hint="eastAsia"/>
          <w:lang w:val="en-US" w:eastAsia="zh-CN"/>
        </w:rPr>
        <w:t xml:space="preserve">     </w:t>
      </w:r>
      <w:r>
        <w:rPr>
          <w:rFonts w:hint="eastAsia" w:ascii="仿宋_GB2312" w:hAnsi="仿宋" w:eastAsia="仿宋_GB2312" w:cs="Times New Roman"/>
          <w:sz w:val="28"/>
          <w:szCs w:val="28"/>
        </w:rPr>
        <w:t>在产出质量方面，</w:t>
      </w:r>
      <w:r>
        <w:rPr>
          <w:rFonts w:hint="eastAsia" w:ascii="仿宋_GB2312" w:hAnsi="仿宋" w:eastAsia="仿宋_GB2312" w:cs="Times New Roman"/>
          <w:sz w:val="28"/>
          <w:szCs w:val="28"/>
          <w:lang w:eastAsia="zh-CN"/>
        </w:rPr>
        <w:t>部门</w:t>
      </w:r>
      <w:r>
        <w:rPr>
          <w:rFonts w:hint="eastAsia" w:ascii="仿宋_GB2312" w:hAnsi="仿宋" w:eastAsia="仿宋_GB2312" w:cs="Times New Roman"/>
          <w:sz w:val="28"/>
          <w:szCs w:val="28"/>
        </w:rPr>
        <w:t>严格落实生态环境保护各项工作要求，以质量为核心推进各项任务落地见效，</w:t>
      </w:r>
      <w:r>
        <w:rPr>
          <w:rFonts w:hint="eastAsia" w:ascii="仿宋_GB2312" w:hAnsi="仿宋" w:eastAsia="仿宋_GB2312" w:cs="Times New Roman"/>
          <w:sz w:val="28"/>
          <w:szCs w:val="28"/>
          <w:lang w:eastAsia="zh-CN"/>
        </w:rPr>
        <w:t>所有</w:t>
      </w:r>
      <w:r>
        <w:rPr>
          <w:rFonts w:hint="eastAsia" w:ascii="仿宋_GB2312" w:hAnsi="仿宋" w:eastAsia="仿宋_GB2312" w:cs="Times New Roman"/>
          <w:sz w:val="28"/>
          <w:szCs w:val="28"/>
        </w:rPr>
        <w:t>污染防治项目均按规范程序组织竣工验收，验收程序合规、资料完整，项目建设质量和实施效果达到预期标准。</w:t>
      </w:r>
    </w:p>
    <w:p>
      <w:pPr>
        <w:numPr>
          <w:ilvl w:val="0"/>
          <w:numId w:val="3"/>
        </w:numPr>
        <w:spacing w:line="580" w:lineRule="exact"/>
        <w:ind w:left="0" w:leftChars="0" w:firstLine="640" w:firstLineChars="0"/>
        <w:rPr>
          <w:rFonts w:hint="eastAsia" w:ascii="仿宋_GB2312" w:eastAsia="仿宋_GB2312"/>
          <w:sz w:val="32"/>
          <w:szCs w:val="32"/>
        </w:rPr>
      </w:pPr>
      <w:r>
        <w:rPr>
          <w:rFonts w:hint="eastAsia" w:ascii="仿宋_GB2312" w:eastAsia="仿宋_GB2312"/>
          <w:sz w:val="32"/>
          <w:szCs w:val="32"/>
        </w:rPr>
        <w:t>产出进度</w:t>
      </w:r>
    </w:p>
    <w:p>
      <w:pPr>
        <w:pStyle w:val="2"/>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outlineLvl w:val="9"/>
        <w:rPr>
          <w:rFonts w:hint="eastAsia"/>
        </w:rPr>
      </w:pPr>
      <w:r>
        <w:rPr>
          <w:rFonts w:hint="eastAsia" w:ascii="仿宋_GB2312" w:hAnsi="仿宋" w:eastAsia="仿宋_GB2312" w:cs="Times New Roman"/>
          <w:sz w:val="28"/>
          <w:szCs w:val="28"/>
        </w:rPr>
        <w:t>截止202</w:t>
      </w:r>
      <w:r>
        <w:rPr>
          <w:rFonts w:hint="eastAsia" w:ascii="仿宋_GB2312" w:hAnsi="仿宋" w:eastAsia="仿宋_GB2312" w:cs="Times New Roman"/>
          <w:sz w:val="28"/>
          <w:szCs w:val="28"/>
          <w:lang w:val="en-US" w:eastAsia="zh-CN"/>
        </w:rPr>
        <w:t>5</w:t>
      </w:r>
      <w:r>
        <w:rPr>
          <w:rFonts w:hint="eastAsia" w:ascii="仿宋_GB2312" w:hAnsi="仿宋" w:eastAsia="仿宋_GB2312" w:cs="Times New Roman"/>
          <w:sz w:val="28"/>
          <w:szCs w:val="28"/>
        </w:rPr>
        <w:t>年12月，本部门严格按照年度工作计划、重点任务清单及年度预算安排，有序推进各项生态环境保护工作落实落地，按时序进度完成各项既定工作任务，确保了生态环境治理、监管执法、项目实施、资金执行等工作高效推进、按期完成。</w:t>
      </w:r>
    </w:p>
    <w:p>
      <w:pPr>
        <w:numPr>
          <w:ilvl w:val="0"/>
          <w:numId w:val="3"/>
        </w:numPr>
        <w:spacing w:line="580" w:lineRule="exact"/>
        <w:ind w:left="0" w:leftChars="0" w:firstLine="640" w:firstLineChars="0"/>
        <w:rPr>
          <w:rFonts w:hint="eastAsia" w:ascii="仿宋_GB2312" w:eastAsia="仿宋_GB2312"/>
          <w:sz w:val="32"/>
          <w:szCs w:val="32"/>
        </w:rPr>
      </w:pPr>
      <w:r>
        <w:rPr>
          <w:rFonts w:hint="eastAsia" w:ascii="仿宋_GB2312" w:eastAsia="仿宋_GB2312"/>
          <w:sz w:val="32"/>
          <w:szCs w:val="32"/>
        </w:rPr>
        <w:t>产出成本</w:t>
      </w:r>
    </w:p>
    <w:p>
      <w:pPr>
        <w:pStyle w:val="2"/>
        <w:numPr>
          <w:ilvl w:val="0"/>
          <w:numId w:val="0"/>
        </w:numPr>
        <w:ind w:firstLine="560" w:firstLineChars="200"/>
        <w:rPr>
          <w:rFonts w:hint="eastAsia"/>
        </w:rPr>
      </w:pPr>
      <w:r>
        <w:rPr>
          <w:rFonts w:hint="eastAsia" w:ascii="仿宋_GB2312" w:hAnsi="仿宋" w:eastAsia="仿宋_GB2312" w:cs="Times New Roman"/>
          <w:sz w:val="28"/>
          <w:szCs w:val="28"/>
        </w:rPr>
        <w:t>本部门严格执行预算管理相关规定，强化项目资金全过程管控，规范资金使用流程。年度实施的各项目成本指标均控制在批复预算范围内，资金使用安全规范。年度执行完毕后形成的结余资金，按规定及时清理并由财政统一收回</w:t>
      </w:r>
      <w:r>
        <w:rPr>
          <w:rFonts w:hint="eastAsia" w:ascii="仿宋_GB2312" w:hAnsi="仿宋" w:eastAsia="仿宋_GB2312" w:cs="Times New Roman"/>
          <w:sz w:val="32"/>
          <w:szCs w:val="32"/>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（1）经济效益</w:t>
      </w:r>
    </w:p>
    <w:p>
      <w:pPr>
        <w:pStyle w:val="2"/>
        <w:rPr>
          <w:rFonts w:hint="eastAsia" w:eastAsia="仿宋_GB2312"/>
          <w:lang w:val="en-US" w:eastAsia="zh-CN"/>
        </w:rPr>
      </w:pPr>
      <w:r>
        <w:rPr>
          <w:rFonts w:hint="eastAsia" w:ascii="仿宋_GB2312" w:eastAsia="仿宋_GB2312"/>
          <w:sz w:val="32"/>
          <w:szCs w:val="32"/>
          <w:lang w:val="en-US" w:eastAsia="zh-CN"/>
        </w:rPr>
        <w:t xml:space="preserve">  </w:t>
      </w:r>
      <w:r>
        <w:rPr>
          <w:rFonts w:hint="eastAsia" w:ascii="仿宋_GB2312" w:hAnsi="仿宋" w:eastAsia="仿宋_GB2312" w:cs="Times New Roman"/>
          <w:sz w:val="28"/>
          <w:szCs w:val="28"/>
        </w:rPr>
        <w:t>坚持生态立区、绿色发展导向，制定生态保护和绿色发展奖补资金管理办法，强化资金统筹与项目化管理。持续优化营商环境，</w:t>
      </w:r>
      <w:r>
        <w:rPr>
          <w:rFonts w:hint="eastAsia" w:ascii="仿宋_GB2312" w:hAnsi="仿宋_GB2312" w:eastAsia="仿宋_GB2312" w:cs="仿宋_GB2312"/>
          <w:b w:val="0"/>
          <w:bCs/>
          <w:color w:val="auto"/>
          <w:sz w:val="28"/>
          <w:szCs w:val="28"/>
          <w:highlight w:val="none"/>
          <w:lang w:val="en-US" w:eastAsia="zh-CN"/>
        </w:rPr>
        <w:t>探索推进</w:t>
      </w:r>
      <w:r>
        <w:rPr>
          <w:rFonts w:hint="eastAsia" w:ascii="仿宋_GB2312" w:hAnsi="仿宋" w:eastAsia="仿宋_GB2312" w:cs="Times New Roman"/>
          <w:sz w:val="28"/>
          <w:szCs w:val="28"/>
        </w:rPr>
        <w:t>环评审批与排污许可“两证合一”。推动绿色汽修、低碳技术等绿色产业发展，提升企业绿色发展水平。促进生态优势向发展优势转化，实现生态保护与经济发展协同推进。</w:t>
      </w:r>
    </w:p>
    <w:p>
      <w:pPr>
        <w:numPr>
          <w:ilvl w:val="0"/>
          <w:numId w:val="4"/>
        </w:numPr>
        <w:spacing w:line="580" w:lineRule="exact"/>
        <w:ind w:firstLine="640"/>
        <w:rPr>
          <w:rFonts w:hint="eastAsia" w:ascii="仿宋_GB2312" w:eastAsia="仿宋_GB2312"/>
          <w:sz w:val="32"/>
          <w:szCs w:val="32"/>
        </w:rPr>
      </w:pPr>
      <w:r>
        <w:rPr>
          <w:rFonts w:hint="eastAsia" w:ascii="仿宋_GB2312" w:eastAsia="仿宋_GB2312"/>
          <w:sz w:val="32"/>
          <w:szCs w:val="32"/>
        </w:rPr>
        <w:t>社会效益</w:t>
      </w:r>
    </w:p>
    <w:p>
      <w:pPr>
        <w:pStyle w:val="2"/>
        <w:numPr>
          <w:ilvl w:val="0"/>
          <w:numId w:val="0"/>
        </w:numPr>
        <w:rPr>
          <w:rFonts w:hint="eastAsia" w:eastAsia="宋体"/>
          <w:lang w:val="en-US" w:eastAsia="zh-CN"/>
        </w:rPr>
      </w:pPr>
      <w:r>
        <w:rPr>
          <w:rFonts w:hint="eastAsia"/>
          <w:lang w:val="en-US" w:eastAsia="zh-CN"/>
        </w:rPr>
        <w:t xml:space="preserve">     </w:t>
      </w:r>
      <w:r>
        <w:rPr>
          <w:rFonts w:hint="eastAsia" w:ascii="仿宋_GB2312" w:hAnsi="仿宋" w:eastAsia="仿宋_GB2312" w:cs="Times New Roman"/>
          <w:sz w:val="28"/>
          <w:szCs w:val="28"/>
        </w:rPr>
        <w:t>妥善处置12345市民诉求，解决群众身边噪声、餐饮油烟等环境问题，不断改善人居环境。开展生态文明宣传教育活动，将生态环保理念引入校园，提升全社会生态环保意识。成功举办永定河绿色发展论坛，加强区域协同共治，营造全社会共同参与生态环境保护的良好氛围。</w:t>
      </w:r>
    </w:p>
    <w:p>
      <w:pPr>
        <w:numPr>
          <w:ilvl w:val="0"/>
          <w:numId w:val="4"/>
        </w:numPr>
        <w:spacing w:line="580" w:lineRule="exact"/>
        <w:ind w:left="0" w:leftChars="0" w:firstLine="640" w:firstLineChars="0"/>
        <w:rPr>
          <w:rFonts w:hint="eastAsia" w:ascii="仿宋_GB2312" w:eastAsia="仿宋_GB2312"/>
          <w:sz w:val="32"/>
          <w:szCs w:val="32"/>
        </w:rPr>
      </w:pPr>
      <w:r>
        <w:rPr>
          <w:rFonts w:hint="eastAsia" w:ascii="仿宋_GB2312" w:eastAsia="仿宋_GB2312"/>
          <w:sz w:val="32"/>
          <w:szCs w:val="32"/>
        </w:rPr>
        <w:t>环境效益</w:t>
      </w:r>
    </w:p>
    <w:p>
      <w:pPr>
        <w:pStyle w:val="2"/>
        <w:numPr>
          <w:ilvl w:val="0"/>
          <w:numId w:val="0"/>
        </w:numPr>
        <w:ind w:firstLine="560" w:firstLineChars="200"/>
        <w:rPr>
          <w:rFonts w:hint="eastAsia"/>
        </w:rPr>
      </w:pPr>
      <w:r>
        <w:rPr>
          <w:rFonts w:hint="eastAsia" w:ascii="仿宋_GB2312" w:hAnsi="仿宋" w:eastAsia="仿宋_GB2312" w:cs="Times New Roman"/>
          <w:sz w:val="28"/>
          <w:szCs w:val="28"/>
        </w:rPr>
        <w:t>持续深入打好污染防治攻坚战，区域生态环境质量稳中向好。空气质量持续改善，PM</w:t>
      </w:r>
      <w:r>
        <w:rPr>
          <w:rFonts w:hint="eastAsia" w:ascii="仿宋_GB2312" w:hAnsi="仿宋" w:eastAsia="仿宋_GB2312" w:cs="Times New Roman"/>
          <w:sz w:val="28"/>
          <w:szCs w:val="28"/>
          <w:vertAlign w:val="subscript"/>
        </w:rPr>
        <w:t>2.5</w:t>
      </w:r>
      <w:r>
        <w:rPr>
          <w:rFonts w:hint="eastAsia" w:ascii="仿宋_GB2312" w:hAnsi="仿宋" w:eastAsia="仿宋_GB2312" w:cs="Times New Roman"/>
          <w:sz w:val="28"/>
          <w:szCs w:val="28"/>
        </w:rPr>
        <w:t>累计浓度为24.4微克/立方米，为有监测以来的历史最优水平，全市排名第四，较2024年排名提升1位，优良天314天，同比增加29天，优良天比率86.0%，较2024年提升7.5个百分点；重污染2天。</w:t>
      </w:r>
      <w:r>
        <w:rPr>
          <w:rFonts w:hint="eastAsia" w:ascii="仿宋_GB2312" w:hAnsi="仿宋" w:eastAsia="仿宋_GB2312" w:cs="Times New Roman"/>
          <w:sz w:val="28"/>
          <w:szCs w:val="28"/>
          <w:highlight w:val="none"/>
        </w:rPr>
        <w:t>区级集中式饮用水水源地水质</w:t>
      </w:r>
      <w:r>
        <w:rPr>
          <w:rFonts w:hint="eastAsia" w:ascii="仿宋_GB2312" w:hAnsi="仿宋" w:eastAsia="仿宋_GB2312" w:cs="Times New Roman"/>
          <w:sz w:val="28"/>
          <w:szCs w:val="28"/>
        </w:rPr>
        <w:t>稳定达标，四个市考断面全部达到考核要求</w:t>
      </w:r>
      <w:r>
        <w:rPr>
          <w:rFonts w:hint="eastAsia" w:ascii="仿宋_GB2312" w:hAnsi="仿宋" w:eastAsia="仿宋_GB2312" w:cs="Times New Roman"/>
          <w:sz w:val="28"/>
          <w:szCs w:val="28"/>
          <w:lang w:eastAsia="zh-CN"/>
        </w:rPr>
        <w:t>。</w:t>
      </w:r>
      <w:r>
        <w:rPr>
          <w:rFonts w:hint="eastAsia" w:ascii="仿宋_GB2312" w:hAnsi="仿宋" w:eastAsia="仿宋_GB2312" w:cs="Times New Roman"/>
          <w:sz w:val="28"/>
          <w:szCs w:val="28"/>
        </w:rPr>
        <w:t>重点建设用地、受污染耕地安全利用率均达100%。建成全市首个生物多样性智慧监测平台，实现数据采集与物种识别自动化、智能化。</w:t>
      </w:r>
    </w:p>
    <w:p>
      <w:pPr>
        <w:numPr>
          <w:ilvl w:val="0"/>
          <w:numId w:val="4"/>
        </w:numPr>
        <w:spacing w:line="580" w:lineRule="exact"/>
        <w:ind w:left="0" w:leftChars="0" w:firstLine="640" w:firstLineChars="0"/>
        <w:rPr>
          <w:rFonts w:hint="eastAsia" w:ascii="仿宋_GB2312" w:eastAsia="仿宋_GB2312"/>
          <w:sz w:val="32"/>
          <w:szCs w:val="32"/>
        </w:rPr>
      </w:pPr>
      <w:r>
        <w:rPr>
          <w:rFonts w:hint="eastAsia" w:ascii="仿宋_GB2312" w:eastAsia="仿宋_GB2312"/>
          <w:sz w:val="32"/>
          <w:szCs w:val="32"/>
        </w:rPr>
        <w:t>可持续影响</w:t>
      </w:r>
    </w:p>
    <w:p>
      <w:pPr>
        <w:pageBreakBefore w:val="0"/>
        <w:kinsoku/>
        <w:wordWrap/>
        <w:overflowPunct/>
        <w:topLinePunct w:val="0"/>
        <w:autoSpaceDE/>
        <w:autoSpaceDN/>
        <w:bidi w:val="0"/>
        <w:spacing w:line="560" w:lineRule="exact"/>
        <w:ind w:firstLine="560" w:firstLineChars="200"/>
        <w:textAlignment w:val="auto"/>
        <w:rPr>
          <w:rFonts w:hint="eastAsia"/>
        </w:rPr>
      </w:pPr>
      <w:r>
        <w:rPr>
          <w:rFonts w:hint="eastAsia" w:ascii="仿宋_GB2312" w:hAnsi="仿宋" w:eastAsia="仿宋_GB2312" w:cs="Times New Roman"/>
          <w:sz w:val="28"/>
          <w:szCs w:val="28"/>
        </w:rPr>
        <w:t>统筹推进“十四五”总结及“十五五”美丽门头沟建设规划前期研究，推动美丽北京先行区建设。建立跨区域生态环境联建联防联治机制，加强永定河流域、灵山生态保护协同治理。推进气候适应型城市建设，加强碳排放管控，提升减污降碳水平。强化科技监管，完善环境监测、执法、应急体系，不断提升生态环境治理能力。</w:t>
      </w:r>
    </w:p>
    <w:p>
      <w:pPr>
        <w:numPr>
          <w:ilvl w:val="0"/>
          <w:numId w:val="4"/>
        </w:numPr>
        <w:spacing w:line="580" w:lineRule="exact"/>
        <w:ind w:left="0" w:leftChars="0" w:firstLine="640" w:firstLineChars="0"/>
        <w:rPr>
          <w:rFonts w:hint="eastAsia" w:ascii="仿宋_GB2312" w:eastAsia="仿宋_GB2312"/>
          <w:sz w:val="32"/>
          <w:szCs w:val="32"/>
        </w:rPr>
      </w:pPr>
      <w:r>
        <w:rPr>
          <w:rFonts w:hint="eastAsia" w:ascii="仿宋_GB2312" w:eastAsia="仿宋_GB2312"/>
          <w:sz w:val="32"/>
          <w:szCs w:val="32"/>
        </w:rPr>
        <w:t>服务对象满意度</w:t>
      </w:r>
    </w:p>
    <w:p>
      <w:pPr>
        <w:pageBreakBefore w:val="0"/>
        <w:kinsoku/>
        <w:wordWrap/>
        <w:overflowPunct/>
        <w:topLinePunct w:val="0"/>
        <w:autoSpaceDE/>
        <w:autoSpaceDN/>
        <w:bidi w:val="0"/>
        <w:spacing w:line="560" w:lineRule="exact"/>
        <w:ind w:firstLine="560" w:firstLineChars="200"/>
        <w:textAlignment w:val="auto"/>
        <w:rPr>
          <w:rFonts w:hint="eastAsia"/>
        </w:rPr>
      </w:pPr>
      <w:r>
        <w:rPr>
          <w:rFonts w:hint="eastAsia" w:ascii="仿宋_GB2312" w:hAnsi="仿宋" w:eastAsia="仿宋_GB2312" w:cs="Times New Roman"/>
          <w:sz w:val="28"/>
          <w:szCs w:val="28"/>
        </w:rPr>
        <w:t>数据显示，98.4%的受访者对区域生态环境质量表示满意。95.5%的居民认为良好生态环境对自身生活质量具有积极作用。近年，我区生态保护修复的成果已切实转化为人民群众可感可及的生态福祉，绿色发展凝聚了广泛的社会共识</w:t>
      </w:r>
      <w:r>
        <w:rPr>
          <w:rFonts w:hint="eastAsia" w:ascii="仿宋_GB2312" w:hAnsi="仿宋" w:eastAsia="仿宋_GB2312" w:cs="Times New Roman"/>
          <w:sz w:val="32"/>
          <w:szCs w:val="32"/>
        </w:rPr>
        <w:t>。</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pPr>
        <w:pageBreakBefore w:val="0"/>
        <w:kinsoku/>
        <w:wordWrap/>
        <w:overflowPunct/>
        <w:topLinePunct w:val="0"/>
        <w:autoSpaceDE/>
        <w:autoSpaceDN/>
        <w:bidi w:val="0"/>
        <w:spacing w:line="560" w:lineRule="exact"/>
        <w:ind w:firstLine="320" w:firstLineChars="100"/>
        <w:textAlignment w:val="auto"/>
        <w:rPr>
          <w:rFonts w:hint="eastAsia" w:eastAsia="仿宋_GB2312"/>
          <w:lang w:val="en-US" w:eastAsia="zh-CN"/>
        </w:rPr>
      </w:pPr>
      <w:r>
        <w:rPr>
          <w:rFonts w:hint="eastAsia" w:ascii="仿宋_GB2312" w:eastAsia="仿宋_GB2312"/>
          <w:sz w:val="32"/>
          <w:szCs w:val="32"/>
          <w:lang w:val="en-US" w:eastAsia="zh-CN"/>
        </w:rPr>
        <w:t xml:space="preserve">  </w:t>
      </w:r>
      <w:r>
        <w:rPr>
          <w:rFonts w:hint="eastAsia" w:ascii="仿宋_GB2312" w:hAnsi="仿宋" w:eastAsia="仿宋_GB2312" w:cs="Times New Roman"/>
          <w:sz w:val="28"/>
          <w:szCs w:val="28"/>
        </w:rPr>
        <w:t>建立预决算管理、收入支出管理等财务管理制度，制定《北京市门头沟区生态环境局政府采购流程》和《北京市门头沟区生态环境局比选采购流程》，相关科室参照财务制度、采购流程分别行使资产管理、采购管理、合同管理、项目管理和内部监督等职能，重大事项由相关科室成立联合工作组协调控制本部门内部经济活动事项。</w:t>
      </w:r>
    </w:p>
    <w:p>
      <w:pPr>
        <w:numPr>
          <w:ilvl w:val="0"/>
          <w:numId w:val="0"/>
        </w:numPr>
        <w:spacing w:line="580" w:lineRule="exact"/>
        <w:ind w:left="600" w:leftChars="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资产管理</w:t>
      </w:r>
    </w:p>
    <w:p>
      <w:pPr>
        <w:pStyle w:val="2"/>
        <w:numPr>
          <w:ilvl w:val="0"/>
          <w:numId w:val="0"/>
        </w:numPr>
        <w:ind w:firstLine="560" w:firstLineChars="200"/>
        <w:rPr>
          <w:rFonts w:hint="eastAsia"/>
        </w:rPr>
      </w:pPr>
      <w:r>
        <w:rPr>
          <w:rFonts w:hint="eastAsia" w:ascii="仿宋_GB2312" w:hAnsi="仿宋" w:eastAsia="仿宋_GB2312" w:cs="Times New Roman"/>
          <w:sz w:val="28"/>
          <w:szCs w:val="28"/>
        </w:rPr>
        <w:t>建立固定资产管理制度，办公室为固定资产的实物归口管理部门，设置固定的资产管理员，负责对资产管理信息系统进行增减变动并定期维护。财务室对固定资产财务账进行统一核算，设立固定资产明细科目，每月与实物账进行核对，做到账账相符，账实相符。</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pageBreakBefore w:val="0"/>
        <w:kinsoku/>
        <w:wordWrap/>
        <w:overflowPunct/>
        <w:topLinePunct w:val="0"/>
        <w:autoSpaceDE/>
        <w:autoSpaceDN/>
        <w:bidi w:val="0"/>
        <w:spacing w:line="560" w:lineRule="exact"/>
        <w:ind w:firstLine="560" w:firstLineChars="200"/>
        <w:textAlignment w:val="auto"/>
        <w:rPr>
          <w:rFonts w:hint="eastAsia" w:eastAsia="仿宋_GB2312"/>
          <w:lang w:val="en-US" w:eastAsia="zh-CN"/>
        </w:rPr>
      </w:pPr>
      <w:r>
        <w:rPr>
          <w:rFonts w:hint="eastAsia" w:ascii="仿宋_GB2312" w:hAnsi="仿宋" w:eastAsia="仿宋_GB2312" w:cs="Times New Roman"/>
          <w:sz w:val="28"/>
          <w:szCs w:val="28"/>
        </w:rPr>
        <w:t>成立预算绩效管理工作小组，负责预算绩效管理各项工作。主要领导任组长，财务主管领导任副组长，小组成员为办公室、综合科、审批科、大气科、污管科、</w:t>
      </w:r>
      <w:r>
        <w:rPr>
          <w:rFonts w:hint="eastAsia" w:ascii="仿宋_GB2312" w:hAnsi="仿宋" w:eastAsia="仿宋_GB2312" w:cs="Times New Roman"/>
          <w:sz w:val="28"/>
          <w:szCs w:val="28"/>
          <w:lang w:eastAsia="zh-CN"/>
        </w:rPr>
        <w:t>水和生态科、</w:t>
      </w:r>
      <w:r>
        <w:rPr>
          <w:rFonts w:hint="eastAsia" w:ascii="仿宋_GB2312" w:hAnsi="仿宋" w:eastAsia="仿宋_GB2312" w:cs="Times New Roman"/>
          <w:sz w:val="28"/>
          <w:szCs w:val="28"/>
        </w:rPr>
        <w:t>执法大队、监测站和事务中心等各科室负责人。部门总体绩效目标的设定按照本部门年度工作任务，根据各科室预算项目绩效目标收集整理汇总填报，从而保证部门总体绩效目标真实、完整、准确不偏离。</w:t>
      </w:r>
    </w:p>
    <w:p>
      <w:pPr>
        <w:numPr>
          <w:ilvl w:val="0"/>
          <w:numId w:val="5"/>
        </w:numPr>
        <w:spacing w:line="580" w:lineRule="exact"/>
        <w:ind w:firstLine="640"/>
        <w:rPr>
          <w:rFonts w:hint="eastAsia" w:ascii="仿宋_GB2312" w:eastAsia="仿宋_GB2312"/>
          <w:sz w:val="32"/>
          <w:szCs w:val="32"/>
        </w:rPr>
      </w:pPr>
      <w:r>
        <w:rPr>
          <w:rFonts w:hint="eastAsia" w:ascii="仿宋_GB2312" w:eastAsia="仿宋_GB2312"/>
          <w:sz w:val="32"/>
          <w:szCs w:val="32"/>
        </w:rPr>
        <w:t>绩效目标管理情况</w:t>
      </w:r>
    </w:p>
    <w:p>
      <w:pPr>
        <w:spacing w:line="520" w:lineRule="exact"/>
        <w:ind w:firstLine="640"/>
        <w:rPr>
          <w:rFonts w:hint="eastAsia"/>
        </w:rPr>
      </w:pPr>
      <w:r>
        <w:rPr>
          <w:rFonts w:ascii="仿宋_GB2312" w:eastAsia="仿宋_GB2312"/>
          <w:sz w:val="28"/>
          <w:szCs w:val="28"/>
        </w:rPr>
        <w:t>202</w:t>
      </w:r>
      <w:r>
        <w:rPr>
          <w:rFonts w:hint="eastAsia" w:ascii="仿宋_GB2312" w:eastAsia="仿宋_GB2312"/>
          <w:sz w:val="28"/>
          <w:szCs w:val="28"/>
        </w:rPr>
        <w:t>5年部门预算项目</w:t>
      </w:r>
      <w:r>
        <w:rPr>
          <w:rFonts w:hint="eastAsia" w:ascii="仿宋_GB2312" w:eastAsia="仿宋_GB2312"/>
          <w:sz w:val="28"/>
          <w:szCs w:val="28"/>
          <w:lang w:val="en-US" w:eastAsia="zh-CN"/>
        </w:rPr>
        <w:t>43</w:t>
      </w:r>
      <w:r>
        <w:rPr>
          <w:rFonts w:hint="eastAsia" w:ascii="仿宋_GB2312" w:eastAsia="仿宋_GB2312"/>
          <w:sz w:val="28"/>
          <w:szCs w:val="28"/>
        </w:rPr>
        <w:t>个，部门预算公开绩效目标的预算项目</w:t>
      </w:r>
      <w:r>
        <w:rPr>
          <w:rFonts w:hint="eastAsia" w:ascii="仿宋_GB2312" w:eastAsia="仿宋_GB2312"/>
          <w:sz w:val="28"/>
          <w:szCs w:val="28"/>
          <w:lang w:val="en-US" w:eastAsia="zh-CN"/>
        </w:rPr>
        <w:t>29</w:t>
      </w:r>
      <w:r>
        <w:rPr>
          <w:rFonts w:hint="eastAsia" w:ascii="仿宋_GB2312" w:eastAsia="仿宋_GB2312"/>
          <w:sz w:val="28"/>
          <w:szCs w:val="28"/>
        </w:rPr>
        <w:t>个，占本部门全部预算项目的</w:t>
      </w:r>
      <w:r>
        <w:rPr>
          <w:rFonts w:hint="eastAsia" w:ascii="仿宋_GB2312" w:eastAsia="仿宋_GB2312"/>
          <w:sz w:val="28"/>
          <w:szCs w:val="28"/>
          <w:lang w:val="en-US" w:eastAsia="zh-CN"/>
        </w:rPr>
        <w:t>67</w:t>
      </w:r>
      <w:r>
        <w:rPr>
          <w:rFonts w:ascii="仿宋_GB2312" w:eastAsia="仿宋_GB2312"/>
          <w:sz w:val="28"/>
          <w:szCs w:val="28"/>
        </w:rPr>
        <w:t>%</w:t>
      </w:r>
      <w:r>
        <w:rPr>
          <w:rFonts w:hint="eastAsia" w:ascii="仿宋_GB2312" w:eastAsia="仿宋_GB2312"/>
          <w:sz w:val="28"/>
          <w:szCs w:val="28"/>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pPr>
        <w:spacing w:line="520" w:lineRule="exact"/>
        <w:ind w:firstLine="640"/>
        <w:rPr>
          <w:rFonts w:ascii="仿宋_GB2312" w:eastAsia="仿宋_GB2312"/>
          <w:sz w:val="28"/>
          <w:szCs w:val="28"/>
        </w:rPr>
      </w:pPr>
      <w:r>
        <w:rPr>
          <w:rFonts w:hint="eastAsia" w:ascii="仿宋_GB2312" w:eastAsia="仿宋_GB2312"/>
          <w:sz w:val="28"/>
          <w:szCs w:val="28"/>
        </w:rPr>
        <w:t>2025年对本部门及所属单位2024年项目支出实施了绩效自评，评价项目</w:t>
      </w:r>
      <w:r>
        <w:rPr>
          <w:rFonts w:hint="eastAsia" w:ascii="仿宋_GB2312" w:eastAsia="仿宋_GB2312"/>
          <w:sz w:val="28"/>
          <w:szCs w:val="28"/>
          <w:lang w:val="en-US" w:eastAsia="zh-CN"/>
        </w:rPr>
        <w:t>46</w:t>
      </w:r>
      <w:r>
        <w:rPr>
          <w:rFonts w:hint="eastAsia" w:ascii="仿宋_GB2312" w:eastAsia="仿宋_GB2312"/>
          <w:sz w:val="28"/>
          <w:szCs w:val="28"/>
        </w:rPr>
        <w:t>个，涉及金额</w:t>
      </w:r>
      <w:r>
        <w:rPr>
          <w:rFonts w:hint="eastAsia" w:ascii="仿宋_GB2312" w:hAnsi="Times New Roman" w:eastAsia="仿宋_GB2312" w:cs="Times New Roman"/>
          <w:sz w:val="28"/>
          <w:szCs w:val="28"/>
        </w:rPr>
        <w:t>4</w:t>
      </w:r>
      <w:r>
        <w:rPr>
          <w:rFonts w:hint="eastAsia" w:ascii="仿宋_GB2312" w:eastAsia="仿宋_GB2312" w:cs="Times New Roman"/>
          <w:sz w:val="28"/>
          <w:szCs w:val="28"/>
          <w:lang w:val="en-US" w:eastAsia="zh-CN"/>
        </w:rPr>
        <w:t>,</w:t>
      </w:r>
      <w:r>
        <w:rPr>
          <w:rFonts w:hint="eastAsia" w:ascii="仿宋_GB2312" w:hAnsi="Times New Roman" w:eastAsia="仿宋_GB2312" w:cs="Times New Roman"/>
          <w:sz w:val="28"/>
          <w:szCs w:val="28"/>
        </w:rPr>
        <w:t>646.92</w:t>
      </w:r>
      <w:r>
        <w:rPr>
          <w:rFonts w:hint="eastAsia" w:ascii="仿宋_GB2312" w:eastAsia="仿宋_GB2312"/>
          <w:sz w:val="28"/>
          <w:szCs w:val="28"/>
        </w:rPr>
        <w:t>万元。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w:t>
      </w:r>
      <w:r>
        <w:rPr>
          <w:rFonts w:hint="eastAsia" w:ascii="仿宋_GB2312" w:eastAsia="仿宋_GB2312"/>
          <w:sz w:val="32"/>
          <w:szCs w:val="32"/>
          <w:lang w:val="en-US" w:eastAsia="zh-CN"/>
        </w:rPr>
        <w:t>97.3</w:t>
      </w:r>
      <w:r>
        <w:rPr>
          <w:rFonts w:hint="eastAsia" w:ascii="仿宋_GB2312" w:eastAsia="仿宋_GB2312"/>
          <w:sz w:val="32"/>
          <w:szCs w:val="32"/>
        </w:rPr>
        <w:t>分</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rPr>
        <w:t>绩效自评等级：</w:t>
      </w:r>
      <w:r>
        <w:rPr>
          <w:rFonts w:hint="eastAsia" w:ascii="仿宋_GB2312" w:eastAsia="仿宋_GB2312"/>
          <w:sz w:val="32"/>
          <w:szCs w:val="32"/>
          <w:lang w:val="en-US" w:eastAsia="zh-CN"/>
        </w:rPr>
        <w:t>优秀</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spacing w:line="520" w:lineRule="exact"/>
        <w:ind w:firstLine="640"/>
        <w:rPr>
          <w:rFonts w:hint="eastAsia" w:ascii="仿宋_GB2312" w:hAnsi="仿宋" w:eastAsia="仿宋_GB2312" w:cs="Times New Roman"/>
          <w:sz w:val="28"/>
          <w:szCs w:val="28"/>
        </w:rPr>
      </w:pPr>
      <w:r>
        <w:rPr>
          <w:rFonts w:hint="eastAsia" w:ascii="仿宋_GB2312" w:hAnsi="仿宋" w:eastAsia="仿宋_GB2312" w:cs="Times New Roman"/>
          <w:sz w:val="28"/>
          <w:szCs w:val="28"/>
        </w:rPr>
        <w:t>本部门在实践中严格遵守财政部门规章制度要求，根据部门职能及年度工作计划编报年度预算，结合财务工作管理办法及内部控制制度等落实预算执行工作，从预算管理、支出管理、固定资产管理、政府采购管理、合同管理等方面明确岗位职责，加强对资金使用的管理和防控，提高资金使用效率，但在内部精细化管理方面还存在一些问题并且需要继续改进。</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3"/>
    <w:p>
      <w:pPr>
        <w:spacing w:line="520" w:lineRule="exact"/>
        <w:ind w:firstLine="640"/>
        <w:rPr>
          <w:rFonts w:ascii="仿宋_GB2312" w:eastAsia="仿宋_GB2312"/>
          <w:sz w:val="28"/>
          <w:szCs w:val="28"/>
        </w:rPr>
      </w:pPr>
      <w:r>
        <w:rPr>
          <w:rFonts w:hint="eastAsia" w:ascii="仿宋_GB2312" w:hAnsi="仿宋" w:eastAsia="仿宋_GB2312" w:cs="Times New Roman"/>
          <w:b/>
          <w:bCs/>
          <w:sz w:val="28"/>
          <w:szCs w:val="28"/>
        </w:rPr>
        <w:t>一是</w:t>
      </w:r>
      <w:r>
        <w:rPr>
          <w:rFonts w:hint="eastAsia" w:ascii="仿宋_GB2312" w:hAnsi="仿宋" w:eastAsia="仿宋_GB2312" w:cs="Times New Roman"/>
          <w:sz w:val="28"/>
          <w:szCs w:val="28"/>
        </w:rPr>
        <w:t>要求局内各科室筹划好年度工作任务与目标，提前启动预算项目绩效目标编制工作，保障预算编制的科学性和合理性。</w:t>
      </w:r>
      <w:r>
        <w:rPr>
          <w:rFonts w:hint="eastAsia" w:ascii="仿宋_GB2312" w:hAnsi="仿宋" w:eastAsia="仿宋_GB2312" w:cs="Times New Roman"/>
          <w:b/>
          <w:bCs/>
          <w:sz w:val="28"/>
          <w:szCs w:val="28"/>
        </w:rPr>
        <w:t>二是</w:t>
      </w:r>
      <w:r>
        <w:rPr>
          <w:rFonts w:hint="eastAsia" w:ascii="仿宋_GB2312" w:hAnsi="仿宋" w:eastAsia="仿宋_GB2312" w:cs="Times New Roman"/>
          <w:sz w:val="28"/>
          <w:szCs w:val="28"/>
        </w:rPr>
        <w:t>严格按照区财政局批复的预算下达、归口至各科室，做到真实、准确、完整，及时。继续执行局内各科室支出进度通报机制，以通报促支出，各科室需按照“支出进度高于时间进度3个百分点”的工作要求，持续推进项目支出进度，提高财政资金使用效益。</w:t>
      </w:r>
      <w:r>
        <w:rPr>
          <w:rFonts w:hint="eastAsia" w:ascii="仿宋_GB2312" w:hAnsi="仿宋" w:eastAsia="仿宋_GB2312" w:cs="Times New Roman"/>
          <w:b/>
          <w:bCs/>
          <w:sz w:val="28"/>
          <w:szCs w:val="28"/>
        </w:rPr>
        <w:t>三是</w:t>
      </w:r>
      <w:r>
        <w:rPr>
          <w:rFonts w:hint="eastAsia" w:ascii="仿宋_GB2312" w:hAnsi="仿宋" w:eastAsia="仿宋_GB2312" w:cs="Times New Roman"/>
          <w:sz w:val="28"/>
          <w:szCs w:val="28"/>
        </w:rPr>
        <w:t>本部门需根据实际情况不断加强制度建设，制定行之有效的预算绩效管理等相关制度。继续加强预算支出管理，减少年末结转结余的项目数，提高预算执行率。</w:t>
      </w:r>
    </w:p>
    <w:p>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20" w:lineRule="exact"/>
        <w:ind w:firstLine="708" w:firstLineChars="253"/>
        <w:rPr>
          <w:rFonts w:hint="eastAsia" w:ascii="仿宋_GB2312" w:hAnsi="Calibri" w:eastAsia="仿宋_GB2312"/>
          <w:sz w:val="32"/>
          <w:szCs w:val="32"/>
        </w:rPr>
      </w:pPr>
      <w:r>
        <w:rPr>
          <w:rFonts w:hint="eastAsia" w:ascii="仿宋_GB2312" w:eastAsia="仿宋_GB2312"/>
          <w:sz w:val="28"/>
          <w:szCs w:val="28"/>
        </w:rPr>
        <w:t>2025年度区财政批复项目支出</w:t>
      </w:r>
      <w:r>
        <w:rPr>
          <w:rFonts w:ascii="仿宋_GB2312" w:eastAsia="仿宋_GB2312"/>
          <w:sz w:val="28"/>
          <w:szCs w:val="28"/>
        </w:rPr>
        <w:t>预算项目</w:t>
      </w:r>
      <w:r>
        <w:rPr>
          <w:rFonts w:hint="eastAsia" w:ascii="仿宋_GB2312" w:eastAsia="仿宋_GB2312"/>
          <w:sz w:val="28"/>
          <w:szCs w:val="28"/>
          <w:lang w:val="en-US" w:eastAsia="zh-CN"/>
        </w:rPr>
        <w:t>49</w:t>
      </w:r>
      <w:r>
        <w:rPr>
          <w:rFonts w:hint="eastAsia" w:ascii="仿宋_GB2312" w:eastAsia="仿宋_GB2312"/>
          <w:sz w:val="28"/>
          <w:szCs w:val="28"/>
        </w:rPr>
        <w:t>个，涉及金额</w:t>
      </w:r>
      <w:r>
        <w:rPr>
          <w:rFonts w:hint="eastAsia" w:ascii="仿宋_GB2312" w:eastAsia="仿宋_GB2312"/>
          <w:sz w:val="28"/>
          <w:szCs w:val="28"/>
          <w:lang w:val="en-US" w:eastAsia="zh-CN"/>
        </w:rPr>
        <w:t>8,089.77</w:t>
      </w:r>
      <w:r>
        <w:rPr>
          <w:rFonts w:hint="eastAsia" w:ascii="仿宋_GB2312" w:eastAsia="仿宋_GB2312"/>
          <w:sz w:val="28"/>
          <w:szCs w:val="28"/>
        </w:rPr>
        <w:t>万元。本次</w:t>
      </w:r>
      <w:r>
        <w:rPr>
          <w:rFonts w:ascii="仿宋_GB2312" w:eastAsia="仿宋_GB2312"/>
          <w:sz w:val="28"/>
          <w:szCs w:val="28"/>
        </w:rPr>
        <w:t>实施</w:t>
      </w:r>
      <w:r>
        <w:rPr>
          <w:rFonts w:hint="eastAsia" w:ascii="仿宋_GB2312" w:eastAsia="仿宋_GB2312"/>
          <w:sz w:val="28"/>
          <w:szCs w:val="28"/>
        </w:rPr>
        <w:t>绩效自评项目</w:t>
      </w:r>
      <w:r>
        <w:rPr>
          <w:rFonts w:hint="eastAsia" w:ascii="仿宋_GB2312" w:eastAsia="仿宋_GB2312"/>
          <w:sz w:val="28"/>
          <w:szCs w:val="28"/>
          <w:lang w:val="en-US" w:eastAsia="zh-CN"/>
        </w:rPr>
        <w:t>49</w:t>
      </w:r>
      <w:r>
        <w:rPr>
          <w:rFonts w:hint="eastAsia" w:ascii="仿宋_GB2312" w:eastAsia="仿宋_GB2312"/>
          <w:sz w:val="28"/>
          <w:szCs w:val="28"/>
        </w:rPr>
        <w:t>个，涉及金额</w:t>
      </w:r>
      <w:r>
        <w:rPr>
          <w:rFonts w:hint="eastAsia" w:ascii="仿宋_GB2312" w:eastAsia="仿宋_GB2312"/>
          <w:sz w:val="28"/>
          <w:szCs w:val="28"/>
          <w:lang w:val="en-US" w:eastAsia="zh-CN"/>
        </w:rPr>
        <w:t>8,089.77</w:t>
      </w:r>
      <w:r>
        <w:rPr>
          <w:rFonts w:hint="eastAsia" w:ascii="仿宋_GB2312" w:eastAsia="仿宋_GB2312"/>
          <w:sz w:val="28"/>
          <w:szCs w:val="28"/>
        </w:rPr>
        <w:t>万元。评价得分在90分（含90分）以上的</w:t>
      </w:r>
      <w:r>
        <w:rPr>
          <w:rFonts w:hint="eastAsia" w:ascii="仿宋_GB2312" w:eastAsia="仿宋_GB2312"/>
          <w:sz w:val="28"/>
          <w:szCs w:val="28"/>
          <w:lang w:val="en-US" w:eastAsia="zh-CN"/>
        </w:rPr>
        <w:t>45</w:t>
      </w:r>
      <w:r>
        <w:rPr>
          <w:rFonts w:hint="eastAsia" w:ascii="仿宋_GB2312" w:eastAsia="仿宋_GB2312"/>
          <w:sz w:val="28"/>
          <w:szCs w:val="28"/>
        </w:rPr>
        <w:t>个，评价得分在80-90分（含80分）的</w:t>
      </w:r>
      <w:r>
        <w:rPr>
          <w:rFonts w:hint="eastAsia" w:ascii="仿宋_GB2312" w:eastAsia="仿宋_GB2312"/>
          <w:sz w:val="28"/>
          <w:szCs w:val="28"/>
          <w:lang w:val="en-US" w:eastAsia="zh-CN"/>
        </w:rPr>
        <w:t>4</w:t>
      </w:r>
      <w:r>
        <w:rPr>
          <w:rFonts w:hint="eastAsia" w:ascii="仿宋_GB2312" w:eastAsia="仿宋_GB2312"/>
          <w:sz w:val="28"/>
          <w:szCs w:val="28"/>
        </w:rPr>
        <w:t>个，评价得分在60-80分（含60分）的</w:t>
      </w:r>
      <w:r>
        <w:rPr>
          <w:rFonts w:hint="eastAsia" w:ascii="仿宋_GB2312" w:eastAsia="仿宋_GB2312"/>
          <w:sz w:val="28"/>
          <w:szCs w:val="28"/>
          <w:lang w:val="en-US" w:eastAsia="zh-CN"/>
        </w:rPr>
        <w:t>0</w:t>
      </w:r>
      <w:r>
        <w:rPr>
          <w:rFonts w:hint="eastAsia" w:ascii="仿宋_GB2312" w:eastAsia="仿宋_GB2312"/>
          <w:sz w:val="28"/>
          <w:szCs w:val="28"/>
        </w:rPr>
        <w:t>个，评价得分在60分以下的</w:t>
      </w:r>
      <w:r>
        <w:rPr>
          <w:rFonts w:hint="eastAsia" w:ascii="仿宋_GB2312" w:eastAsia="仿宋_GB2312"/>
          <w:sz w:val="28"/>
          <w:szCs w:val="28"/>
          <w:lang w:val="en-US" w:eastAsia="zh-CN"/>
        </w:rPr>
        <w:t>0</w:t>
      </w:r>
      <w:r>
        <w:rPr>
          <w:rFonts w:hint="eastAsia" w:ascii="仿宋_GB2312" w:eastAsia="仿宋_GB2312"/>
          <w:sz w:val="28"/>
          <w:szCs w:val="28"/>
        </w:rPr>
        <w:t>个。</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请参考《关于开展2025年度项目支出绩效自评工作的通知》（门财绩效[2026]72号）要求，将本部门撰写的《重点支出项目绩效自评报告》电子版汇总到1个文件夹中，作为部门决算草案的附件1，并随决算全部公开。</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w:t>
      </w:r>
      <w:r>
        <w:rPr>
          <w:rFonts w:hint="eastAsia" w:ascii="仿宋_GB2312" w:eastAsia="仿宋_GB2312"/>
          <w:b/>
          <w:sz w:val="32"/>
          <w:szCs w:val="32"/>
        </w:rPr>
        <w:t>及决算公开培训要求</w:t>
      </w:r>
      <w:r>
        <w:rPr>
          <w:rFonts w:hint="eastAsia" w:ascii="仿宋_GB2312" w:eastAsia="仿宋_GB2312"/>
          <w:sz w:val="32"/>
          <w:szCs w:val="32"/>
        </w:rPr>
        <w:t>，将本部门本单位拟公开的《项目支出绩效自评表》电子版汇总到1个文件夹中，作为部门决算草案的附件2，并随决算全部公开。</w:t>
      </w:r>
    </w:p>
    <w:p>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3</w:t>
    </w:r>
    <w:r>
      <w:fldChar w:fldCharType="end"/>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16</w:t>
    </w:r>
    <w:r>
      <w:fldChar w:fldCharType="end"/>
    </w:r>
  </w:p>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15</w:t>
    </w:r>
    <w:r>
      <w:fldChar w:fldCharType="end"/>
    </w:r>
  </w:p>
  <w:p>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B02165"/>
    <w:multiLevelType w:val="singleLevel"/>
    <w:tmpl w:val="8AB02165"/>
    <w:lvl w:ilvl="0" w:tentative="0">
      <w:start w:val="2"/>
      <w:numFmt w:val="decimal"/>
      <w:suff w:val="nothing"/>
      <w:lvlText w:val="（%1）"/>
      <w:lvlJc w:val="left"/>
    </w:lvl>
  </w:abstractNum>
  <w:abstractNum w:abstractNumId="1">
    <w:nsid w:val="91A52526"/>
    <w:multiLevelType w:val="singleLevel"/>
    <w:tmpl w:val="91A52526"/>
    <w:lvl w:ilvl="0" w:tentative="0">
      <w:start w:val="2"/>
      <w:numFmt w:val="chineseCounting"/>
      <w:suff w:val="nothing"/>
      <w:lvlText w:val="（%1）"/>
      <w:lvlJc w:val="left"/>
      <w:rPr>
        <w:rFonts w:hint="eastAsia"/>
      </w:rPr>
    </w:lvl>
  </w:abstractNum>
  <w:abstractNum w:abstractNumId="2">
    <w:nsid w:val="B351B6FE"/>
    <w:multiLevelType w:val="singleLevel"/>
    <w:tmpl w:val="B351B6FE"/>
    <w:lvl w:ilvl="0" w:tentative="0">
      <w:start w:val="2"/>
      <w:numFmt w:val="decimal"/>
      <w:suff w:val="nothing"/>
      <w:lvlText w:val="（%1）"/>
      <w:lvlJc w:val="left"/>
    </w:lvl>
  </w:abstractNum>
  <w:abstractNum w:abstractNumId="3">
    <w:nsid w:val="E35198E2"/>
    <w:multiLevelType w:val="singleLevel"/>
    <w:tmpl w:val="E35198E2"/>
    <w:lvl w:ilvl="0" w:tentative="0">
      <w:start w:val="2"/>
      <w:numFmt w:val="decimal"/>
      <w:suff w:val="nothing"/>
      <w:lvlText w:val="（%1）"/>
      <w:lvlJc w:val="left"/>
    </w:lvl>
  </w:abstractNum>
  <w:abstractNum w:abstractNumId="4">
    <w:nsid w:val="79D49D5A"/>
    <w:multiLevelType w:val="singleLevel"/>
    <w:tmpl w:val="79D49D5A"/>
    <w:lvl w:ilvl="0" w:tentative="0">
      <w:start w:val="1"/>
      <w:numFmt w:val="decimal"/>
      <w:lvlText w:val="%1."/>
      <w:lvlJc w:val="left"/>
      <w:pPr>
        <w:tabs>
          <w:tab w:val="left" w:pos="312"/>
        </w:tabs>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50843E2"/>
    <w:rsid w:val="079004AC"/>
    <w:rsid w:val="0A8B5275"/>
    <w:rsid w:val="0BA148CA"/>
    <w:rsid w:val="0C1165C4"/>
    <w:rsid w:val="0C1D7318"/>
    <w:rsid w:val="0CA50076"/>
    <w:rsid w:val="0D6D544B"/>
    <w:rsid w:val="0DD136FE"/>
    <w:rsid w:val="0F8E2C57"/>
    <w:rsid w:val="1059665E"/>
    <w:rsid w:val="10AC13BA"/>
    <w:rsid w:val="11980797"/>
    <w:rsid w:val="11A13CC0"/>
    <w:rsid w:val="145A6C1B"/>
    <w:rsid w:val="14954565"/>
    <w:rsid w:val="14B73493"/>
    <w:rsid w:val="167A2FF9"/>
    <w:rsid w:val="172F6123"/>
    <w:rsid w:val="17E05399"/>
    <w:rsid w:val="18581C69"/>
    <w:rsid w:val="18593C13"/>
    <w:rsid w:val="186D28E5"/>
    <w:rsid w:val="1A6A3B2B"/>
    <w:rsid w:val="1AEC0734"/>
    <w:rsid w:val="1BF75403"/>
    <w:rsid w:val="1C203C3A"/>
    <w:rsid w:val="1C6A0631"/>
    <w:rsid w:val="1DEF20B0"/>
    <w:rsid w:val="214243FA"/>
    <w:rsid w:val="21AD613C"/>
    <w:rsid w:val="22467189"/>
    <w:rsid w:val="257A14F5"/>
    <w:rsid w:val="25972CCA"/>
    <w:rsid w:val="27196C26"/>
    <w:rsid w:val="280F5BA3"/>
    <w:rsid w:val="28C30E3B"/>
    <w:rsid w:val="28C76728"/>
    <w:rsid w:val="29EF086F"/>
    <w:rsid w:val="2A014A0F"/>
    <w:rsid w:val="2B112FE6"/>
    <w:rsid w:val="2B6C15A8"/>
    <w:rsid w:val="2EFFE297"/>
    <w:rsid w:val="301437CA"/>
    <w:rsid w:val="32791381"/>
    <w:rsid w:val="346D38B1"/>
    <w:rsid w:val="349D1F0A"/>
    <w:rsid w:val="34DD0473"/>
    <w:rsid w:val="3C181CA7"/>
    <w:rsid w:val="3C684897"/>
    <w:rsid w:val="41C6204F"/>
    <w:rsid w:val="433E495C"/>
    <w:rsid w:val="4449106F"/>
    <w:rsid w:val="489F2FD7"/>
    <w:rsid w:val="4AC27CB3"/>
    <w:rsid w:val="4AD809EF"/>
    <w:rsid w:val="4B874D05"/>
    <w:rsid w:val="4BF72BEF"/>
    <w:rsid w:val="4D3C6D5F"/>
    <w:rsid w:val="4DE81546"/>
    <w:rsid w:val="4F2D6E77"/>
    <w:rsid w:val="4FA90297"/>
    <w:rsid w:val="4FC41A43"/>
    <w:rsid w:val="51DB3C59"/>
    <w:rsid w:val="549F6275"/>
    <w:rsid w:val="550C0952"/>
    <w:rsid w:val="554119A2"/>
    <w:rsid w:val="55762E42"/>
    <w:rsid w:val="55F042F2"/>
    <w:rsid w:val="57A7B272"/>
    <w:rsid w:val="58470068"/>
    <w:rsid w:val="58747CAC"/>
    <w:rsid w:val="595B7AB3"/>
    <w:rsid w:val="5A1720F9"/>
    <w:rsid w:val="5B9C37C2"/>
    <w:rsid w:val="5BA7C654"/>
    <w:rsid w:val="5D5D5685"/>
    <w:rsid w:val="5E763A5E"/>
    <w:rsid w:val="60A54109"/>
    <w:rsid w:val="61D01CDF"/>
    <w:rsid w:val="64C0607C"/>
    <w:rsid w:val="65756C86"/>
    <w:rsid w:val="674D385B"/>
    <w:rsid w:val="676F09E1"/>
    <w:rsid w:val="687322F5"/>
    <w:rsid w:val="6CBE30D8"/>
    <w:rsid w:val="6DEE600C"/>
    <w:rsid w:val="6E2B0460"/>
    <w:rsid w:val="70B02357"/>
    <w:rsid w:val="716A181C"/>
    <w:rsid w:val="71793A80"/>
    <w:rsid w:val="7357290B"/>
    <w:rsid w:val="743B7C85"/>
    <w:rsid w:val="798524E4"/>
    <w:rsid w:val="7A7F1C49"/>
    <w:rsid w:val="7B5B7AE6"/>
    <w:rsid w:val="7B7B6628"/>
    <w:rsid w:val="7BA7071E"/>
    <w:rsid w:val="7BDF6DA8"/>
    <w:rsid w:val="7BDF7589"/>
    <w:rsid w:val="7C6349B1"/>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2">
    <w:name w:val="Default Paragraph Font"/>
    <w:semiHidden/>
    <w:unhideWhenUsed/>
    <w:qFormat/>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w:basedOn w:val="3"/>
    <w:unhideWhenUsed/>
    <w:qFormat/>
    <w:uiPriority w:val="99"/>
    <w:pPr>
      <w:tabs>
        <w:tab w:val="left" w:pos="567"/>
      </w:tabs>
      <w:ind w:firstLine="420" w:firstLineChars="100"/>
    </w:pPr>
  </w:style>
  <w:style w:type="paragraph" w:styleId="3">
    <w:name w:val="Body Text"/>
    <w:basedOn w:val="1"/>
    <w:qFormat/>
    <w:uiPriority w:val="0"/>
    <w:pPr>
      <w:tabs>
        <w:tab w:val="left" w:pos="567"/>
      </w:tabs>
      <w:spacing w:before="120" w:line="22" w:lineRule="atLeast"/>
    </w:pPr>
    <w:rPr>
      <w:rFonts w:ascii="宋体" w:hAnsi="宋体"/>
      <w:sz w:val="24"/>
    </w:rPr>
  </w:style>
  <w:style w:type="paragraph" w:styleId="5">
    <w:name w:val="Normal Indent"/>
    <w:basedOn w:val="1"/>
    <w:qFormat/>
    <w:uiPriority w:val="0"/>
    <w:pPr>
      <w:ind w:firstLine="200" w:firstLineChars="200"/>
    </w:pPr>
  </w:style>
  <w:style w:type="paragraph" w:styleId="6">
    <w:name w:val="Body Text Indent"/>
    <w:basedOn w:val="1"/>
    <w:qFormat/>
    <w:uiPriority w:val="0"/>
    <w:pPr>
      <w:ind w:firstLine="645"/>
    </w:pPr>
    <w:rPr>
      <w:rFonts w:ascii="仿宋_GB2312" w:hAnsi="Calibri" w:eastAsia="仿宋_GB2312"/>
      <w:sz w:val="32"/>
      <w:szCs w:val="32"/>
    </w:rPr>
  </w:style>
  <w:style w:type="paragraph" w:styleId="7">
    <w:name w:val="Date"/>
    <w:basedOn w:val="1"/>
    <w:next w:val="1"/>
    <w:qFormat/>
    <w:uiPriority w:val="0"/>
    <w:pPr>
      <w:ind w:left="100" w:leftChars="2500"/>
    </w:pPr>
  </w:style>
  <w:style w:type="paragraph" w:styleId="8">
    <w:name w:val="Balloon Text"/>
    <w:basedOn w:val="1"/>
    <w:semiHidden/>
    <w:qFormat/>
    <w:uiPriority w:val="0"/>
    <w:rPr>
      <w:sz w:val="18"/>
      <w:szCs w:val="18"/>
    </w:rPr>
  </w:style>
  <w:style w:type="paragraph" w:styleId="9">
    <w:name w:val="footer"/>
    <w:basedOn w:val="1"/>
    <w:link w:val="16"/>
    <w:qFormat/>
    <w:uiPriority w:val="0"/>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11">
    <w:name w:val="Normal (Web)"/>
    <w:basedOn w:val="1"/>
    <w:unhideWhenUsed/>
    <w:qFormat/>
    <w:uiPriority w:val="0"/>
    <w:pPr>
      <w:spacing w:before="100" w:beforeAutospacing="1" w:after="100" w:afterAutospacing="1"/>
      <w:ind w:right="238"/>
      <w:jc w:val="left"/>
    </w:pPr>
    <w:rPr>
      <w:b/>
      <w:kern w:val="0"/>
      <w:sz w:val="24"/>
      <w:szCs w:val="20"/>
    </w:rPr>
  </w:style>
  <w:style w:type="character" w:styleId="13">
    <w:name w:val="Strong"/>
    <w:qFormat/>
    <w:uiPriority w:val="0"/>
    <w:rPr>
      <w:b/>
    </w:rPr>
  </w:style>
  <w:style w:type="character" w:styleId="14">
    <w:name w:val="page number"/>
    <w:qFormat/>
    <w:uiPriority w:val="0"/>
  </w:style>
  <w:style w:type="character" w:customStyle="1" w:styleId="16">
    <w:name w:val="页脚 Char"/>
    <w:link w:val="9"/>
    <w:qFormat/>
    <w:uiPriority w:val="0"/>
    <w:rPr>
      <w:rFonts w:eastAsia="宋体"/>
      <w:kern w:val="2"/>
      <w:sz w:val="18"/>
      <w:szCs w:val="18"/>
      <w:lang w:val="en-US" w:eastAsia="zh-CN" w:bidi="ar-SA"/>
    </w:rPr>
  </w:style>
  <w:style w:type="character" w:customStyle="1" w:styleId="17">
    <w:name w:val="页眉 Char"/>
    <w:link w:val="10"/>
    <w:qFormat/>
    <w:uiPriority w:val="0"/>
    <w:rPr>
      <w:rFonts w:ascii="Calibri" w:hAnsi="Calibri" w:eastAsia="宋体"/>
      <w:kern w:val="2"/>
      <w:sz w:val="18"/>
      <w:szCs w:val="18"/>
      <w:lang w:val="en-US" w:eastAsia="zh-CN" w:bidi="ar-SA"/>
    </w:rPr>
  </w:style>
  <w:style w:type="paragraph" w:customStyle="1" w:styleId="18">
    <w:name w:val="Char Char Char Char Char Char Char"/>
    <w:basedOn w:val="1"/>
    <w:qFormat/>
    <w:uiPriority w:val="0"/>
    <w:rPr>
      <w:rFonts w:ascii="Tahoma" w:hAnsi="Tahoma"/>
      <w:sz w:val="24"/>
      <w:szCs w:val="20"/>
    </w:rPr>
  </w:style>
  <w:style w:type="paragraph" w:customStyle="1" w:styleId="19">
    <w:name w:val="Char1 Char Char Char"/>
    <w:basedOn w:val="1"/>
    <w:qFormat/>
    <w:uiPriority w:val="0"/>
    <w:pPr>
      <w:widowControl/>
      <w:spacing w:after="160" w:line="240" w:lineRule="exact"/>
      <w:jc w:val="left"/>
    </w:pPr>
    <w:rPr>
      <w:szCs w:val="20"/>
    </w:rPr>
  </w:style>
  <w:style w:type="paragraph" w:customStyle="1" w:styleId="20">
    <w:name w:val="Char"/>
    <w:basedOn w:val="1"/>
    <w:qFormat/>
    <w:uiPriority w:val="0"/>
    <w:rPr>
      <w:rFonts w:ascii="Tahoma" w:hAnsi="Tahoma"/>
      <w:sz w:val="24"/>
      <w:szCs w:val="20"/>
    </w:rPr>
  </w:style>
  <w:style w:type="paragraph" w:customStyle="1" w:styleId="21">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7824.93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3652.37</c:v>
                </c:pt>
                <c:pt idx="1">
                  <c:v>4172.57</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TotalTime>162</TotalTime>
  <ScaleCrop>false</ScaleCrop>
  <LinksUpToDate>false</LinksUpToDate>
  <CharactersWithSpaces>6191</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1</cp:lastModifiedBy>
  <cp:lastPrinted>2020-08-07T11:39:00Z</cp:lastPrinted>
  <dcterms:modified xsi:type="dcterms:W3CDTF">2026-08-20T06:39:36Z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