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CESI黑体-GB2312" w:hAnsi="CESI黑体-GB2312" w:eastAsia="CESI黑体-GB2312" w:cs="CESI黑体-GB2312"/>
          <w:sz w:val="32"/>
          <w:szCs w:val="24"/>
        </w:rPr>
      </w:pPr>
      <w:r>
        <w:rPr>
          <w:rFonts w:hint="eastAsia" w:ascii="CESI黑体-GB2312" w:hAnsi="CESI黑体-GB2312" w:eastAsia="CESI黑体-GB2312" w:cs="CESI黑体-GB2312"/>
          <w:sz w:val="32"/>
          <w:szCs w:val="24"/>
        </w:rPr>
        <w:t>附件</w:t>
      </w:r>
      <w:r>
        <w:rPr>
          <w:rFonts w:hint="eastAsia" w:ascii="CESI黑体-GB2312" w:hAnsi="CESI黑体-GB2312" w:eastAsia="CESI黑体-GB2312" w:cs="CESI黑体-GB2312"/>
          <w:sz w:val="32"/>
          <w:szCs w:val="24"/>
          <w:lang w:val="en-US" w:eastAsia="zh-CN"/>
        </w:rPr>
        <w:t>2</w:t>
      </w:r>
      <w:bookmarkStart w:id="0" w:name="_GoBack"/>
      <w:bookmarkEnd w:id="0"/>
      <w:r>
        <w:rPr>
          <w:rFonts w:hint="eastAsia" w:ascii="CESI黑体-GB2312" w:hAnsi="CESI黑体-GB2312" w:eastAsia="CESI黑体-GB2312" w:cs="CESI黑体-GB2312"/>
          <w:sz w:val="32"/>
          <w:szCs w:val="24"/>
        </w:rPr>
        <w:t>：</w:t>
      </w:r>
    </w:p>
    <w:p>
      <w:pPr>
        <w:spacing w:line="560" w:lineRule="exact"/>
        <w:jc w:val="center"/>
        <w:rPr>
          <w:rFonts w:hint="eastAsia" w:ascii="方正小标宋简体" w:hAnsi="方正小标宋简体" w:eastAsia="方正小标宋简体" w:cs="方正小标宋简体"/>
          <w:bCs/>
          <w:spacing w:val="-11"/>
          <w:sz w:val="44"/>
          <w:szCs w:val="44"/>
        </w:rPr>
      </w:pPr>
      <w:r>
        <w:rPr>
          <w:rFonts w:hint="eastAsia" w:ascii="方正小标宋简体" w:hAnsi="方正小标宋简体" w:eastAsia="方正小标宋简体" w:cs="方正小标宋简体"/>
          <w:bCs/>
          <w:spacing w:val="-11"/>
          <w:sz w:val="44"/>
          <w:szCs w:val="44"/>
          <w:lang w:eastAsia="zh-CN"/>
        </w:rPr>
        <w:t>门头沟区生态环境局</w:t>
      </w:r>
      <w:r>
        <w:rPr>
          <w:rFonts w:hint="eastAsia" w:ascii="方正小标宋简体" w:hAnsi="方正小标宋简体" w:eastAsia="方正小标宋简体" w:cs="方正小标宋简体"/>
          <w:bCs/>
          <w:spacing w:val="-11"/>
          <w:sz w:val="44"/>
          <w:szCs w:val="44"/>
        </w:rPr>
        <w:t>2025预算年度重点支出</w:t>
      </w:r>
    </w:p>
    <w:p>
      <w:pPr>
        <w:spacing w:line="560" w:lineRule="exact"/>
        <w:jc w:val="center"/>
        <w:rPr>
          <w:rFonts w:ascii="方正小标宋简体" w:hAnsi="方正小标宋简体" w:eastAsia="方正小标宋简体" w:cs="方正小标宋简体"/>
          <w:bCs/>
          <w:spacing w:val="-11"/>
          <w:sz w:val="44"/>
          <w:szCs w:val="44"/>
        </w:rPr>
      </w:pPr>
      <w:r>
        <w:rPr>
          <w:rFonts w:hint="eastAsia" w:ascii="方正小标宋简体" w:hAnsi="方正小标宋简体" w:eastAsia="方正小标宋简体" w:cs="方正小标宋简体"/>
          <w:bCs/>
          <w:spacing w:val="-11"/>
          <w:sz w:val="44"/>
          <w:szCs w:val="44"/>
        </w:rPr>
        <w:t>项目绩效</w:t>
      </w:r>
      <w:r>
        <w:rPr>
          <w:rFonts w:ascii="方正小标宋简体" w:hAnsi="方正小标宋简体" w:eastAsia="方正小标宋简体" w:cs="方正小标宋简体"/>
          <w:bCs/>
          <w:spacing w:val="-11"/>
          <w:sz w:val="44"/>
          <w:szCs w:val="44"/>
        </w:rPr>
        <w:t>自评报告</w:t>
      </w:r>
    </w:p>
    <w:p>
      <w:pPr>
        <w:spacing w:line="560" w:lineRule="exact"/>
        <w:ind w:firstLine="640" w:firstLineChars="200"/>
        <w:outlineLvl w:val="0"/>
        <w:rPr>
          <w:rFonts w:hint="eastAsia" w:ascii="CESI黑体-GB2312" w:hAnsi="CESI黑体-GB2312" w:eastAsia="CESI黑体-GB2312" w:cs="CESI黑体-GB2312"/>
          <w:sz w:val="32"/>
          <w:szCs w:val="32"/>
        </w:rPr>
      </w:pPr>
    </w:p>
    <w:p>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一、基本情况</w:t>
      </w:r>
    </w:p>
    <w:p>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（一）项目概况</w:t>
      </w:r>
    </w:p>
    <w:p>
      <w:pPr>
        <w:numPr>
          <w:ilvl w:val="0"/>
          <w:numId w:val="0"/>
        </w:numPr>
        <w:spacing w:line="520" w:lineRule="exact"/>
        <w:ind w:firstLine="640" w:firstLineChars="200"/>
        <w:outlineLvl w:val="0"/>
        <w:rPr>
          <w:rFonts w:hint="eastAsia" w:ascii="仿宋_GB2312" w:eastAsia="仿宋_GB2312"/>
          <w:color w:val="000000"/>
          <w:sz w:val="32"/>
          <w:szCs w:val="32"/>
          <w:lang w:eastAsia="zh-CN"/>
        </w:rPr>
      </w:pPr>
      <w:r>
        <w:rPr>
          <w:rFonts w:hint="eastAsia" w:ascii="仿宋_GB2312" w:eastAsia="仿宋_GB2312"/>
          <w:color w:val="000000"/>
          <w:sz w:val="32"/>
          <w:szCs w:val="32"/>
          <w:lang w:val="en-US" w:eastAsia="zh-CN"/>
        </w:rPr>
        <w:t>1.</w:t>
      </w:r>
      <w:r>
        <w:rPr>
          <w:rFonts w:hint="eastAsia" w:ascii="仿宋_GB2312" w:eastAsia="仿宋_GB2312"/>
          <w:color w:val="000000"/>
          <w:sz w:val="32"/>
          <w:szCs w:val="32"/>
          <w:lang w:eastAsia="zh-CN"/>
        </w:rPr>
        <w:t>项目背景：门头沟区饮用水水源地环境保护状况评估及农村水源地饮用水水源保护区划分服务项目，</w:t>
      </w:r>
      <w:r>
        <w:rPr>
          <w:rFonts w:hint="eastAsia" w:ascii="仿宋_GB2312" w:eastAsia="仿宋_GB2312"/>
          <w:color w:val="000000"/>
          <w:sz w:val="32"/>
          <w:szCs w:val="32"/>
        </w:rPr>
        <w:t>根据《推进美丽北京建设 持续深入打好污染防治攻坚战2024年行动计划》（京政办发〔2024〕4号）及《关于进一步规范本市饮用水水源保护管理工作的通知》（京环办〔2024〕74号）等文件要求，为全面掌握门头沟区饮用水水源地环境状况，规范农村水源地保护区划分，提升饮用水水源安全保障能力，门头沟区生态环境局组织实施了门头沟区饮用水水源地环境保护状况评估及农村水源地饮用水水源保护区划分项目</w:t>
      </w:r>
      <w:r>
        <w:rPr>
          <w:rFonts w:hint="eastAsia" w:ascii="仿宋_GB2312" w:eastAsia="仿宋_GB2312"/>
          <w:color w:val="000000"/>
          <w:sz w:val="32"/>
          <w:szCs w:val="32"/>
          <w:lang w:eastAsia="zh-CN"/>
        </w:rPr>
        <w:t>。</w:t>
      </w:r>
    </w:p>
    <w:p>
      <w:pPr>
        <w:numPr>
          <w:ilvl w:val="0"/>
          <w:numId w:val="0"/>
        </w:num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2.主要内容：</w:t>
      </w:r>
    </w:p>
    <w:p>
      <w:pPr>
        <w:numPr>
          <w:ilvl w:val="0"/>
          <w:numId w:val="0"/>
        </w:num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1）饮用水水源地环境保护状况监测评估：对1个区级水源地（城子水厂）、3个乡镇级地下水水源地（王平水厂、杨坨水厂、大台水厂）、1个乡镇级地表水水源地（斋堂水库）及15个村级水源地开展环境状况调查、风险源排查、水质监督性监测，完成年度评估报告，实现“一源一档”动态管理。</w:t>
      </w:r>
    </w:p>
    <w:p>
      <w:pPr>
        <w:numPr>
          <w:ilvl w:val="0"/>
          <w:numId w:val="0"/>
        </w:num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农村水源地饮用水水源保护区划分：对《门头沟区饮用水源地名录》中尚未划定保护区的120个农村水源地，开展水文地质测量、环境地质测量、水源地状况调查、水质监测，依据技术规范划定保护范围，编制划分技术报告及方案，完成上报审批。</w:t>
      </w:r>
    </w:p>
    <w:p>
      <w:pPr>
        <w:numPr>
          <w:ilvl w:val="0"/>
          <w:numId w:val="0"/>
        </w:num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3.实施情况：项目按年度工作计划有序推进，完成辖区集中式饮用水水源地环境状况监测评估及农村水源地保护区划定工作，按季度开展水质监测与现场调研，依规开展水文地质测量、环境调查、风险源排查和技术报告编制。所有成果均通过专家验收，资金专款专用、管理规范，各项任务按期保质完成，达到年度实施要求。</w:t>
      </w:r>
    </w:p>
    <w:p>
      <w:pPr>
        <w:numPr>
          <w:ilvl w:val="0"/>
          <w:numId w:val="0"/>
        </w:num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4.资金用途：预算资金用于水质检测、水源地环境现状综合调查、风险源排查、专项水文地质测量、水源保护区划定。</w:t>
      </w:r>
    </w:p>
    <w:p>
      <w:pPr>
        <w:numPr>
          <w:ilvl w:val="0"/>
          <w:numId w:val="0"/>
        </w:numPr>
        <w:spacing w:line="520" w:lineRule="exact"/>
        <w:ind w:firstLine="640" w:firstLineChars="200"/>
        <w:outlineLvl w:val="0"/>
        <w:rPr>
          <w:rFonts w:hint="eastAsia" w:ascii="仿宋_GB2312" w:eastAsia="仿宋_GB2312"/>
          <w:color w:val="000000"/>
          <w:sz w:val="32"/>
          <w:szCs w:val="32"/>
          <w:highlight w:val="none"/>
          <w:lang w:val="en-US" w:eastAsia="zh-CN"/>
        </w:rPr>
      </w:pPr>
      <w:r>
        <w:rPr>
          <w:rFonts w:hint="eastAsia" w:ascii="仿宋_GB2312" w:eastAsia="仿宋_GB2312"/>
          <w:color w:val="000000"/>
          <w:sz w:val="32"/>
          <w:szCs w:val="32"/>
          <w:lang w:val="en-US" w:eastAsia="zh-CN"/>
        </w:rPr>
        <w:t>5.涉及范围：覆盖门头沟区区级、乡镇级、村级集中式饮用水水源地及120个农村分散式水源地，涵盖城子水厂、王平水厂、杨坨水厂、大台水厂、斋堂水库及相关村级水源地。</w:t>
      </w:r>
    </w:p>
    <w:p>
      <w:pPr>
        <w:spacing w:line="560" w:lineRule="exact"/>
        <w:ind w:firstLine="640" w:firstLineChars="200"/>
        <w:outlineLvl w:val="0"/>
        <w:rPr>
          <w:rFonts w:ascii="楷体_GB2312" w:hAnsi="楷体" w:eastAsia="楷体_GB2312" w:cs="仿宋_GB2312"/>
          <w:sz w:val="32"/>
          <w:szCs w:val="32"/>
          <w:highlight w:val="none"/>
        </w:rPr>
      </w:pPr>
      <w:r>
        <w:rPr>
          <w:rFonts w:hint="eastAsia" w:ascii="楷体_GB2312" w:hAnsi="楷体" w:eastAsia="楷体_GB2312" w:cs="仿宋_GB2312"/>
          <w:sz w:val="32"/>
          <w:szCs w:val="32"/>
          <w:highlight w:val="none"/>
        </w:rPr>
        <w:t>（二）项目资金投入及使用情况</w:t>
      </w:r>
    </w:p>
    <w:p>
      <w:pPr>
        <w:spacing w:line="520" w:lineRule="exact"/>
        <w:ind w:firstLine="640" w:firstLineChars="200"/>
        <w:outlineLvl w:val="0"/>
        <w:rPr>
          <w:rFonts w:hint="eastAsia" w:ascii="仿宋_GB2312" w:eastAsia="仿宋_GB2312"/>
          <w:color w:val="000000"/>
          <w:sz w:val="32"/>
          <w:szCs w:val="32"/>
          <w:lang w:eastAsia="zh-CN"/>
        </w:rPr>
      </w:pPr>
      <w:r>
        <w:rPr>
          <w:rFonts w:hint="eastAsia" w:ascii="仿宋_GB2312" w:eastAsia="仿宋_GB2312"/>
          <w:color w:val="000000"/>
          <w:sz w:val="32"/>
          <w:szCs w:val="32"/>
          <w:highlight w:val="none"/>
        </w:rPr>
        <w:t>项目总投资预算为160.61万元，资金来源为市级</w:t>
      </w:r>
      <w:r>
        <w:rPr>
          <w:rFonts w:hint="eastAsia" w:ascii="仿宋_GB2312" w:eastAsia="仿宋_GB2312"/>
          <w:color w:val="000000"/>
          <w:sz w:val="32"/>
          <w:szCs w:val="32"/>
          <w:highlight w:val="none"/>
          <w:lang w:eastAsia="zh-CN"/>
        </w:rPr>
        <w:t>污染防治转移支付资金</w:t>
      </w:r>
      <w:r>
        <w:rPr>
          <w:rFonts w:hint="eastAsia" w:ascii="仿宋_GB2312" w:eastAsia="仿宋_GB2312"/>
          <w:color w:val="000000"/>
          <w:sz w:val="32"/>
          <w:szCs w:val="32"/>
          <w:highlight w:val="none"/>
        </w:rPr>
        <w:t>，2025年度实际支出157.40万元，预算执行率98%</w:t>
      </w:r>
      <w:r>
        <w:rPr>
          <w:rFonts w:hint="eastAsia" w:ascii="仿宋_GB2312" w:eastAsia="仿宋_GB2312"/>
          <w:color w:val="000000"/>
          <w:sz w:val="32"/>
          <w:szCs w:val="32"/>
          <w:highlight w:val="none"/>
          <w:lang w:eastAsia="zh-CN"/>
        </w:rPr>
        <w:t>，</w:t>
      </w:r>
      <w:r>
        <w:rPr>
          <w:rFonts w:hint="eastAsia" w:ascii="仿宋_GB2312" w:eastAsia="仿宋_GB2312"/>
          <w:color w:val="000000"/>
          <w:sz w:val="32"/>
          <w:szCs w:val="32"/>
          <w:lang w:eastAsia="zh-CN"/>
        </w:rPr>
        <w:t>未发生预算调整。</w:t>
      </w:r>
    </w:p>
    <w:p>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（三）项目资金管理情况分析</w:t>
      </w:r>
    </w:p>
    <w:p>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rPr>
        <w:t>根据工作任务和绩效目标，规范资金支出范围，确保资金使用安全有效，专款专用。在采购过程中严格执行政府采购制度，按规定程序申报审批和开展</w:t>
      </w:r>
      <w:r>
        <w:rPr>
          <w:rFonts w:hint="eastAsia" w:ascii="仿宋_GB2312" w:eastAsia="仿宋_GB2312"/>
          <w:color w:val="000000"/>
          <w:sz w:val="32"/>
          <w:szCs w:val="32"/>
          <w:lang w:eastAsia="zh-CN"/>
        </w:rPr>
        <w:t>公开招标</w:t>
      </w:r>
      <w:r>
        <w:rPr>
          <w:rFonts w:hint="eastAsia" w:ascii="仿宋_GB2312" w:eastAsia="仿宋_GB2312"/>
          <w:color w:val="000000"/>
          <w:sz w:val="32"/>
          <w:szCs w:val="32"/>
        </w:rPr>
        <w:t>。根据预算绩效运行监控管理的要求，资金管理使用单位安排专人分时段跟踪问效，确保资金支出合法、合理、合规。到目前为止，未发现截留、挤占、挪用项目资金的违纪违法行为。</w:t>
      </w:r>
    </w:p>
    <w:p>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二、绩效自评结论</w:t>
      </w:r>
    </w:p>
    <w:p>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绩效自评总分：</w:t>
      </w:r>
      <w:r>
        <w:rPr>
          <w:rFonts w:hint="eastAsia" w:ascii="仿宋_GB2312" w:hAnsi="黑体" w:eastAsia="仿宋_GB2312" w:cs="黑体"/>
          <w:bCs/>
          <w:sz w:val="32"/>
          <w:szCs w:val="32"/>
          <w:lang w:val="en-US" w:eastAsia="zh-CN"/>
        </w:rPr>
        <w:t>100</w:t>
      </w:r>
      <w:r>
        <w:rPr>
          <w:rFonts w:hint="eastAsia" w:ascii="仿宋_GB2312" w:hAnsi="黑体" w:eastAsia="仿宋_GB2312" w:cs="黑体"/>
          <w:bCs/>
          <w:sz w:val="32"/>
          <w:szCs w:val="32"/>
        </w:rPr>
        <w:t>分</w:t>
      </w:r>
    </w:p>
    <w:p>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绩效自评等级：</w:t>
      </w:r>
      <w:r>
        <w:rPr>
          <w:rFonts w:hint="eastAsia" w:ascii="仿宋_GB2312" w:hAnsi="黑体" w:eastAsia="仿宋_GB2312" w:cs="黑体"/>
          <w:bCs/>
          <w:sz w:val="32"/>
          <w:szCs w:val="32"/>
          <w:lang w:eastAsia="zh-CN"/>
        </w:rPr>
        <w:t>优秀</w:t>
      </w:r>
    </w:p>
    <w:p>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三、绩效目标完成情况分析</w:t>
      </w:r>
    </w:p>
    <w:p>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（一）项目绩效目标、绩效指标设定情况</w:t>
      </w:r>
    </w:p>
    <w:p>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lang w:eastAsia="zh-CN"/>
        </w:rPr>
        <w:t>总体绩效目标：</w:t>
      </w:r>
      <w:r>
        <w:rPr>
          <w:rFonts w:hint="eastAsia" w:ascii="仿宋_GB2312" w:eastAsia="仿宋_GB2312"/>
          <w:color w:val="000000"/>
          <w:sz w:val="32"/>
          <w:szCs w:val="32"/>
        </w:rPr>
        <w:t>通过开展门头沟区1个区级水源地、3个乡镇级地下水源地、1个乡镇级地表水源地、15个村级水源地水源环境保护状况评估工作以及120个农村水源地饮用水水源保护划分工作，编制评估报告、划分技术报告、划分方案，进一步推进饮用水水源地保护工作，提高饮用水水源安全保障能力。</w:t>
      </w:r>
    </w:p>
    <w:p>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rPr>
        <w:t>主要绩效指标：包括产出指标（数量、质量、时效）、</w:t>
      </w:r>
      <w:r>
        <w:rPr>
          <w:rFonts w:hint="eastAsia" w:ascii="仿宋_GB2312" w:eastAsia="仿宋_GB2312"/>
          <w:color w:val="000000"/>
          <w:sz w:val="32"/>
          <w:szCs w:val="32"/>
          <w:lang w:eastAsia="zh-CN"/>
        </w:rPr>
        <w:t>成本指标（经济成本）、</w:t>
      </w:r>
      <w:r>
        <w:rPr>
          <w:rFonts w:hint="eastAsia" w:ascii="仿宋_GB2312" w:eastAsia="仿宋_GB2312"/>
          <w:color w:val="000000"/>
          <w:sz w:val="32"/>
          <w:szCs w:val="32"/>
        </w:rPr>
        <w:t>效益指标（社会效益）。</w:t>
      </w:r>
    </w:p>
    <w:p>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（二）总体绩效目标完成情况分析</w:t>
      </w:r>
    </w:p>
    <w:p>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rPr>
        <w:t>项目全面完成年度任务，集中式水源地评估、农村水源地保护区划定均</w:t>
      </w:r>
      <w:r>
        <w:rPr>
          <w:rFonts w:hint="eastAsia" w:ascii="仿宋_GB2312" w:eastAsia="仿宋_GB2312"/>
          <w:color w:val="000000"/>
          <w:sz w:val="32"/>
          <w:szCs w:val="32"/>
          <w:lang w:eastAsia="zh-CN"/>
        </w:rPr>
        <w:t>按合同约定</w:t>
      </w:r>
      <w:r>
        <w:rPr>
          <w:rFonts w:hint="eastAsia" w:ascii="仿宋_GB2312" w:eastAsia="仿宋_GB2312"/>
          <w:color w:val="000000"/>
          <w:sz w:val="32"/>
          <w:szCs w:val="32"/>
        </w:rPr>
        <w:t>完成，所有技术成果符合规范并通过专家验收，预算执行合规，水源地保护管理水平显著提升，有效保障居民饮水安全。</w:t>
      </w:r>
    </w:p>
    <w:p>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（三）项目绩效指标完成情况分析</w:t>
      </w:r>
    </w:p>
    <w:p>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1.产出指标完成情况分析。</w:t>
      </w:r>
    </w:p>
    <w:p>
      <w:pPr>
        <w:spacing w:line="520" w:lineRule="exact"/>
        <w:ind w:firstLine="640" w:firstLineChars="200"/>
        <w:rPr>
          <w:rFonts w:hint="eastAsia" w:ascii="仿宋_GB2312" w:hAnsi="黑体" w:eastAsia="仿宋_GB2312" w:cs="黑体"/>
          <w:bCs/>
          <w:sz w:val="32"/>
          <w:szCs w:val="32"/>
        </w:rPr>
      </w:pPr>
      <w:r>
        <w:rPr>
          <w:rFonts w:hint="eastAsia" w:ascii="仿宋_GB2312" w:hAnsi="黑体" w:eastAsia="仿宋_GB2312" w:cs="黑体"/>
          <w:bCs/>
          <w:sz w:val="32"/>
          <w:szCs w:val="32"/>
        </w:rPr>
        <w:t>（1）数量指标。</w:t>
      </w:r>
    </w:p>
    <w:p>
      <w:pPr>
        <w:spacing w:line="520" w:lineRule="exact"/>
        <w:ind w:firstLine="640" w:firstLineChars="200"/>
        <w:rPr>
          <w:rFonts w:hint="eastAsia" w:ascii="仿宋_GB2312" w:hAnsi="黑体" w:eastAsia="仿宋_GB2312" w:cs="黑体"/>
          <w:bCs/>
          <w:sz w:val="32"/>
          <w:szCs w:val="32"/>
        </w:rPr>
      </w:pPr>
      <w:r>
        <w:rPr>
          <w:rFonts w:hint="eastAsia" w:ascii="仿宋_GB2312" w:hAnsi="黑体" w:eastAsia="仿宋_GB2312" w:cs="黑体"/>
          <w:bCs/>
          <w:sz w:val="32"/>
          <w:szCs w:val="32"/>
          <w:lang w:eastAsia="zh-CN"/>
        </w:rPr>
        <w:t>①评估的集中式水源地：</w:t>
      </w:r>
      <w:r>
        <w:rPr>
          <w:rFonts w:hint="eastAsia" w:ascii="仿宋_GB2312" w:hAnsi="黑体" w:eastAsia="仿宋_GB2312" w:cs="黑体"/>
          <w:bCs/>
          <w:sz w:val="32"/>
          <w:szCs w:val="32"/>
        </w:rPr>
        <w:t>指标值为“＝20个”。全年实际完成评估21个，其中包含1个区级水源地、3个乡镇级地下水源地、1个乡镇级地表水源地及1</w:t>
      </w:r>
      <w:r>
        <w:rPr>
          <w:rFonts w:hint="eastAsia" w:ascii="仿宋_GB2312" w:hAnsi="黑体" w:eastAsia="仿宋_GB2312" w:cs="黑体"/>
          <w:bCs/>
          <w:sz w:val="32"/>
          <w:szCs w:val="32"/>
          <w:lang w:val="en-US" w:eastAsia="zh-CN"/>
        </w:rPr>
        <w:t>6</w:t>
      </w:r>
      <w:r>
        <w:rPr>
          <w:rFonts w:hint="eastAsia" w:ascii="仿宋_GB2312" w:hAnsi="黑体" w:eastAsia="仿宋_GB2312" w:cs="黑体"/>
          <w:bCs/>
          <w:sz w:val="32"/>
          <w:szCs w:val="32"/>
        </w:rPr>
        <w:t>个村级水源地</w:t>
      </w:r>
      <w:r>
        <w:rPr>
          <w:rFonts w:hint="eastAsia" w:ascii="仿宋_GB2312" w:hAnsi="黑体" w:eastAsia="仿宋_GB2312" w:cs="黑体"/>
          <w:bCs/>
          <w:sz w:val="32"/>
          <w:szCs w:val="32"/>
          <w:lang w:eastAsia="zh-CN"/>
        </w:rPr>
        <w:t>。</w:t>
      </w:r>
      <w:r>
        <w:rPr>
          <w:rFonts w:hint="eastAsia" w:ascii="仿宋_GB2312" w:hAnsi="黑体" w:eastAsia="仿宋_GB2312" w:cs="黑体"/>
          <w:bCs/>
          <w:sz w:val="32"/>
          <w:szCs w:val="32"/>
        </w:rPr>
        <w:t>实际完成值超过指标值，全面覆盖区级、乡镇级、村级集中式饮用水水源地。</w:t>
      </w:r>
    </w:p>
    <w:p>
      <w:pPr>
        <w:spacing w:line="520" w:lineRule="exact"/>
        <w:ind w:firstLine="640" w:firstLineChars="200"/>
        <w:rPr>
          <w:rFonts w:hint="eastAsia" w:ascii="仿宋_GB2312" w:hAnsi="黑体" w:eastAsia="仿宋_GB2312" w:cs="黑体"/>
          <w:bCs/>
          <w:sz w:val="32"/>
          <w:szCs w:val="32"/>
          <w:lang w:eastAsia="zh-CN"/>
        </w:rPr>
      </w:pPr>
      <w:r>
        <w:rPr>
          <w:rFonts w:hint="eastAsia" w:ascii="仿宋_GB2312" w:hAnsi="黑体" w:eastAsia="仿宋_GB2312" w:cs="黑体"/>
          <w:bCs/>
          <w:sz w:val="32"/>
          <w:szCs w:val="32"/>
          <w:lang w:eastAsia="zh-CN"/>
        </w:rPr>
        <w:t>②划分饮用水水源保护区的水源地：指标值为“＝120个”。全年实际完成131个饮用水水源地保护区（保护范围）的划分与调整工作。</w:t>
      </w:r>
      <w:r>
        <w:rPr>
          <w:rFonts w:hint="eastAsia" w:ascii="仿宋_GB2312" w:hAnsi="黑体" w:eastAsia="仿宋_GB2312" w:cs="黑体"/>
          <w:bCs/>
          <w:sz w:val="32"/>
          <w:szCs w:val="32"/>
        </w:rPr>
        <w:t>实际完成值超过指标值</w:t>
      </w:r>
      <w:r>
        <w:rPr>
          <w:rFonts w:hint="eastAsia" w:ascii="仿宋_GB2312" w:hAnsi="黑体" w:eastAsia="仿宋_GB2312" w:cs="黑体"/>
          <w:bCs/>
          <w:sz w:val="32"/>
          <w:szCs w:val="32"/>
          <w:lang w:eastAsia="zh-CN"/>
        </w:rPr>
        <w:t>，按要求完成名录内饮用水水源地划定工作，划定范围符合技术规范与管理要求。</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（2）质量指标。</w:t>
      </w:r>
    </w:p>
    <w:p>
      <w:pPr>
        <w:spacing w:line="52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①水质监测报告加盖CMA章：指标值为定性“符合”。所有水质监测报告均由具备CMA资质的机构出具，报告规范、数据有效，满足项目质量要求。</w:t>
      </w:r>
    </w:p>
    <w:p>
      <w:pPr>
        <w:spacing w:line="52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②项目完成后通过专家验收率：指标值为“＝1</w:t>
      </w:r>
      <w:r>
        <w:rPr>
          <w:rFonts w:hint="eastAsia" w:ascii="仿宋_GB2312" w:eastAsia="仿宋_GB2312"/>
          <w:sz w:val="32"/>
          <w:szCs w:val="32"/>
          <w:lang w:val="en-US" w:eastAsia="zh-CN"/>
        </w:rPr>
        <w:t>00%</w:t>
      </w:r>
      <w:r>
        <w:rPr>
          <w:rFonts w:hint="eastAsia" w:ascii="仿宋_GB2312" w:eastAsia="仿宋_GB2312"/>
          <w:sz w:val="32"/>
          <w:szCs w:val="32"/>
          <w:lang w:eastAsia="zh-CN"/>
        </w:rPr>
        <w:t>”。项目评估报告、划分技术报告、划分方案等成果均通过专家评审，验收通过率100%。</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（3）时效指标。</w:t>
      </w:r>
    </w:p>
    <w:p>
      <w:pPr>
        <w:spacing w:line="52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①</w:t>
      </w:r>
      <w:r>
        <w:rPr>
          <w:rFonts w:hint="eastAsia" w:ascii="仿宋_GB2312" w:eastAsia="仿宋_GB2312"/>
          <w:sz w:val="32"/>
          <w:szCs w:val="32"/>
        </w:rPr>
        <w:t>定期对饮用水水源进行水质监测</w:t>
      </w:r>
      <w:r>
        <w:rPr>
          <w:rFonts w:hint="eastAsia" w:ascii="仿宋_GB2312" w:eastAsia="仿宋_GB2312"/>
          <w:sz w:val="32"/>
          <w:szCs w:val="32"/>
          <w:lang w:eastAsia="zh-CN"/>
        </w:rPr>
        <w:t>：指标值为定性“每季度检测一次”。严格按照季度频次开展水质监测工作，监测任务按时完成，无滞后情况。</w:t>
      </w:r>
    </w:p>
    <w:p>
      <w:pPr>
        <w:spacing w:line="52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②定期对饮用水水源进行现场调研：指标值为定性“每季度开展一次”。按季度完成水源地现场调研、环境调查与风险排查工作，时效达标。</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成本指标。</w:t>
      </w:r>
    </w:p>
    <w:p>
      <w:pPr>
        <w:spacing w:line="520" w:lineRule="exact"/>
        <w:ind w:firstLine="640" w:firstLineChars="200"/>
        <w:rPr>
          <w:rFonts w:hint="eastAsia" w:ascii="仿宋_GB2312" w:eastAsia="仿宋_GB2312"/>
          <w:bCs/>
          <w:sz w:val="32"/>
          <w:szCs w:val="32"/>
        </w:rPr>
      </w:pPr>
      <w:r>
        <w:rPr>
          <w:rFonts w:hint="eastAsia" w:ascii="仿宋_GB2312" w:eastAsia="仿宋_GB2312"/>
          <w:bCs/>
          <w:sz w:val="32"/>
          <w:szCs w:val="32"/>
        </w:rPr>
        <w:t>（1）经济成本指标。</w:t>
      </w:r>
    </w:p>
    <w:p>
      <w:pPr>
        <w:spacing w:line="520" w:lineRule="exact"/>
        <w:ind w:firstLine="640" w:firstLineChars="200"/>
        <w:rPr>
          <w:rFonts w:hint="eastAsia" w:ascii="仿宋_GB2312" w:eastAsia="仿宋_GB2312"/>
          <w:bCs/>
          <w:sz w:val="32"/>
          <w:szCs w:val="32"/>
          <w:lang w:eastAsia="zh-CN"/>
        </w:rPr>
      </w:pPr>
      <w:r>
        <w:rPr>
          <w:rFonts w:hint="eastAsia" w:ascii="仿宋_GB2312" w:eastAsia="仿宋_GB2312"/>
          <w:bCs/>
          <w:sz w:val="32"/>
          <w:szCs w:val="32"/>
          <w:lang w:eastAsia="zh-CN"/>
        </w:rPr>
        <w:t>①</w:t>
      </w:r>
      <w:r>
        <w:rPr>
          <w:rFonts w:hint="eastAsia" w:ascii="仿宋_GB2312" w:eastAsia="仿宋_GB2312"/>
          <w:bCs/>
          <w:sz w:val="32"/>
          <w:szCs w:val="32"/>
        </w:rPr>
        <w:t>预算控制金额</w:t>
      </w:r>
      <w:r>
        <w:rPr>
          <w:rFonts w:hint="eastAsia" w:ascii="仿宋_GB2312" w:eastAsia="仿宋_GB2312"/>
          <w:bCs/>
          <w:sz w:val="32"/>
          <w:szCs w:val="32"/>
          <w:lang w:eastAsia="zh-CN"/>
        </w:rPr>
        <w:t>：指标值为“≤160.61万元”。项目实际支出低于预算控制金额，严格执行预算管理要求，无超预算支出，成本控制合规有效。</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（2）社会成本指标。</w:t>
      </w:r>
    </w:p>
    <w:p>
      <w:pPr>
        <w:spacing w:line="52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不涉及</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（3）生态环境成本指标。</w:t>
      </w:r>
    </w:p>
    <w:p>
      <w:pPr>
        <w:spacing w:line="52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不涉及</w:t>
      </w:r>
    </w:p>
    <w:p>
      <w:pPr>
        <w:spacing w:line="52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.效益指标完成情况分析。</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（1）经济效益。</w:t>
      </w:r>
    </w:p>
    <w:p>
      <w:pPr>
        <w:spacing w:line="52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不涉及</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（2）社会效益。</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指标值为定性“持续监管区内饮用水水源地水质变化，持续推进集中式饮用水水源地保护和管理工作”，通过监测评估与保护区划定，实现水源地常态化监管，地下水环境质量保持稳定达标，有效保障全区城乡居民饮用水安全，水源地保护管理工作持续推进。</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（3）生态效益。</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不涉及</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（4）可持续影响。</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不涉及</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4.满意度指标完成情况分析。</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不涉及</w:t>
      </w:r>
    </w:p>
    <w:p>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四、发现的主要问题和改进措施</w:t>
      </w:r>
    </w:p>
    <w:p>
      <w:pPr>
        <w:spacing w:line="520" w:lineRule="exact"/>
        <w:ind w:firstLine="640" w:firstLineChars="200"/>
        <w:rPr>
          <w:rFonts w:ascii="仿宋_GB2312" w:eastAsia="仿宋_GB2312"/>
          <w:sz w:val="32"/>
          <w:szCs w:val="32"/>
        </w:rPr>
      </w:pPr>
      <w:r>
        <w:rPr>
          <w:rFonts w:hint="eastAsia" w:ascii="仿宋_GB2312" w:eastAsia="仿宋_GB2312"/>
          <w:sz w:val="32"/>
          <w:szCs w:val="32"/>
          <w:lang w:eastAsia="zh-CN"/>
        </w:rPr>
        <w:t>无</w:t>
      </w:r>
    </w:p>
    <w:p>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五、有关</w:t>
      </w:r>
      <w:r>
        <w:rPr>
          <w:rFonts w:ascii="CESI黑体-GB2312" w:hAnsi="CESI黑体-GB2312" w:eastAsia="CESI黑体-GB2312" w:cs="CESI黑体-GB2312"/>
          <w:sz w:val="32"/>
          <w:szCs w:val="32"/>
        </w:rPr>
        <w:t>建议及</w:t>
      </w:r>
      <w:r>
        <w:rPr>
          <w:rFonts w:hint="eastAsia" w:ascii="CESI黑体-GB2312" w:hAnsi="CESI黑体-GB2312" w:eastAsia="CESI黑体-GB2312" w:cs="CESI黑体-GB2312"/>
          <w:sz w:val="32"/>
          <w:szCs w:val="32"/>
        </w:rPr>
        <w:t>其他需要说明的情况</w:t>
      </w:r>
    </w:p>
    <w:p>
      <w:pPr>
        <w:spacing w:line="52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无</w:t>
      </w: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ESI黑体-GB2312">
    <w:altName w:val="黑体"/>
    <w:panose1 w:val="02000500000000000000"/>
    <w:charset w:val="86"/>
    <w:family w:val="auto"/>
    <w:pitch w:val="default"/>
    <w:sig w:usb0="00000000" w:usb1="00000000" w:usb2="00000012" w:usb3="00000000" w:csb0="0004000F" w:csb1="00000000"/>
  </w:font>
  <w:font w:name="方正小标宋简体">
    <w:altName w:val="黑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B17"/>
    <w:rsid w:val="00013E3D"/>
    <w:rsid w:val="0002025A"/>
    <w:rsid w:val="00022E11"/>
    <w:rsid w:val="000269DC"/>
    <w:rsid w:val="00047DC0"/>
    <w:rsid w:val="00096808"/>
    <w:rsid w:val="000A1062"/>
    <w:rsid w:val="000A23F6"/>
    <w:rsid w:val="000C3ADA"/>
    <w:rsid w:val="00101019"/>
    <w:rsid w:val="001451E0"/>
    <w:rsid w:val="001E0ECA"/>
    <w:rsid w:val="001F4635"/>
    <w:rsid w:val="00203391"/>
    <w:rsid w:val="00205468"/>
    <w:rsid w:val="00210B4C"/>
    <w:rsid w:val="002140C0"/>
    <w:rsid w:val="00215248"/>
    <w:rsid w:val="002269C5"/>
    <w:rsid w:val="002E58C9"/>
    <w:rsid w:val="0031524F"/>
    <w:rsid w:val="00330537"/>
    <w:rsid w:val="00367048"/>
    <w:rsid w:val="003727E8"/>
    <w:rsid w:val="00377BDC"/>
    <w:rsid w:val="00392D09"/>
    <w:rsid w:val="003A2E58"/>
    <w:rsid w:val="003B3B58"/>
    <w:rsid w:val="003C42FF"/>
    <w:rsid w:val="004015F7"/>
    <w:rsid w:val="004503E3"/>
    <w:rsid w:val="004561D4"/>
    <w:rsid w:val="004B7FE1"/>
    <w:rsid w:val="004F49B9"/>
    <w:rsid w:val="004F7834"/>
    <w:rsid w:val="00504BA3"/>
    <w:rsid w:val="00543B65"/>
    <w:rsid w:val="0054688F"/>
    <w:rsid w:val="00554136"/>
    <w:rsid w:val="005610FD"/>
    <w:rsid w:val="00565DE2"/>
    <w:rsid w:val="005D4ED9"/>
    <w:rsid w:val="005E6415"/>
    <w:rsid w:val="00611E84"/>
    <w:rsid w:val="006305D3"/>
    <w:rsid w:val="00634BA6"/>
    <w:rsid w:val="0064412D"/>
    <w:rsid w:val="00676705"/>
    <w:rsid w:val="006D4D7E"/>
    <w:rsid w:val="006D6351"/>
    <w:rsid w:val="006E113E"/>
    <w:rsid w:val="006E4B81"/>
    <w:rsid w:val="006F376B"/>
    <w:rsid w:val="007242C1"/>
    <w:rsid w:val="00795987"/>
    <w:rsid w:val="007C3E7C"/>
    <w:rsid w:val="007D661E"/>
    <w:rsid w:val="007F46A7"/>
    <w:rsid w:val="00821DDE"/>
    <w:rsid w:val="00835A6F"/>
    <w:rsid w:val="00845359"/>
    <w:rsid w:val="00851994"/>
    <w:rsid w:val="008651F7"/>
    <w:rsid w:val="008728BA"/>
    <w:rsid w:val="00880D15"/>
    <w:rsid w:val="009127C3"/>
    <w:rsid w:val="00917FE5"/>
    <w:rsid w:val="00923051"/>
    <w:rsid w:val="009976F0"/>
    <w:rsid w:val="009B27A6"/>
    <w:rsid w:val="009D700F"/>
    <w:rsid w:val="00A02654"/>
    <w:rsid w:val="00A127E4"/>
    <w:rsid w:val="00A4171D"/>
    <w:rsid w:val="00A5212E"/>
    <w:rsid w:val="00A52489"/>
    <w:rsid w:val="00A61FC1"/>
    <w:rsid w:val="00A962BF"/>
    <w:rsid w:val="00AD7689"/>
    <w:rsid w:val="00AE0078"/>
    <w:rsid w:val="00AE698C"/>
    <w:rsid w:val="00B2165C"/>
    <w:rsid w:val="00B6357B"/>
    <w:rsid w:val="00B83292"/>
    <w:rsid w:val="00B83A7C"/>
    <w:rsid w:val="00BF6BCD"/>
    <w:rsid w:val="00C01D2B"/>
    <w:rsid w:val="00C531AA"/>
    <w:rsid w:val="00C75ABE"/>
    <w:rsid w:val="00C8361D"/>
    <w:rsid w:val="00CA72AB"/>
    <w:rsid w:val="00CC168C"/>
    <w:rsid w:val="00CD1D34"/>
    <w:rsid w:val="00D21CD8"/>
    <w:rsid w:val="00D22818"/>
    <w:rsid w:val="00D36848"/>
    <w:rsid w:val="00D374F7"/>
    <w:rsid w:val="00D50DEF"/>
    <w:rsid w:val="00D60B17"/>
    <w:rsid w:val="00D66A17"/>
    <w:rsid w:val="00D8000B"/>
    <w:rsid w:val="00D85CD5"/>
    <w:rsid w:val="00D860F4"/>
    <w:rsid w:val="00D91ABE"/>
    <w:rsid w:val="00DC020E"/>
    <w:rsid w:val="00DC5B3A"/>
    <w:rsid w:val="00E11A96"/>
    <w:rsid w:val="00E37F80"/>
    <w:rsid w:val="00E67831"/>
    <w:rsid w:val="00EC6591"/>
    <w:rsid w:val="00EF109F"/>
    <w:rsid w:val="00F207A8"/>
    <w:rsid w:val="00F23525"/>
    <w:rsid w:val="00F24761"/>
    <w:rsid w:val="00F37EB3"/>
    <w:rsid w:val="00F533DD"/>
    <w:rsid w:val="00F922BE"/>
    <w:rsid w:val="00FB0C8F"/>
    <w:rsid w:val="00FF5545"/>
    <w:rsid w:val="01523A3D"/>
    <w:rsid w:val="01CB44AE"/>
    <w:rsid w:val="42C4714C"/>
    <w:rsid w:val="51FE9EEF"/>
    <w:rsid w:val="6CE02329"/>
    <w:rsid w:val="7BFBF041"/>
    <w:rsid w:val="FEFFA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5">
    <w:name w:val="Strong"/>
    <w:basedOn w:val="4"/>
    <w:qFormat/>
    <w:uiPriority w:val="22"/>
    <w:rPr>
      <w:b/>
    </w:rPr>
  </w:style>
  <w:style w:type="character" w:customStyle="1" w:styleId="7">
    <w:name w:val="页眉 Char"/>
    <w:basedOn w:val="4"/>
    <w:link w:val="3"/>
    <w:qFormat/>
    <w:uiPriority w:val="99"/>
    <w:rPr>
      <w:sz w:val="18"/>
      <w:szCs w:val="18"/>
    </w:rPr>
  </w:style>
  <w:style w:type="character" w:customStyle="1" w:styleId="8">
    <w:name w:val="页脚 Char"/>
    <w:basedOn w:val="4"/>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2310</Words>
  <Characters>2394</Characters>
  <Lines>6</Lines>
  <Paragraphs>1</Paragraphs>
  <TotalTime>34</TotalTime>
  <ScaleCrop>false</ScaleCrop>
  <LinksUpToDate>false</LinksUpToDate>
  <CharactersWithSpaces>2395</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2026-04-24T22:59:00Z</dcterms:created>
  <dc:creator>井文胜</dc:creator>
  <cp:lastModifiedBy>Administrator</cp:lastModifiedBy>
  <dcterms:modified xsi:type="dcterms:W3CDTF">2026-08-18T06:53:13Z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y fmtid="{D5CDD505-2E9C-101B-9397-08002B2CF9AE}" pid="3" name="ICV">
    <vt:lpwstr>7C041803BA9E401CAD658EE0AF377782_13</vt:lpwstr>
  </property>
  <property fmtid="{D5CDD505-2E9C-101B-9397-08002B2CF9AE}" pid="4" name="KSOTemplateDocerSaveRecord">
    <vt:lpwstr>eyJoZGlkIjoiYWM5MTUyY2E1NmMwM2U5Yzc1MDk1Yzk2ZTA1MThjMTUiLCJ1c2VySWQiOiIzNTgyMTI2NzIifQ==</vt:lpwstr>
  </property>
</Properties>
</file>