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北京市门头沟区园林绿化局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highlight w:val="none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pStyle w:val="4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2023年，门头沟区园林绿化局按照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《政府信息公开条例》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规定和区政务服务局要求，围绕园林绿化行业重点工作，及时回应公众关切。具体做法如下：</w:t>
      </w:r>
    </w:p>
    <w:p>
      <w:pPr>
        <w:pStyle w:val="2"/>
        <w:numPr>
          <w:ilvl w:val="0"/>
          <w:numId w:val="1"/>
        </w:numPr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主动公开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门头沟区园林绿化局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累计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在门头沟区政府门户网站发布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186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条，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其中，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公示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信息63条，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工作动态信息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42条，计划报告信息22条。</w:t>
      </w:r>
    </w:p>
    <w:p>
      <w:pPr>
        <w:pStyle w:val="2"/>
        <w:numPr>
          <w:ilvl w:val="0"/>
          <w:numId w:val="1"/>
        </w:numPr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2023年全年接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收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政务信息公开申请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件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，其中电子邮件申请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1件，信函申请3件，现场申请3件。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内容涉及林木性质变更、绿地规划、集体林场经营管护范围等。其中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4件予以公开，1件部分公开，因本机关不掌握相关政府信息，2件无法提供。2023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年度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接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收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的政务信息公开申请均按时办结，全年实现答复“零复议”“零诉讼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。</w:t>
      </w:r>
    </w:p>
    <w:p>
      <w:pPr>
        <w:pStyle w:val="2"/>
        <w:numPr>
          <w:ilvl w:val="0"/>
          <w:numId w:val="0"/>
        </w:numPr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（三）政府信息管理情况</w:t>
      </w:r>
    </w:p>
    <w:p>
      <w:pPr>
        <w:pStyle w:val="2"/>
        <w:numPr>
          <w:ilvl w:val="0"/>
          <w:numId w:val="0"/>
        </w:numPr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门头沟区园林绿化局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严格落实网络意识形态工作和网络安全责任制，严把政治关、法律关、政策关、保密关、文字关，确保信息发布准确无误。加强和规范政府信息管理，做好行政规范性文件、财政预决算等重点政府信息公开，经梳理，我局现行有效规范性文件3件，均已在网站政府信息公开栏目进行公开。</w:t>
      </w:r>
    </w:p>
    <w:p>
      <w:pPr>
        <w:pStyle w:val="2"/>
        <w:numPr>
          <w:ilvl w:val="0"/>
          <w:numId w:val="1"/>
        </w:numPr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政府信息公开平台建设</w:t>
      </w:r>
    </w:p>
    <w:p>
      <w:pPr>
        <w:pStyle w:val="4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门头沟区园林绿化局目前尚未开通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微信公众号及网站留言板块等政务互动平台。下一步，我局将继续遵照市、区关于政府信息公开工作部署，认真贯彻落实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《政府信息公开条例》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要求，及时更新政务网站动态，不断改进提升政府信息公开工作质量和水平。</w:t>
      </w:r>
    </w:p>
    <w:p>
      <w:pPr>
        <w:pStyle w:val="2"/>
        <w:numPr>
          <w:ilvl w:val="0"/>
          <w:numId w:val="1"/>
        </w:numPr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 w:bidi="ar-SA"/>
        </w:rPr>
        <w:t>监督保障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门头沟区园林绿化局设置政务公开领导小组，办公室设在局办公室，负责局政务网站发布内容的审核工作。办公室安排专人负责政府信息公开平台使用、发布等相关工作，按照相关工作要求定期更新政务网站信息。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主动公开政府信息情况</w:t>
      </w:r>
    </w:p>
    <w:tbl>
      <w:tblPr>
        <w:tblStyle w:val="7"/>
        <w:tblpPr w:leftFromText="180" w:rightFromText="180" w:vertAnchor="text" w:horzAnchor="page" w:tblpX="1148" w:tblpY="245"/>
        <w:tblOverlap w:val="never"/>
        <w:tblW w:w="9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rPr>
          <w:rFonts w:hint="eastAsia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黑体" w:hAnsi="宋体" w:eastAsia="黑体" w:cs="黑体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t>三、</w:t>
      </w: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ind w:left="420" w:leftChars="200"/>
      </w:pPr>
    </w:p>
    <w:p>
      <w:pPr>
        <w:pStyle w:val="2"/>
        <w:widowControl/>
        <w:ind w:left="420" w:leftChars="200"/>
      </w:pPr>
    </w:p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  <w:highlight w:val="none"/>
          <w:lang w:bidi="ar"/>
        </w:rPr>
      </w:pPr>
    </w:p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  <w:highlight w:val="none"/>
        </w:rPr>
      </w:pPr>
      <w:r>
        <w:rPr>
          <w:rFonts w:hint="eastAsia" w:ascii="黑体" w:hAnsi="宋体" w:eastAsia="黑体" w:cs="黑体"/>
          <w:sz w:val="32"/>
          <w:szCs w:val="32"/>
          <w:highlight w:val="none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pacing w:line="560" w:lineRule="exact"/>
        <w:ind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2023年，区园林绿化局存在的问题与不足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主要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如下：一是政府信息公开的广度深度不够，少数部门对政务公开工作的重要性认识不到位，主动性不强，导致部分可公开信息未主动公开；二是信息公开相关的社会层面宣传有待加强。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针对以上问题，我局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将在下一年度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进一步规范政务公开的管理，把握公开重点、范围及时间，同时加大对《中华人民共和国政府信息公开条例》的学习和贯彻力度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，围绕群众关心、涉及群众切身利益的事项，以行政审批和行政执法的程序和结果为重点，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促进政务公开规范开展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，提高政府工作的透明度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。</w:t>
      </w:r>
    </w:p>
    <w:p>
      <w:pPr>
        <w:widowControl/>
        <w:spacing w:line="560" w:lineRule="exact"/>
        <w:ind w:firstLine="675"/>
        <w:jc w:val="left"/>
        <w:rPr>
          <w:rFonts w:hint="eastAsia"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9BC2E6"/>
          <w:spacing w:val="8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spacing w:val="8"/>
          <w:kern w:val="0"/>
          <w:sz w:val="32"/>
          <w:szCs w:val="32"/>
          <w:lang w:bidi="ar"/>
        </w:rPr>
        <w:t>　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据《政府信息公开信息处理费管理办法》(国办函〔2020〕109号)，202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年度门头沟区园林绿化局收取信息处理费情况为：发出收费通知的件数为0件，总金额为0元，实际收取的总金额为0元。</w:t>
      </w:r>
    </w:p>
    <w:p>
      <w:pPr>
        <w:pStyle w:val="2"/>
        <w:widowControl/>
        <w:spacing w:line="560" w:lineRule="exact"/>
      </w:pP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>
      <w:pPr>
        <w:pStyle w:val="2"/>
        <w:widowControl/>
        <w:spacing w:line="560" w:lineRule="exact"/>
      </w:pPr>
    </w:p>
    <w:p>
      <w:pPr>
        <w:pStyle w:val="2"/>
        <w:widowControl/>
        <w:spacing w:line="560" w:lineRule="exact"/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F8F662A-BF57-4BF6-8402-3B56846D82D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5B656DE-99D6-4687-845A-FFFFD94906F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B273359-FF2C-4A12-BD25-9E6AB6A52E5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F8820F98-6E60-4376-BA3F-5B7A5C799FE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9C54431-EA39-4165-AC3E-17B2181E10D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50B77729-158C-4326-B7B1-2EE06E03AB5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59F486A"/>
    <w:multiLevelType w:val="singleLevel"/>
    <w:tmpl w:val="659F486A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NjJjYWRiZWYzY2ViZDcxMWU0YjhkNjE4ZmUzZjEifQ=="/>
  </w:docVars>
  <w:rsids>
    <w:rsidRoot w:val="12EB65A5"/>
    <w:rsid w:val="0208294C"/>
    <w:rsid w:val="03124E6F"/>
    <w:rsid w:val="0339544E"/>
    <w:rsid w:val="04D64E4E"/>
    <w:rsid w:val="08315EA4"/>
    <w:rsid w:val="0985647C"/>
    <w:rsid w:val="0A087CDD"/>
    <w:rsid w:val="0AB915A8"/>
    <w:rsid w:val="10DF7278"/>
    <w:rsid w:val="12EB65A5"/>
    <w:rsid w:val="15707EA7"/>
    <w:rsid w:val="17371930"/>
    <w:rsid w:val="174D5C54"/>
    <w:rsid w:val="1BCC0E87"/>
    <w:rsid w:val="1D181374"/>
    <w:rsid w:val="1D5D6E24"/>
    <w:rsid w:val="20977EB3"/>
    <w:rsid w:val="213E0B73"/>
    <w:rsid w:val="21AD09D2"/>
    <w:rsid w:val="25034A67"/>
    <w:rsid w:val="25871C98"/>
    <w:rsid w:val="25B25B45"/>
    <w:rsid w:val="25D70FC1"/>
    <w:rsid w:val="2E1B49FC"/>
    <w:rsid w:val="2E750875"/>
    <w:rsid w:val="2EB35BD6"/>
    <w:rsid w:val="2EEE1E6F"/>
    <w:rsid w:val="2F2D192B"/>
    <w:rsid w:val="305D48EB"/>
    <w:rsid w:val="309D3273"/>
    <w:rsid w:val="325B56DA"/>
    <w:rsid w:val="3304433F"/>
    <w:rsid w:val="3330627F"/>
    <w:rsid w:val="35C94468"/>
    <w:rsid w:val="37643766"/>
    <w:rsid w:val="39A72B1C"/>
    <w:rsid w:val="3EAB7648"/>
    <w:rsid w:val="3EE33E61"/>
    <w:rsid w:val="3F8132D7"/>
    <w:rsid w:val="4384377F"/>
    <w:rsid w:val="43845810"/>
    <w:rsid w:val="447B4AF5"/>
    <w:rsid w:val="45D03558"/>
    <w:rsid w:val="46322CD4"/>
    <w:rsid w:val="48475164"/>
    <w:rsid w:val="4DC23FB1"/>
    <w:rsid w:val="50C417BE"/>
    <w:rsid w:val="527D101B"/>
    <w:rsid w:val="52E12988"/>
    <w:rsid w:val="551E0AAD"/>
    <w:rsid w:val="5B562B2F"/>
    <w:rsid w:val="5C024E99"/>
    <w:rsid w:val="5D921A2D"/>
    <w:rsid w:val="5F956A41"/>
    <w:rsid w:val="5FD760D2"/>
    <w:rsid w:val="60BC260E"/>
    <w:rsid w:val="61723263"/>
    <w:rsid w:val="643F20FC"/>
    <w:rsid w:val="66CD0AB6"/>
    <w:rsid w:val="697D0180"/>
    <w:rsid w:val="6B644629"/>
    <w:rsid w:val="70FC3E95"/>
    <w:rsid w:val="71B76C81"/>
    <w:rsid w:val="71C61094"/>
    <w:rsid w:val="72E157B9"/>
    <w:rsid w:val="747B2253"/>
    <w:rsid w:val="7543669D"/>
    <w:rsid w:val="796B12D0"/>
    <w:rsid w:val="7C792090"/>
    <w:rsid w:val="7DBD16B4"/>
    <w:rsid w:val="7E1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autoRedefine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区委办公室</Company>
  <Pages>16</Pages>
  <Words>6029</Words>
  <Characters>6354</Characters>
  <Lines>0</Lines>
  <Paragraphs>0</Paragraphs>
  <TotalTime>28</TotalTime>
  <ScaleCrop>false</ScaleCrop>
  <LinksUpToDate>false</LinksUpToDate>
  <CharactersWithSpaces>6616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2022-12-28T12:05:00Z</dcterms:created>
  <dc:creator>MRX</dc:creator>
  <cp:lastModifiedBy>slw</cp:lastModifiedBy>
  <cp:lastPrinted>2024-01-15T08:26:00Z</cp:lastPrinted>
  <dcterms:modified xsi:type="dcterms:W3CDTF">2024-01-23T03:57:26Z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1420D93609654AFBB49D8514EAFA295C_13</vt:lpwstr>
  </property>
</Properties>
</file>