
<file path=[Content_Types].xml><?xml version="1.0" encoding="utf-8"?>
<Types xmlns="http://schemas.openxmlformats.org/package/2006/content-types">
  <Default Extension="xlsx" ContentType="application/vnd.openxmlformats-officedocument.spreadsheetml.sheet"/>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_GB2312" w:eastAsia="仿宋_GB2312"/>
          <w:b/>
          <w:sz w:val="32"/>
          <w:szCs w:val="32"/>
        </w:rPr>
      </w:pPr>
    </w:p>
    <w:p>
      <w:pPr>
        <w:jc w:val="center"/>
        <w:rPr>
          <w:rFonts w:ascii="黑体" w:eastAsia="黑体"/>
          <w:sz w:val="72"/>
          <w:szCs w:val="72"/>
        </w:rPr>
      </w:pPr>
    </w:p>
    <w:p>
      <w:pPr>
        <w:jc w:val="center"/>
        <w:rPr>
          <w:rFonts w:ascii="黑体" w:eastAsia="黑体"/>
          <w:sz w:val="72"/>
          <w:szCs w:val="72"/>
        </w:rPr>
      </w:pPr>
    </w:p>
    <w:p>
      <w:pPr>
        <w:jc w:val="center"/>
        <w:rPr>
          <w:rFonts w:ascii="黑体" w:eastAsia="黑体"/>
          <w:sz w:val="72"/>
          <w:szCs w:val="72"/>
        </w:rPr>
      </w:pPr>
    </w:p>
    <w:p>
      <w:pPr>
        <w:jc w:val="center"/>
        <w:rPr>
          <w:rFonts w:ascii="黑体" w:eastAsia="黑体"/>
          <w:sz w:val="72"/>
          <w:szCs w:val="72"/>
        </w:rPr>
      </w:pPr>
    </w:p>
    <w:p>
      <w:pPr>
        <w:jc w:val="center"/>
        <w:rPr>
          <w:rFonts w:hint="eastAsia" w:ascii="黑体" w:eastAsia="黑体"/>
          <w:sz w:val="72"/>
          <w:szCs w:val="72"/>
          <w:lang w:eastAsia="zh-CN"/>
        </w:rPr>
      </w:pPr>
      <w:r>
        <w:rPr>
          <w:rFonts w:hint="eastAsia" w:ascii="黑体" w:eastAsia="黑体"/>
          <w:sz w:val="72"/>
          <w:szCs w:val="72"/>
        </w:rPr>
        <w:t>2025年度</w:t>
      </w:r>
      <w:r>
        <w:rPr>
          <w:rFonts w:hint="eastAsia" w:ascii="黑体" w:eastAsia="黑体"/>
          <w:sz w:val="72"/>
          <w:szCs w:val="72"/>
          <w:lang w:eastAsia="zh-CN"/>
        </w:rPr>
        <w:t>北京市门头沟区应急管理局</w:t>
      </w:r>
    </w:p>
    <w:p>
      <w:pPr>
        <w:jc w:val="center"/>
        <w:rPr>
          <w:rFonts w:hint="eastAsia" w:ascii="黑体" w:eastAsia="黑体"/>
          <w:sz w:val="72"/>
          <w:szCs w:val="72"/>
          <w:lang w:eastAsia="zh-CN"/>
        </w:rPr>
      </w:pPr>
      <w:r>
        <w:rPr>
          <w:rFonts w:hint="eastAsia" w:ascii="黑体" w:eastAsia="黑体"/>
          <w:sz w:val="72"/>
          <w:szCs w:val="72"/>
        </w:rPr>
        <w:t>部门决算</w:t>
      </w:r>
      <w:r>
        <w:rPr>
          <w:rFonts w:hint="eastAsia" w:ascii="黑体" w:eastAsia="黑体"/>
          <w:sz w:val="72"/>
          <w:szCs w:val="72"/>
          <w:lang w:eastAsia="zh-CN"/>
        </w:rPr>
        <w:t>公开说明</w:t>
      </w:r>
      <w:bookmarkStart w:id="4" w:name="_GoBack"/>
      <w:bookmarkEnd w:id="4"/>
    </w:p>
    <w:p>
      <w:pPr>
        <w:jc w:val="center"/>
        <w:rPr>
          <w:rFonts w:ascii="黑体" w:eastAsia="黑体"/>
          <w:sz w:val="52"/>
          <w:szCs w:val="52"/>
        </w:rPr>
      </w:pPr>
    </w:p>
    <w:p>
      <w:pPr>
        <w:jc w:val="center"/>
        <w:rPr>
          <w:rFonts w:ascii="黑体" w:eastAsia="黑体"/>
          <w:sz w:val="52"/>
          <w:szCs w:val="52"/>
        </w:rPr>
      </w:pPr>
    </w:p>
    <w:p>
      <w:pPr>
        <w:jc w:val="center"/>
        <w:rPr>
          <w:rFonts w:ascii="黑体" w:eastAsia="黑体"/>
          <w:sz w:val="52"/>
          <w:szCs w:val="52"/>
        </w:rPr>
      </w:pPr>
    </w:p>
    <w:p>
      <w:pPr>
        <w:jc w:val="both"/>
        <w:rPr>
          <w:rFonts w:ascii="黑体" w:eastAsia="黑体"/>
          <w:sz w:val="32"/>
          <w:szCs w:val="32"/>
        </w:rPr>
      </w:pPr>
    </w:p>
    <w:p>
      <w:pPr>
        <w:spacing w:line="500" w:lineRule="exact"/>
        <w:ind w:firstLine="645"/>
        <w:jc w:val="center"/>
        <w:rPr>
          <w:rFonts w:ascii="宋体" w:hAnsi="宋体" w:cs="宋体"/>
          <w:b/>
          <w:bCs/>
          <w:kern w:val="0"/>
          <w:sz w:val="44"/>
          <w:szCs w:val="36"/>
        </w:rPr>
      </w:pPr>
      <w:r>
        <w:rPr>
          <w:rFonts w:hint="eastAsia" w:ascii="宋体" w:hAnsi="宋体" w:cs="宋体"/>
          <w:b/>
          <w:bCs/>
          <w:kern w:val="0"/>
          <w:sz w:val="44"/>
          <w:szCs w:val="36"/>
        </w:rPr>
        <w:t>目    录</w:t>
      </w:r>
    </w:p>
    <w:p>
      <w:pPr>
        <w:spacing w:line="500" w:lineRule="exact"/>
        <w:ind w:firstLine="645"/>
        <w:jc w:val="center"/>
        <w:rPr>
          <w:rFonts w:ascii="宋体" w:hAnsi="宋体" w:cs="宋体"/>
          <w:b/>
          <w:bCs/>
          <w:kern w:val="0"/>
          <w:sz w:val="36"/>
          <w:szCs w:val="36"/>
        </w:rPr>
      </w:pPr>
    </w:p>
    <w:p>
      <w:pPr>
        <w:tabs>
          <w:tab w:val="center" w:pos="6979"/>
        </w:tabs>
        <w:spacing w:line="500" w:lineRule="exact"/>
        <w:ind w:firstLine="1600" w:firstLineChars="400"/>
        <w:jc w:val="left"/>
        <w:rPr>
          <w:rFonts w:ascii="宋体" w:hAnsi="宋体" w:cs="宋体"/>
          <w:bCs/>
          <w:spacing w:val="40"/>
          <w:kern w:val="0"/>
          <w:sz w:val="32"/>
          <w:szCs w:val="32"/>
        </w:rPr>
      </w:pPr>
      <w:r>
        <w:rPr>
          <w:rFonts w:hint="eastAsia" w:ascii="宋体" w:hAnsi="宋体" w:cs="宋体"/>
          <w:bCs/>
          <w:spacing w:val="40"/>
          <w:kern w:val="0"/>
          <w:sz w:val="32"/>
          <w:szCs w:val="32"/>
        </w:rPr>
        <w:t>第一部分 2025年度部门决算报表</w:t>
      </w:r>
    </w:p>
    <w:p>
      <w:pPr>
        <w:tabs>
          <w:tab w:val="center" w:pos="6979"/>
        </w:tabs>
        <w:spacing w:line="500" w:lineRule="exact"/>
        <w:ind w:firstLine="2400" w:firstLineChars="600"/>
        <w:jc w:val="left"/>
        <w:rPr>
          <w:rFonts w:ascii="仿宋_GB2312" w:hAnsi="仿宋" w:eastAsia="仿宋_GB2312"/>
          <w:spacing w:val="40"/>
          <w:sz w:val="32"/>
          <w:szCs w:val="32"/>
        </w:rPr>
      </w:pPr>
      <w:r>
        <w:rPr>
          <w:rFonts w:hint="eastAsia" w:ascii="仿宋_GB2312" w:hAnsi="仿宋" w:eastAsia="仿宋_GB2312" w:cs="宋体"/>
          <w:bCs/>
          <w:spacing w:val="40"/>
          <w:kern w:val="0"/>
          <w:sz w:val="32"/>
          <w:szCs w:val="32"/>
        </w:rPr>
        <w:t>一、收入支出决算总表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二、收入决算表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三、支出决算表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四、财政拨款收入支出决算总表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五、一般公共预算财政拨款支出决算表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六、一般公共预算财政拨款</w:t>
      </w:r>
      <w:r>
        <w:rPr>
          <w:rFonts w:ascii="仿宋_GB2312" w:hAnsi="仿宋" w:eastAsia="仿宋_GB2312" w:cs="宋体"/>
          <w:bCs/>
          <w:spacing w:val="40"/>
          <w:kern w:val="0"/>
          <w:sz w:val="32"/>
          <w:szCs w:val="32"/>
        </w:rPr>
        <w:t>基本支出决算表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七</w:t>
      </w:r>
      <w:r>
        <w:rPr>
          <w:rFonts w:ascii="仿宋_GB2312" w:hAnsi="仿宋" w:eastAsia="仿宋_GB2312" w:cs="宋体"/>
          <w:bCs/>
          <w:spacing w:val="40"/>
          <w:kern w:val="0"/>
          <w:sz w:val="32"/>
          <w:szCs w:val="32"/>
        </w:rPr>
        <w:t>、</w:t>
      </w:r>
      <w:r>
        <w:rPr>
          <w:rFonts w:hint="eastAsia" w:ascii="仿宋_GB2312" w:hAnsi="仿宋" w:eastAsia="仿宋_GB2312" w:cs="宋体"/>
          <w:bCs/>
          <w:spacing w:val="40"/>
          <w:kern w:val="0"/>
          <w:sz w:val="32"/>
          <w:szCs w:val="32"/>
        </w:rPr>
        <w:t>政府性基金预算财政拨款收入支出决算表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八、</w:t>
      </w:r>
      <w:r>
        <w:rPr>
          <w:rFonts w:ascii="仿宋_GB2312" w:hAnsi="仿宋" w:eastAsia="仿宋_GB2312" w:cs="宋体"/>
          <w:bCs/>
          <w:spacing w:val="40"/>
          <w:kern w:val="0"/>
          <w:sz w:val="32"/>
          <w:szCs w:val="32"/>
        </w:rPr>
        <w:t>政府性基金</w:t>
      </w:r>
      <w:r>
        <w:rPr>
          <w:rFonts w:hint="eastAsia" w:ascii="仿宋_GB2312" w:hAnsi="仿宋" w:eastAsia="仿宋_GB2312" w:cs="宋体"/>
          <w:bCs/>
          <w:spacing w:val="40"/>
          <w:kern w:val="0"/>
          <w:sz w:val="32"/>
          <w:szCs w:val="32"/>
        </w:rPr>
        <w:t>预算</w:t>
      </w:r>
      <w:r>
        <w:rPr>
          <w:rFonts w:ascii="仿宋_GB2312" w:hAnsi="仿宋" w:eastAsia="仿宋_GB2312" w:cs="宋体"/>
          <w:bCs/>
          <w:spacing w:val="40"/>
          <w:kern w:val="0"/>
          <w:sz w:val="32"/>
          <w:szCs w:val="32"/>
        </w:rPr>
        <w:t>财政拨款基本支出决算表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九、国有资本经营预算财政拨款支出决算表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十、财政拨款“三公”经费支出决算表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十一、政府采购情况表</w:t>
      </w:r>
    </w:p>
    <w:p>
      <w:pPr>
        <w:tabs>
          <w:tab w:val="center" w:pos="6979"/>
        </w:tabs>
        <w:spacing w:line="500" w:lineRule="exact"/>
        <w:ind w:firstLine="1600" w:firstLineChars="400"/>
        <w:jc w:val="left"/>
        <w:rPr>
          <w:rFonts w:ascii="宋体" w:hAnsi="宋体" w:cs="宋体"/>
          <w:bCs/>
          <w:spacing w:val="40"/>
          <w:kern w:val="0"/>
          <w:sz w:val="32"/>
          <w:szCs w:val="32"/>
        </w:rPr>
      </w:pPr>
      <w:r>
        <w:rPr>
          <w:rFonts w:hint="eastAsia" w:ascii="宋体" w:hAnsi="宋体" w:cs="宋体"/>
          <w:bCs/>
          <w:spacing w:val="40"/>
          <w:kern w:val="0"/>
          <w:sz w:val="32"/>
          <w:szCs w:val="32"/>
        </w:rPr>
        <w:t xml:space="preserve">第二部分 </w:t>
      </w:r>
      <w:r>
        <w:rPr>
          <w:rFonts w:hint="eastAsia" w:ascii="宋体" w:hAnsi="宋体"/>
          <w:spacing w:val="40"/>
          <w:sz w:val="32"/>
          <w:szCs w:val="32"/>
        </w:rPr>
        <w:t>2025年度部门决算说明</w:t>
      </w:r>
    </w:p>
    <w:p>
      <w:pPr>
        <w:tabs>
          <w:tab w:val="center" w:pos="6979"/>
        </w:tabs>
        <w:spacing w:line="500" w:lineRule="exact"/>
        <w:ind w:firstLine="1600" w:firstLineChars="400"/>
        <w:jc w:val="left"/>
        <w:rPr>
          <w:rFonts w:ascii="宋体" w:hAnsi="宋体" w:cs="宋体"/>
          <w:spacing w:val="40"/>
          <w:kern w:val="0"/>
          <w:sz w:val="32"/>
          <w:szCs w:val="32"/>
        </w:rPr>
      </w:pPr>
      <w:r>
        <w:rPr>
          <w:rFonts w:hint="eastAsia" w:ascii="宋体" w:hAnsi="宋体" w:cs="宋体"/>
          <w:bCs/>
          <w:spacing w:val="40"/>
          <w:kern w:val="0"/>
          <w:sz w:val="32"/>
          <w:szCs w:val="32"/>
        </w:rPr>
        <w:t xml:space="preserve">第三部分 </w:t>
      </w:r>
      <w:r>
        <w:rPr>
          <w:rFonts w:hint="eastAsia" w:ascii="宋体" w:hAnsi="宋体"/>
          <w:spacing w:val="40"/>
          <w:sz w:val="32"/>
          <w:szCs w:val="32"/>
        </w:rPr>
        <w:t>2025年度</w:t>
      </w:r>
      <w:r>
        <w:rPr>
          <w:rFonts w:hint="eastAsia" w:ascii="宋体" w:hAnsi="宋体" w:cs="宋体"/>
          <w:spacing w:val="40"/>
          <w:kern w:val="0"/>
          <w:sz w:val="32"/>
          <w:szCs w:val="32"/>
        </w:rPr>
        <w:t>其他重要事项的情况说明</w:t>
      </w:r>
    </w:p>
    <w:p>
      <w:pPr>
        <w:tabs>
          <w:tab w:val="center" w:pos="6979"/>
        </w:tabs>
        <w:spacing w:line="500" w:lineRule="exact"/>
        <w:ind w:firstLine="1600" w:firstLineChars="400"/>
        <w:jc w:val="left"/>
        <w:rPr>
          <w:rFonts w:ascii="宋体" w:hAnsi="宋体" w:cs="宋体"/>
          <w:spacing w:val="40"/>
          <w:kern w:val="0"/>
          <w:sz w:val="36"/>
          <w:szCs w:val="32"/>
        </w:rPr>
      </w:pPr>
      <w:r>
        <w:rPr>
          <w:rFonts w:hint="eastAsia" w:ascii="宋体" w:hAnsi="宋体" w:cs="宋体"/>
          <w:spacing w:val="40"/>
          <w:kern w:val="0"/>
          <w:sz w:val="32"/>
          <w:szCs w:val="32"/>
        </w:rPr>
        <w:t>第四部分 2025年度部门绩效评价情况</w:t>
      </w:r>
    </w:p>
    <w:p>
      <w:pPr>
        <w:tabs>
          <w:tab w:val="center" w:pos="6979"/>
        </w:tabs>
        <w:spacing w:before="156" w:beforeLines="50" w:after="156" w:afterLines="50"/>
        <w:jc w:val="center"/>
        <w:rPr>
          <w:rFonts w:ascii="宋体" w:hAnsi="宋体" w:cs="宋体"/>
          <w:b/>
          <w:bCs/>
          <w:spacing w:val="40"/>
          <w:kern w:val="0"/>
          <w:sz w:val="32"/>
          <w:szCs w:val="32"/>
        </w:rPr>
      </w:pPr>
    </w:p>
    <w:p>
      <w:pPr>
        <w:tabs>
          <w:tab w:val="center" w:pos="6979"/>
        </w:tabs>
        <w:spacing w:before="156" w:beforeLines="50" w:after="156" w:afterLines="50"/>
        <w:jc w:val="center"/>
        <w:rPr>
          <w:rFonts w:ascii="宋体" w:hAnsi="宋体" w:cs="宋体"/>
          <w:b/>
          <w:bCs/>
          <w:spacing w:val="40"/>
          <w:kern w:val="0"/>
          <w:sz w:val="32"/>
          <w:szCs w:val="32"/>
        </w:rPr>
      </w:pPr>
    </w:p>
    <w:p>
      <w:pPr>
        <w:tabs>
          <w:tab w:val="center" w:pos="6979"/>
        </w:tabs>
        <w:spacing w:before="156" w:beforeLines="50" w:after="156" w:afterLines="50"/>
        <w:jc w:val="center"/>
        <w:rPr>
          <w:rFonts w:ascii="宋体" w:hAnsi="宋体" w:cs="宋体"/>
          <w:b/>
          <w:bCs/>
          <w:spacing w:val="40"/>
          <w:kern w:val="0"/>
          <w:sz w:val="32"/>
          <w:szCs w:val="32"/>
        </w:rPr>
      </w:pPr>
    </w:p>
    <w:p>
      <w:pPr>
        <w:tabs>
          <w:tab w:val="center" w:pos="6979"/>
        </w:tabs>
        <w:spacing w:before="156" w:beforeLines="50" w:after="156" w:afterLines="50"/>
        <w:jc w:val="center"/>
        <w:rPr>
          <w:rFonts w:ascii="宋体" w:hAnsi="宋体" w:cs="宋体"/>
          <w:b/>
          <w:bCs/>
          <w:spacing w:val="40"/>
          <w:kern w:val="0"/>
          <w:sz w:val="32"/>
          <w:szCs w:val="32"/>
        </w:rPr>
      </w:pPr>
    </w:p>
    <w:p>
      <w:pPr>
        <w:tabs>
          <w:tab w:val="center" w:pos="6979"/>
        </w:tabs>
        <w:spacing w:before="156" w:beforeLines="50" w:after="156" w:afterLines="50"/>
        <w:jc w:val="center"/>
        <w:rPr>
          <w:rFonts w:ascii="宋体" w:hAnsi="宋体" w:cs="宋体"/>
          <w:b/>
          <w:bCs/>
          <w:spacing w:val="40"/>
          <w:kern w:val="0"/>
          <w:sz w:val="32"/>
          <w:szCs w:val="32"/>
        </w:rPr>
      </w:pPr>
    </w:p>
    <w:p>
      <w:pPr>
        <w:tabs>
          <w:tab w:val="center" w:pos="6979"/>
        </w:tabs>
        <w:spacing w:before="156" w:beforeLines="50" w:after="156" w:afterLines="50"/>
        <w:jc w:val="center"/>
        <w:rPr>
          <w:rFonts w:ascii="宋体" w:hAnsi="宋体" w:cs="宋体"/>
          <w:b/>
          <w:bCs/>
          <w:spacing w:val="40"/>
          <w:kern w:val="0"/>
          <w:sz w:val="32"/>
          <w:szCs w:val="32"/>
        </w:rPr>
      </w:pPr>
      <w:r>
        <w:rPr>
          <w:rFonts w:hint="eastAsia" w:ascii="宋体" w:hAnsi="宋体" w:cs="宋体"/>
          <w:b/>
          <w:bCs/>
          <w:spacing w:val="40"/>
          <w:kern w:val="0"/>
          <w:sz w:val="44"/>
          <w:szCs w:val="44"/>
        </w:rPr>
        <w:t>第一部分 2025年度部门决算报表</w:t>
      </w:r>
    </w:p>
    <w:p>
      <w:pPr>
        <w:pStyle w:val="2"/>
        <w:rPr>
          <w:b w:val="0"/>
          <w:bCs w:val="0"/>
        </w:rPr>
        <w:sectPr>
          <w:footerReference r:id="rId3" w:type="default"/>
          <w:pgSz w:w="16838" w:h="11906" w:orient="landscape"/>
          <w:pgMar w:top="1134" w:right="1134" w:bottom="1134" w:left="1134" w:header="851" w:footer="992" w:gutter="0"/>
          <w:cols w:space="720" w:num="1"/>
          <w:docGrid w:type="linesAndChars" w:linePitch="312" w:charSpace="0"/>
        </w:sectPr>
      </w:pPr>
      <w:r>
        <w:rPr>
          <w:rFonts w:hint="eastAsia" w:ascii="仿宋_GB2312" w:eastAsia="仿宋_GB2312"/>
          <w:sz w:val="28"/>
          <w:szCs w:val="28"/>
        </w:rPr>
        <w:t xml:space="preserve">   </w:t>
      </w:r>
      <w:r>
        <w:rPr>
          <w:rFonts w:hint="eastAsia" w:ascii="仿宋_GB2312" w:eastAsia="仿宋_GB2312"/>
          <w:b w:val="0"/>
          <w:bCs w:val="0"/>
          <w:sz w:val="28"/>
          <w:szCs w:val="28"/>
        </w:rPr>
        <w:t>报表详见附件。</w:t>
      </w:r>
    </w:p>
    <w:p>
      <w:pPr>
        <w:tabs>
          <w:tab w:val="center" w:pos="6979"/>
        </w:tabs>
        <w:spacing w:before="156" w:beforeLines="50" w:after="156" w:afterLines="50"/>
        <w:jc w:val="center"/>
        <w:rPr>
          <w:rFonts w:ascii="宋体" w:hAnsi="宋体"/>
          <w:b/>
          <w:sz w:val="32"/>
          <w:szCs w:val="32"/>
        </w:rPr>
      </w:pPr>
      <w:r>
        <w:rPr>
          <w:rFonts w:hint="eastAsia" w:ascii="宋体" w:hAnsi="宋体" w:cs="宋体"/>
          <w:b/>
          <w:bCs/>
          <w:spacing w:val="40"/>
          <w:kern w:val="0"/>
          <w:sz w:val="32"/>
          <w:szCs w:val="32"/>
        </w:rPr>
        <w:t xml:space="preserve">第二部分 </w:t>
      </w:r>
      <w:r>
        <w:rPr>
          <w:rFonts w:hint="eastAsia" w:ascii="宋体" w:hAnsi="宋体"/>
          <w:b/>
          <w:spacing w:val="40"/>
          <w:sz w:val="32"/>
          <w:szCs w:val="32"/>
        </w:rPr>
        <w:t>2025年度部门决算说明</w:t>
      </w:r>
    </w:p>
    <w:p>
      <w:pPr>
        <w:tabs>
          <w:tab w:val="center" w:pos="6979"/>
        </w:tabs>
        <w:spacing w:line="580" w:lineRule="exact"/>
        <w:ind w:firstLine="548" w:firstLineChars="196"/>
        <w:rPr>
          <w:rFonts w:hint="eastAsia" w:ascii="黑体" w:eastAsia="黑体"/>
          <w:b/>
          <w:sz w:val="28"/>
          <w:szCs w:val="28"/>
        </w:rPr>
      </w:pPr>
      <w:r>
        <w:rPr>
          <w:rFonts w:hint="eastAsia" w:ascii="黑体" w:eastAsia="黑体"/>
          <w:b/>
          <w:sz w:val="28"/>
          <w:szCs w:val="28"/>
        </w:rPr>
        <w:t>一、部门基本情况</w:t>
      </w:r>
    </w:p>
    <w:p>
      <w:pPr>
        <w:autoSpaceDE w:val="0"/>
        <w:autoSpaceDN w:val="0"/>
        <w:adjustRightInd w:val="0"/>
        <w:spacing w:line="580" w:lineRule="exact"/>
        <w:ind w:firstLine="560" w:firstLineChars="200"/>
        <w:jc w:val="left"/>
      </w:pPr>
      <w:r>
        <w:rPr>
          <w:rFonts w:hint="eastAsia" w:ascii="仿宋_GB2312" w:eastAsia="仿宋_GB2312" w:cs="Times New Roman"/>
          <w:sz w:val="28"/>
          <w:szCs w:val="28"/>
          <w:lang w:eastAsia="zh-CN"/>
        </w:rPr>
        <w:t>（一）单位性质、职责等情况</w:t>
      </w:r>
    </w:p>
    <w:p>
      <w:pPr>
        <w:tabs>
          <w:tab w:val="center" w:pos="6979"/>
        </w:tabs>
        <w:spacing w:line="58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1.负责本区应急管理工作，指导各镇街各部门各单位应对安全生产类、自然灾害类等突发事件和综合防灾减灾救灾工作。负责安全生产综合监督管理和工矿商贸行业安全生产监督管理工作。</w:t>
      </w:r>
    </w:p>
    <w:p>
      <w:pPr>
        <w:tabs>
          <w:tab w:val="center" w:pos="6979"/>
        </w:tabs>
        <w:spacing w:line="58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2.贯彻落实本市应急管理、安全生产等政策，组织编制应急体系建设、安全生产和综合防灾减灾规划，组织实施相关规程和标准。</w:t>
      </w:r>
    </w:p>
    <w:p>
      <w:pPr>
        <w:tabs>
          <w:tab w:val="center" w:pos="6979"/>
        </w:tabs>
        <w:spacing w:line="58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3.指导本区应急预案体系建设，建立完善事故灾难和自然灾害分级应对制度，组织编制本区总体应急预案和安全生产类、自然灾害类专项预案，综合协调应急预案衔接工作，组织开展预案演练，推动应急避难设施建设。</w:t>
      </w:r>
    </w:p>
    <w:p>
      <w:pPr>
        <w:tabs>
          <w:tab w:val="center" w:pos="6979"/>
        </w:tabs>
        <w:spacing w:line="58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4.牵头建立本区统一的应急管理信息系统，负责信息传输渠道的规划和布局，建立监测预警和灾情报告制度，健全自然灾害信息资源获取和共享机制，依法统一发布灾情。</w:t>
      </w:r>
    </w:p>
    <w:p>
      <w:pPr>
        <w:tabs>
          <w:tab w:val="center" w:pos="6979"/>
        </w:tabs>
        <w:spacing w:line="58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5.组织指导协调本区安全生产类、自然灾害类等突发事件应急救援，综合研判突发事件发展态势并提出应对建议，协助区委、区政府指定的负责同志组织重大灾害应急处置工作。</w:t>
      </w:r>
    </w:p>
    <w:p>
      <w:pPr>
        <w:tabs>
          <w:tab w:val="center" w:pos="6979"/>
        </w:tabs>
        <w:spacing w:line="58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6.统一协调指挥本区各类应急专业队伍，建立应急协调联动机制，推进指挥平台对接，衔接解放军和武警部队参与应急救援工作，指导本区综合性消防救援队伍开展有关应急救援工作。</w:t>
      </w:r>
    </w:p>
    <w:p>
      <w:pPr>
        <w:tabs>
          <w:tab w:val="center" w:pos="6979"/>
        </w:tabs>
        <w:spacing w:line="58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7.统筹本区应急救援力量建设，负责组织消防、森林火灾扑救、抗洪抢险、地震和地质灾害救援、生产安全事故救援等专业应急救援力量建设，指导综合性应急救援队伍建设和各镇街及社会应急救援力量建设。</w:t>
      </w:r>
    </w:p>
    <w:p>
      <w:pPr>
        <w:tabs>
          <w:tab w:val="center" w:pos="6979"/>
        </w:tabs>
        <w:spacing w:line="58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8.负责本区消防管理工作，指导消防监督、火灾预防火灾扑救等工作。</w:t>
      </w:r>
    </w:p>
    <w:p>
      <w:pPr>
        <w:tabs>
          <w:tab w:val="center" w:pos="6979"/>
        </w:tabs>
        <w:spacing w:line="58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9.指导协调本区森林火灾、水旱灾害、地震和地质灾害等防治工作，负责自然灾害综合监测预警工作，指导开展自然灾害综合风险评估工作。</w:t>
      </w:r>
    </w:p>
    <w:p>
      <w:pPr>
        <w:tabs>
          <w:tab w:val="center" w:pos="6979"/>
        </w:tabs>
        <w:spacing w:line="58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10.组织协调本区灾害救助工作，组织指导灾情核查、损失评估、救灾捐赠工作，管理、分配区级救灾款物并监督使用。</w:t>
      </w:r>
    </w:p>
    <w:p>
      <w:pPr>
        <w:tabs>
          <w:tab w:val="center" w:pos="6979"/>
        </w:tabs>
        <w:spacing w:line="58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11.依法行使本区安全生产综合监督管理职权，指导协调、监督检查区政府有关部门和各镇政府、各街道办事处安全生产工作，组织开展安全生产督查、考核工作。</w:t>
      </w:r>
    </w:p>
    <w:p>
      <w:pPr>
        <w:tabs>
          <w:tab w:val="center" w:pos="6979"/>
        </w:tabs>
        <w:spacing w:line="58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12.按照分级、属地原则，依法监督检查本区工矿商贸生产经营单位贯彻执行安全生产法律法规和标准情况及其安全生产条件和有关设备(特种设备除外)、材料、劳动防护用品的安全生产管理工作依法组织并指导监督实施安全生产准入制度。负责危险化学品安全监督管理综合工作和烟花爆竹经营单位安全监督管理工作。负责煤矿、非煤矿山安全生产监督管理工作。</w:t>
      </w:r>
    </w:p>
    <w:p>
      <w:pPr>
        <w:tabs>
          <w:tab w:val="center" w:pos="6979"/>
        </w:tabs>
        <w:spacing w:line="58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13.依法组织指导本区生产安全事故调查处理，监督事故查处和责任追究落实情况。组织开展自然灾害类突发事件的调查评估工作。</w:t>
      </w:r>
    </w:p>
    <w:p>
      <w:pPr>
        <w:tabs>
          <w:tab w:val="center" w:pos="6979"/>
        </w:tabs>
        <w:spacing w:line="58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14.开展应急管理方面的对外交流与合作，组织参与安全生产类、自然灾害类等突发事件的对外救援工作。</w:t>
      </w:r>
    </w:p>
    <w:p>
      <w:pPr>
        <w:tabs>
          <w:tab w:val="center" w:pos="6979"/>
        </w:tabs>
        <w:spacing w:line="58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15.制定本区应急物资储备和应急救援装备规划并组织实施，会同区粮食和储备局等部门建立健全应急物资信息平台和调拨制度，在救灾时统一调度。</w:t>
      </w:r>
    </w:p>
    <w:p>
      <w:pPr>
        <w:tabs>
          <w:tab w:val="center" w:pos="6979"/>
        </w:tabs>
        <w:spacing w:line="58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16.负责本区应急管理、安全生产宣传教育和培训工作，组织指导应急管理、安全生产的科学技术研究、推广应用和信息化建设工作。</w:t>
      </w:r>
    </w:p>
    <w:p>
      <w:pPr>
        <w:tabs>
          <w:tab w:val="center" w:pos="6979"/>
        </w:tabs>
        <w:spacing w:line="58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17.承担区突发事件应急委员会的具体工作，负责规划、组织、协调、指导、检查本区突发事件应对工作及应急管理的预案、体制、机制和法制建设。承担区安全生产委员会、区防火安全委员会、区森林防火应急指挥部、区防汛抗旱应急指挥部的具体工作。</w:t>
      </w:r>
    </w:p>
    <w:p>
      <w:pPr>
        <w:tabs>
          <w:tab w:val="center" w:pos="6979"/>
        </w:tabs>
        <w:spacing w:line="58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18.负责本区地震领域的行政职能。</w:t>
      </w:r>
    </w:p>
    <w:p>
      <w:pPr>
        <w:tabs>
          <w:tab w:val="center" w:pos="6979"/>
        </w:tabs>
        <w:spacing w:line="58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19.区地震局归区应急局管理。</w:t>
      </w:r>
    </w:p>
    <w:p>
      <w:pPr>
        <w:tabs>
          <w:tab w:val="center" w:pos="6979"/>
        </w:tabs>
        <w:spacing w:line="58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20.完成区委、区政府交办的其他任务。</w:t>
      </w:r>
    </w:p>
    <w:p>
      <w:pPr>
        <w:tabs>
          <w:tab w:val="center" w:pos="6979"/>
        </w:tabs>
        <w:spacing w:line="58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21.职能转变。区应急局应加强、优化、统筹全区应急能力建设，构建统一领导、权责一致、权威高效的应急能力体系，推动形成统一指挥、专常兼备、反应灵敏、上下联动、平战结合的应急管理体制。一是坚持以防为主、防抗救结合，坚持常态减灾和非常态救灾相统一，努力实现从注重灾后救助向注重灾前预防转变，从应对单一灾种向综合减灾转变，从减少灾害损失向减轻灾害风险转变，提高本区应急管理水平和防灾减灾救灾能力，防范化解重特大安全风险。二是坚持以人为本，把人民群众生命安全放在首位，确保受灾群众基本生活，加强应急预案演练，增强全民防灾减灾意识，提升公众知识普及和自救互救技能，切实减少人员伤亡和财产损失。三是树立安全发展理念，坚持生命至上、安全第一，完善安全生产责任制，坚决遏制重特大安全事故发生。</w:t>
      </w:r>
    </w:p>
    <w:p>
      <w:pPr>
        <w:tabs>
          <w:tab w:val="center" w:pos="6979"/>
        </w:tabs>
        <w:spacing w:line="58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22.有关职责分工</w:t>
      </w:r>
    </w:p>
    <w:p>
      <w:pPr>
        <w:tabs>
          <w:tab w:val="center" w:pos="6979"/>
        </w:tabs>
        <w:spacing w:line="58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（1）与市规划自然资源委门头沟分局、区水务局、区园林绿化局等部门在自然灾害防救方面的职责分工。</w:t>
      </w:r>
    </w:p>
    <w:p>
      <w:pPr>
        <w:tabs>
          <w:tab w:val="center" w:pos="6979"/>
        </w:tabs>
        <w:spacing w:line="58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①区应急局负责组织编制全区总体应急预案和安全生产类、自然灾害类专项预案，综合协调应急预案衔接工作，组织开展预案演练。按照分级负责的原则，指导自然灾害类应急救援;组织协调重大灾害应急救援工作，并按权限作出决定;协助区委区政府指定的负责同志组织重大灾害应急处置工作。组织编制综合防灾减灾规划，指导协调相关部门森林火灾、水旱灾害、地震和地质灾害等防治工作;会同市规划自然资源委门头沟分局、区水务局、区园林绿化局和区气象局、区地震局等有关部门建立统一的应急管理信息平台，建立监测预警和灾情报告制度，健全自然灾害信息资源获取和共享机制，依法统一发布灾情，开展多灾种和灾害链综合监测预警，指导开展自然灾害综合风险评估。负责森林火情监测预警工作，发布森林火险、火灾信息。</w:t>
      </w:r>
    </w:p>
    <w:p>
      <w:pPr>
        <w:tabs>
          <w:tab w:val="center" w:pos="6979"/>
        </w:tabs>
        <w:spacing w:line="58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②市规划自然资源委门头沟分局负责落实综合防灾减灾规划相关要求，组织编制地质灾害防治规划和防护标准并指导实施;组织指导协调和监督地质灾害调查评价及隐患的普查、详查、排查;指导开展群测群防、专业监测和预报预警等工作，指导开展地质灾害工程治理工作;承担地质灾害应急救援的技术支撑工作。</w:t>
      </w:r>
    </w:p>
    <w:p>
      <w:pPr>
        <w:tabs>
          <w:tab w:val="center" w:pos="6979"/>
        </w:tabs>
        <w:spacing w:line="58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③区水务局负责落实综合防灾减灾规划相关要求，组织编制洪水干旱灾害和城市内涝防治规划及防护标准并指导实施;承担水情旱情监测预警工作;组织编制防御洪水抗御旱灾调度和应急水量调度方案，按程序报批并组织实施;承担防御洪水和城市内涝应急抢险的技术支撑工作。</w:t>
      </w:r>
    </w:p>
    <w:p>
      <w:pPr>
        <w:tabs>
          <w:tab w:val="center" w:pos="6979"/>
        </w:tabs>
        <w:spacing w:line="58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④区园林绿化局负责落实综合防灾减灾规划相关要求组织编制森林火灾防治规划和防护标准并指导实施;指导开展防火巡护、火源管理、防火设施建设、防火宣传教育等工作;组织指导国有林场开展监测预警、督促检查等工作。</w:t>
      </w:r>
    </w:p>
    <w:p>
      <w:pPr>
        <w:tabs>
          <w:tab w:val="center" w:pos="6979"/>
        </w:tabs>
        <w:spacing w:line="58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⑤必要时，市规划自然资源委门头沟分局、区水务局、区园林绿化局等部门可以提请区应急局，以本区相关应急指挥机构名义部署相关防治工作。</w:t>
      </w:r>
    </w:p>
    <w:p>
      <w:pPr>
        <w:tabs>
          <w:tab w:val="center" w:pos="6979"/>
        </w:tabs>
        <w:spacing w:line="58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（2）与区粮食和储备局在区级救灾物资储备方面的职责分工。</w:t>
      </w:r>
    </w:p>
    <w:p>
      <w:pPr>
        <w:tabs>
          <w:tab w:val="center" w:pos="6979"/>
        </w:tabs>
        <w:spacing w:line="58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①区应急局负责提出区级救灾物资的储备需求和动用决策，组织编制区级救灾物资储备规划、品种目录和标准，会同区粮食和储备局等部门确定年度购置计划，根据需要下达动用指令。</w:t>
      </w:r>
    </w:p>
    <w:p>
      <w:pPr>
        <w:tabs>
          <w:tab w:val="center" w:pos="6979"/>
        </w:tabs>
        <w:spacing w:line="580" w:lineRule="exact"/>
        <w:ind w:firstLine="560" w:firstLineChars="200"/>
        <w:rPr>
          <w:rFonts w:hint="eastAsia" w:ascii="仿宋_GB2312" w:eastAsia="仿宋_GB2312"/>
          <w:sz w:val="28"/>
          <w:szCs w:val="28"/>
          <w:lang w:val="en-US" w:eastAsia="zh-CN"/>
        </w:rPr>
      </w:pPr>
      <w:r>
        <w:rPr>
          <w:rFonts w:hint="eastAsia" w:ascii="仿宋_GB2312" w:eastAsia="仿宋_GB2312"/>
          <w:sz w:val="28"/>
          <w:szCs w:val="28"/>
          <w:lang w:val="en-US" w:eastAsia="zh-CN"/>
        </w:rPr>
        <w:t>②区粮食和储备局根据区级救灾物资储备规划，品种目录和标准、年度购置计划，负责区级救灾物资的收储、轮换和日常管理，根据区应急局的动用指令按程序组织调出。</w:t>
      </w:r>
    </w:p>
    <w:p>
      <w:pPr>
        <w:tabs>
          <w:tab w:val="center" w:pos="6979"/>
        </w:tabs>
        <w:spacing w:line="580" w:lineRule="exact"/>
        <w:ind w:firstLine="560" w:firstLineChars="200"/>
        <w:rPr>
          <w:rFonts w:hint="default" w:ascii="仿宋_GB2312" w:eastAsia="仿宋_GB2312"/>
          <w:sz w:val="28"/>
          <w:szCs w:val="28"/>
          <w:lang w:val="en-US" w:eastAsia="zh-CN"/>
        </w:rPr>
      </w:pPr>
      <w:r>
        <w:rPr>
          <w:rFonts w:hint="eastAsia" w:ascii="仿宋_GB2312" w:eastAsia="仿宋_GB2312" w:cs="Times New Roman"/>
          <w:sz w:val="28"/>
          <w:szCs w:val="28"/>
          <w:lang w:eastAsia="zh-CN"/>
        </w:rPr>
        <w:t>（二）机构设置情况</w:t>
      </w:r>
    </w:p>
    <w:p>
      <w:pPr>
        <w:spacing w:line="500" w:lineRule="exact"/>
        <w:ind w:firstLine="560" w:firstLineChars="200"/>
        <w:rPr>
          <w:rFonts w:hint="default"/>
          <w:lang w:val="en-US" w:eastAsia="zh-CN"/>
        </w:rPr>
      </w:pPr>
      <w:r>
        <w:rPr>
          <w:rFonts w:hint="eastAsia" w:ascii="仿宋_GB2312" w:eastAsia="仿宋_GB2312"/>
          <w:sz w:val="28"/>
          <w:szCs w:val="32"/>
          <w:lang w:val="en-US" w:eastAsia="zh-CN"/>
        </w:rPr>
        <w:t>本部门共设三个单位分别为应急管理局（本级）、应急管理事务中心、应急管理指挥中心。</w:t>
      </w:r>
      <w:r>
        <w:rPr>
          <w:rFonts w:ascii="仿宋_GB2312" w:eastAsia="仿宋_GB2312"/>
          <w:sz w:val="28"/>
          <w:szCs w:val="32"/>
        </w:rPr>
        <w:t xml:space="preserve">  </w:t>
      </w:r>
    </w:p>
    <w:p>
      <w:pPr>
        <w:tabs>
          <w:tab w:val="center" w:pos="6979"/>
        </w:tabs>
        <w:spacing w:line="580" w:lineRule="exact"/>
        <w:rPr>
          <w:rFonts w:ascii="黑体" w:eastAsia="黑体"/>
          <w:b/>
          <w:sz w:val="28"/>
          <w:szCs w:val="28"/>
        </w:rPr>
      </w:pPr>
      <w:r>
        <w:rPr>
          <w:rFonts w:hint="eastAsia" w:ascii="仿宋_GB2312" w:eastAsia="仿宋_GB2312"/>
          <w:b/>
          <w:sz w:val="32"/>
          <w:szCs w:val="32"/>
        </w:rPr>
        <w:t xml:space="preserve">   </w:t>
      </w:r>
      <w:r>
        <w:rPr>
          <w:rFonts w:hint="eastAsia" w:ascii="黑体" w:eastAsia="黑体"/>
          <w:b/>
          <w:sz w:val="28"/>
          <w:szCs w:val="28"/>
        </w:rPr>
        <w:t>二、收入支出决算总体情况说明</w:t>
      </w:r>
    </w:p>
    <w:p>
      <w:pPr>
        <w:tabs>
          <w:tab w:val="center" w:pos="6979"/>
        </w:tabs>
        <w:spacing w:line="580" w:lineRule="exact"/>
        <w:ind w:firstLine="570"/>
        <w:rPr>
          <w:rFonts w:ascii="仿宋_GB2312" w:eastAsia="仿宋_GB2312"/>
          <w:sz w:val="28"/>
          <w:szCs w:val="28"/>
          <w:highlight w:val="red"/>
        </w:rPr>
      </w:pPr>
      <w:r>
        <w:rPr>
          <w:rFonts w:hint="eastAsia" w:ascii="仿宋_GB2312" w:eastAsia="仿宋_GB2312"/>
          <w:sz w:val="28"/>
          <w:szCs w:val="28"/>
        </w:rPr>
        <w:t>2025年度收、</w:t>
      </w:r>
      <w:r>
        <w:rPr>
          <w:rFonts w:ascii="仿宋_GB2312" w:eastAsia="仿宋_GB2312"/>
          <w:sz w:val="28"/>
          <w:szCs w:val="28"/>
        </w:rPr>
        <w:t>支</w:t>
      </w:r>
      <w:r>
        <w:rPr>
          <w:rFonts w:hint="eastAsia" w:ascii="仿宋_GB2312" w:eastAsia="仿宋_GB2312"/>
          <w:sz w:val="28"/>
          <w:szCs w:val="28"/>
        </w:rPr>
        <w:t>总计</w:t>
      </w:r>
      <w:r>
        <w:rPr>
          <w:rFonts w:ascii="仿宋_GB2312" w:eastAsia="仿宋_GB2312"/>
          <w:sz w:val="28"/>
          <w:szCs w:val="28"/>
        </w:rPr>
        <w:t>159</w:t>
      </w:r>
      <w:r>
        <w:rPr>
          <w:rFonts w:hint="eastAsia" w:ascii="仿宋_GB2312" w:eastAsia="仿宋_GB2312"/>
          <w:sz w:val="28"/>
          <w:szCs w:val="28"/>
          <w:lang w:val="en-US" w:eastAsia="zh-CN"/>
        </w:rPr>
        <w:t>,</w:t>
      </w:r>
      <w:r>
        <w:rPr>
          <w:rFonts w:ascii="仿宋_GB2312" w:eastAsia="仿宋_GB2312"/>
          <w:sz w:val="28"/>
          <w:szCs w:val="28"/>
        </w:rPr>
        <w:t>761</w:t>
      </w:r>
      <w:r>
        <w:rPr>
          <w:rFonts w:hint="eastAsia" w:ascii="仿宋_GB2312" w:eastAsia="仿宋_GB2312"/>
          <w:sz w:val="28"/>
          <w:szCs w:val="28"/>
          <w:lang w:val="en-US" w:eastAsia="zh-CN"/>
        </w:rPr>
        <w:t>,</w:t>
      </w:r>
      <w:r>
        <w:rPr>
          <w:rFonts w:ascii="仿宋_GB2312" w:eastAsia="仿宋_GB2312"/>
          <w:sz w:val="28"/>
          <w:szCs w:val="28"/>
        </w:rPr>
        <w:t>016.74</w:t>
      </w:r>
      <w:r>
        <w:rPr>
          <w:rFonts w:hint="eastAsia" w:ascii="仿宋_GB2312" w:eastAsia="仿宋_GB2312"/>
          <w:sz w:val="28"/>
          <w:szCs w:val="28"/>
        </w:rPr>
        <w:t>元，</w:t>
      </w:r>
      <w:r>
        <w:rPr>
          <w:rFonts w:ascii="仿宋_GB2312" w:eastAsia="仿宋_GB2312"/>
          <w:sz w:val="28"/>
          <w:szCs w:val="28"/>
          <w:highlight w:val="none"/>
        </w:rPr>
        <w:t>比上年</w:t>
      </w:r>
      <w:r>
        <w:rPr>
          <w:rFonts w:hint="eastAsia" w:ascii="仿宋_GB2312" w:eastAsia="仿宋_GB2312"/>
          <w:sz w:val="28"/>
          <w:szCs w:val="28"/>
          <w:highlight w:val="none"/>
        </w:rPr>
        <w:t>减少</w:t>
      </w:r>
      <w:r>
        <w:rPr>
          <w:rFonts w:hint="eastAsia" w:ascii="仿宋_GB2312" w:eastAsia="仿宋_GB2312"/>
          <w:sz w:val="28"/>
          <w:szCs w:val="28"/>
          <w:highlight w:val="none"/>
          <w:lang w:val="en-US" w:eastAsia="zh-CN"/>
        </w:rPr>
        <w:t>70,390,539.77</w:t>
      </w:r>
      <w:r>
        <w:rPr>
          <w:rFonts w:hint="eastAsia" w:ascii="仿宋_GB2312" w:eastAsia="仿宋_GB2312"/>
          <w:sz w:val="28"/>
          <w:szCs w:val="28"/>
          <w:highlight w:val="none"/>
        </w:rPr>
        <w:t>元，下降</w:t>
      </w:r>
      <w:r>
        <w:rPr>
          <w:rFonts w:hint="eastAsia" w:ascii="仿宋_GB2312" w:eastAsia="仿宋_GB2312"/>
          <w:sz w:val="28"/>
          <w:szCs w:val="28"/>
          <w:highlight w:val="none"/>
          <w:lang w:val="en-US" w:eastAsia="zh-CN"/>
        </w:rPr>
        <w:t>30.6</w:t>
      </w:r>
      <w:r>
        <w:rPr>
          <w:rFonts w:hint="eastAsia" w:ascii="仿宋_GB2312" w:eastAsia="仿宋_GB2312"/>
          <w:sz w:val="28"/>
          <w:szCs w:val="28"/>
          <w:highlight w:val="none"/>
        </w:rPr>
        <w:t>%。</w:t>
      </w:r>
    </w:p>
    <w:p>
      <w:pPr>
        <w:tabs>
          <w:tab w:val="center" w:pos="6979"/>
        </w:tabs>
        <w:spacing w:line="580" w:lineRule="exact"/>
        <w:ind w:firstLine="570"/>
        <w:rPr>
          <w:rFonts w:ascii="仿宋_GB2312" w:eastAsia="仿宋_GB2312"/>
          <w:sz w:val="28"/>
          <w:szCs w:val="28"/>
        </w:rPr>
      </w:pPr>
      <w:r>
        <w:rPr>
          <w:rFonts w:hint="eastAsia" w:ascii="仿宋_GB2312" w:eastAsia="仿宋_GB2312"/>
          <w:sz w:val="28"/>
          <w:szCs w:val="28"/>
        </w:rPr>
        <w:t>（一</w:t>
      </w:r>
      <w:r>
        <w:rPr>
          <w:rFonts w:ascii="仿宋_GB2312" w:eastAsia="仿宋_GB2312"/>
          <w:sz w:val="28"/>
          <w:szCs w:val="28"/>
        </w:rPr>
        <w:t>）</w:t>
      </w:r>
      <w:r>
        <w:rPr>
          <w:rFonts w:hint="eastAsia" w:ascii="仿宋_GB2312" w:eastAsia="仿宋_GB2312"/>
          <w:sz w:val="28"/>
          <w:szCs w:val="28"/>
        </w:rPr>
        <w:t>收入决算</w:t>
      </w:r>
      <w:r>
        <w:rPr>
          <w:rFonts w:ascii="仿宋_GB2312" w:eastAsia="仿宋_GB2312"/>
          <w:sz w:val="28"/>
          <w:szCs w:val="28"/>
        </w:rPr>
        <w:t>说明</w:t>
      </w:r>
    </w:p>
    <w:p>
      <w:pPr>
        <w:tabs>
          <w:tab w:val="center" w:pos="6979"/>
        </w:tabs>
        <w:spacing w:line="580" w:lineRule="exact"/>
        <w:ind w:firstLine="570"/>
        <w:rPr>
          <w:rFonts w:ascii="仿宋_GB2312" w:eastAsia="仿宋_GB2312"/>
          <w:sz w:val="28"/>
          <w:szCs w:val="28"/>
        </w:rPr>
      </w:pPr>
      <w:r>
        <w:rPr>
          <w:rFonts w:hint="eastAsia" w:ascii="仿宋_GB2312" w:eastAsia="仿宋_GB2312"/>
          <w:sz w:val="28"/>
          <w:szCs w:val="28"/>
        </w:rPr>
        <w:t>2025年度本年收入合计</w:t>
      </w:r>
      <w:r>
        <w:rPr>
          <w:rFonts w:ascii="仿宋_GB2312" w:eastAsia="仿宋_GB2312"/>
          <w:sz w:val="28"/>
          <w:szCs w:val="28"/>
        </w:rPr>
        <w:t>159</w:t>
      </w:r>
      <w:r>
        <w:rPr>
          <w:rFonts w:hint="eastAsia" w:ascii="仿宋_GB2312" w:eastAsia="仿宋_GB2312"/>
          <w:sz w:val="28"/>
          <w:szCs w:val="28"/>
          <w:lang w:val="en-US" w:eastAsia="zh-CN"/>
        </w:rPr>
        <w:t>,</w:t>
      </w:r>
      <w:r>
        <w:rPr>
          <w:rFonts w:ascii="仿宋_GB2312" w:eastAsia="仿宋_GB2312"/>
          <w:sz w:val="28"/>
          <w:szCs w:val="28"/>
        </w:rPr>
        <w:t>761</w:t>
      </w:r>
      <w:r>
        <w:rPr>
          <w:rFonts w:hint="eastAsia" w:ascii="仿宋_GB2312" w:eastAsia="仿宋_GB2312"/>
          <w:sz w:val="28"/>
          <w:szCs w:val="28"/>
          <w:lang w:val="en-US" w:eastAsia="zh-CN"/>
        </w:rPr>
        <w:t>,</w:t>
      </w:r>
      <w:r>
        <w:rPr>
          <w:rFonts w:ascii="仿宋_GB2312" w:eastAsia="仿宋_GB2312"/>
          <w:sz w:val="28"/>
          <w:szCs w:val="28"/>
        </w:rPr>
        <w:t>016.74</w:t>
      </w:r>
      <w:r>
        <w:rPr>
          <w:rFonts w:hint="eastAsia" w:ascii="仿宋_GB2312" w:eastAsia="仿宋_GB2312"/>
          <w:sz w:val="28"/>
          <w:szCs w:val="28"/>
        </w:rPr>
        <w:t>元，</w:t>
      </w:r>
      <w:r>
        <w:rPr>
          <w:rFonts w:ascii="仿宋_GB2312" w:eastAsia="仿宋_GB2312"/>
          <w:sz w:val="28"/>
          <w:szCs w:val="28"/>
          <w:highlight w:val="none"/>
        </w:rPr>
        <w:t>比上年</w:t>
      </w:r>
      <w:r>
        <w:rPr>
          <w:rFonts w:hint="eastAsia" w:ascii="仿宋_GB2312" w:eastAsia="仿宋_GB2312"/>
          <w:sz w:val="28"/>
          <w:szCs w:val="28"/>
          <w:highlight w:val="none"/>
          <w:lang w:val="en-US" w:eastAsia="zh-CN"/>
        </w:rPr>
        <w:t>减少61,358,906.77</w:t>
      </w:r>
      <w:r>
        <w:rPr>
          <w:rFonts w:hint="eastAsia" w:ascii="仿宋_GB2312" w:eastAsia="仿宋_GB2312"/>
          <w:sz w:val="28"/>
          <w:szCs w:val="28"/>
          <w:highlight w:val="none"/>
        </w:rPr>
        <w:t>元，下降</w:t>
      </w:r>
      <w:r>
        <w:rPr>
          <w:rFonts w:hint="eastAsia" w:ascii="仿宋_GB2312" w:eastAsia="仿宋_GB2312"/>
          <w:sz w:val="28"/>
          <w:szCs w:val="28"/>
          <w:highlight w:val="none"/>
          <w:lang w:val="en-US" w:eastAsia="zh-CN"/>
        </w:rPr>
        <w:t>27.7</w:t>
      </w:r>
      <w:r>
        <w:rPr>
          <w:rFonts w:hint="eastAsia" w:ascii="仿宋_GB2312" w:eastAsia="仿宋_GB2312"/>
          <w:sz w:val="28"/>
          <w:szCs w:val="28"/>
          <w:highlight w:val="none"/>
        </w:rPr>
        <w:t>%。</w:t>
      </w:r>
    </w:p>
    <w:p>
      <w:pPr>
        <w:tabs>
          <w:tab w:val="center" w:pos="6979"/>
        </w:tabs>
        <w:spacing w:line="580" w:lineRule="exact"/>
        <w:ind w:firstLine="560" w:firstLineChars="200"/>
        <w:rPr>
          <w:rFonts w:ascii="仿宋_GB2312" w:eastAsia="仿宋_GB2312"/>
          <w:sz w:val="28"/>
          <w:szCs w:val="28"/>
        </w:rPr>
      </w:pPr>
      <w:r>
        <w:rPr>
          <w:rFonts w:hint="eastAsia" w:ascii="仿宋_GB2312" w:eastAsia="仿宋_GB2312"/>
          <w:sz w:val="28"/>
          <w:szCs w:val="28"/>
        </w:rPr>
        <w:t>1.财政拨款收入</w:t>
      </w:r>
      <w:r>
        <w:rPr>
          <w:rFonts w:ascii="仿宋_GB2312" w:eastAsia="仿宋_GB2312"/>
          <w:sz w:val="28"/>
          <w:szCs w:val="28"/>
        </w:rPr>
        <w:t>159</w:t>
      </w:r>
      <w:r>
        <w:rPr>
          <w:rFonts w:hint="eastAsia" w:ascii="仿宋_GB2312" w:eastAsia="仿宋_GB2312"/>
          <w:sz w:val="28"/>
          <w:szCs w:val="28"/>
          <w:lang w:val="en-US" w:eastAsia="zh-CN"/>
        </w:rPr>
        <w:t>,</w:t>
      </w:r>
      <w:r>
        <w:rPr>
          <w:rFonts w:ascii="仿宋_GB2312" w:eastAsia="仿宋_GB2312"/>
          <w:sz w:val="28"/>
          <w:szCs w:val="28"/>
        </w:rPr>
        <w:t>761</w:t>
      </w:r>
      <w:r>
        <w:rPr>
          <w:rFonts w:hint="eastAsia" w:ascii="仿宋_GB2312" w:eastAsia="仿宋_GB2312"/>
          <w:sz w:val="28"/>
          <w:szCs w:val="28"/>
          <w:lang w:val="en-US" w:eastAsia="zh-CN"/>
        </w:rPr>
        <w:t>,</w:t>
      </w:r>
      <w:r>
        <w:rPr>
          <w:rFonts w:ascii="仿宋_GB2312" w:eastAsia="仿宋_GB2312"/>
          <w:sz w:val="28"/>
          <w:szCs w:val="28"/>
        </w:rPr>
        <w:t>016.74</w:t>
      </w:r>
      <w:r>
        <w:rPr>
          <w:rFonts w:hint="eastAsia" w:ascii="仿宋_GB2312" w:eastAsia="仿宋_GB2312"/>
          <w:sz w:val="28"/>
          <w:szCs w:val="28"/>
        </w:rPr>
        <w:t>元，占收入合计的100</w:t>
      </w:r>
      <w:r>
        <w:rPr>
          <w:rFonts w:hint="eastAsia" w:ascii="仿宋_GB2312" w:eastAsia="仿宋_GB2312"/>
          <w:sz w:val="28"/>
          <w:szCs w:val="28"/>
          <w:lang w:val="en-US" w:eastAsia="zh-CN"/>
        </w:rPr>
        <w:t>.0</w:t>
      </w:r>
      <w:r>
        <w:rPr>
          <w:rFonts w:hint="eastAsia" w:ascii="仿宋_GB2312" w:eastAsia="仿宋_GB2312"/>
          <w:sz w:val="28"/>
          <w:szCs w:val="28"/>
        </w:rPr>
        <w:t>%。其中：一般公共预算财政拨款收入</w:t>
      </w:r>
      <w:r>
        <w:rPr>
          <w:rFonts w:ascii="仿宋_GB2312" w:eastAsia="仿宋_GB2312"/>
          <w:sz w:val="28"/>
          <w:szCs w:val="28"/>
        </w:rPr>
        <w:t>91</w:t>
      </w:r>
      <w:r>
        <w:rPr>
          <w:rFonts w:hint="eastAsia" w:ascii="仿宋_GB2312" w:eastAsia="仿宋_GB2312"/>
          <w:sz w:val="28"/>
          <w:szCs w:val="28"/>
          <w:lang w:val="en-US" w:eastAsia="zh-CN"/>
        </w:rPr>
        <w:t>,</w:t>
      </w:r>
      <w:r>
        <w:rPr>
          <w:rFonts w:ascii="仿宋_GB2312" w:eastAsia="仿宋_GB2312"/>
          <w:sz w:val="28"/>
          <w:szCs w:val="28"/>
        </w:rPr>
        <w:t>403</w:t>
      </w:r>
      <w:r>
        <w:rPr>
          <w:rFonts w:hint="eastAsia" w:ascii="仿宋_GB2312" w:eastAsia="仿宋_GB2312"/>
          <w:sz w:val="28"/>
          <w:szCs w:val="28"/>
          <w:lang w:val="en-US" w:eastAsia="zh-CN"/>
        </w:rPr>
        <w:t>,</w:t>
      </w:r>
      <w:r>
        <w:rPr>
          <w:rFonts w:ascii="仿宋_GB2312" w:eastAsia="仿宋_GB2312"/>
          <w:sz w:val="28"/>
          <w:szCs w:val="28"/>
        </w:rPr>
        <w:t>365.74</w:t>
      </w:r>
      <w:r>
        <w:rPr>
          <w:rFonts w:hint="eastAsia" w:ascii="仿宋_GB2312" w:eastAsia="仿宋_GB2312"/>
          <w:sz w:val="28"/>
          <w:szCs w:val="28"/>
        </w:rPr>
        <w:t>元，占收入合计的57.2%；政府性基金预算财政拨款收入</w:t>
      </w:r>
      <w:r>
        <w:rPr>
          <w:rFonts w:ascii="仿宋_GB2312" w:eastAsia="仿宋_GB2312"/>
          <w:sz w:val="28"/>
          <w:szCs w:val="28"/>
        </w:rPr>
        <w:t>68</w:t>
      </w:r>
      <w:r>
        <w:rPr>
          <w:rFonts w:hint="eastAsia" w:ascii="仿宋_GB2312" w:eastAsia="仿宋_GB2312"/>
          <w:sz w:val="28"/>
          <w:szCs w:val="28"/>
          <w:lang w:val="en-US" w:eastAsia="zh-CN"/>
        </w:rPr>
        <w:t>,</w:t>
      </w:r>
      <w:r>
        <w:rPr>
          <w:rFonts w:ascii="仿宋_GB2312" w:eastAsia="仿宋_GB2312"/>
          <w:sz w:val="28"/>
          <w:szCs w:val="28"/>
        </w:rPr>
        <w:t>357</w:t>
      </w:r>
      <w:r>
        <w:rPr>
          <w:rFonts w:hint="eastAsia" w:ascii="仿宋_GB2312" w:eastAsia="仿宋_GB2312"/>
          <w:sz w:val="28"/>
          <w:szCs w:val="28"/>
          <w:lang w:val="en-US" w:eastAsia="zh-CN"/>
        </w:rPr>
        <w:t>,</w:t>
      </w:r>
      <w:r>
        <w:rPr>
          <w:rFonts w:ascii="仿宋_GB2312" w:eastAsia="仿宋_GB2312"/>
          <w:sz w:val="28"/>
          <w:szCs w:val="28"/>
        </w:rPr>
        <w:t>651</w:t>
      </w:r>
      <w:r>
        <w:rPr>
          <w:rFonts w:hint="eastAsia" w:ascii="仿宋_GB2312" w:eastAsia="仿宋_GB2312"/>
          <w:sz w:val="28"/>
          <w:szCs w:val="28"/>
          <w:lang w:val="en-US" w:eastAsia="zh-CN"/>
        </w:rPr>
        <w:t>.00</w:t>
      </w:r>
      <w:r>
        <w:rPr>
          <w:rFonts w:hint="eastAsia" w:ascii="仿宋_GB2312" w:eastAsia="仿宋_GB2312"/>
          <w:sz w:val="28"/>
          <w:szCs w:val="28"/>
        </w:rPr>
        <w:t>元，占收入合计的42.</w:t>
      </w:r>
      <w:r>
        <w:rPr>
          <w:rFonts w:hint="eastAsia" w:ascii="仿宋_GB2312" w:eastAsia="仿宋_GB2312"/>
          <w:sz w:val="28"/>
          <w:szCs w:val="28"/>
          <w:lang w:val="en-US" w:eastAsia="zh-CN"/>
        </w:rPr>
        <w:t>8</w:t>
      </w:r>
      <w:r>
        <w:rPr>
          <w:rFonts w:hint="eastAsia" w:ascii="仿宋_GB2312" w:eastAsia="仿宋_GB2312"/>
          <w:sz w:val="28"/>
          <w:szCs w:val="28"/>
        </w:rPr>
        <w:t>%；国有资本经营预算财政拨款收入</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元，占收入合计的0</w:t>
      </w:r>
      <w:r>
        <w:rPr>
          <w:rFonts w:hint="eastAsia" w:ascii="仿宋_GB2312" w:eastAsia="仿宋_GB2312"/>
          <w:sz w:val="28"/>
          <w:szCs w:val="28"/>
          <w:lang w:val="en-US" w:eastAsia="zh-CN"/>
        </w:rPr>
        <w:t>.0</w:t>
      </w:r>
      <w:r>
        <w:rPr>
          <w:rFonts w:hint="eastAsia" w:ascii="仿宋_GB2312" w:eastAsia="仿宋_GB2312"/>
          <w:sz w:val="28"/>
          <w:szCs w:val="28"/>
        </w:rPr>
        <w:t>%；</w:t>
      </w:r>
    </w:p>
    <w:p>
      <w:pPr>
        <w:tabs>
          <w:tab w:val="center" w:pos="6979"/>
        </w:tabs>
        <w:spacing w:line="580" w:lineRule="exact"/>
        <w:ind w:firstLine="560" w:firstLineChars="200"/>
        <w:rPr>
          <w:rFonts w:ascii="仿宋_GB2312" w:eastAsia="仿宋_GB2312"/>
          <w:sz w:val="28"/>
          <w:szCs w:val="28"/>
        </w:rPr>
      </w:pPr>
      <w:r>
        <w:rPr>
          <w:rFonts w:hint="eastAsia" w:ascii="仿宋_GB2312" w:eastAsia="仿宋_GB2312"/>
          <w:sz w:val="28"/>
          <w:szCs w:val="28"/>
        </w:rPr>
        <w:t>2.上级补助收入</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元，占收入合计的0</w:t>
      </w:r>
      <w:r>
        <w:rPr>
          <w:rFonts w:hint="eastAsia" w:ascii="仿宋_GB2312" w:eastAsia="仿宋_GB2312"/>
          <w:sz w:val="28"/>
          <w:szCs w:val="28"/>
          <w:lang w:val="en-US" w:eastAsia="zh-CN"/>
        </w:rPr>
        <w:t>.0</w:t>
      </w:r>
      <w:r>
        <w:rPr>
          <w:rFonts w:hint="eastAsia" w:ascii="仿宋_GB2312" w:eastAsia="仿宋_GB2312"/>
          <w:sz w:val="28"/>
          <w:szCs w:val="28"/>
        </w:rPr>
        <w:t>%；</w:t>
      </w:r>
    </w:p>
    <w:p>
      <w:pPr>
        <w:tabs>
          <w:tab w:val="center" w:pos="6979"/>
        </w:tabs>
        <w:spacing w:line="580" w:lineRule="exact"/>
        <w:ind w:firstLine="560" w:firstLineChars="200"/>
        <w:rPr>
          <w:rFonts w:ascii="仿宋_GB2312" w:eastAsia="仿宋_GB2312"/>
          <w:sz w:val="28"/>
          <w:szCs w:val="28"/>
        </w:rPr>
      </w:pPr>
      <w:r>
        <w:rPr>
          <w:rFonts w:hint="eastAsia" w:ascii="仿宋_GB2312" w:eastAsia="仿宋_GB2312"/>
          <w:sz w:val="28"/>
          <w:szCs w:val="28"/>
        </w:rPr>
        <w:t>3.事业收入</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元，占收入合计的0</w:t>
      </w:r>
      <w:r>
        <w:rPr>
          <w:rFonts w:hint="eastAsia" w:ascii="仿宋_GB2312" w:eastAsia="仿宋_GB2312"/>
          <w:sz w:val="28"/>
          <w:szCs w:val="28"/>
          <w:lang w:val="en-US" w:eastAsia="zh-CN"/>
        </w:rPr>
        <w:t>.0</w:t>
      </w:r>
      <w:r>
        <w:rPr>
          <w:rFonts w:hint="eastAsia" w:ascii="仿宋_GB2312" w:eastAsia="仿宋_GB2312"/>
          <w:sz w:val="28"/>
          <w:szCs w:val="28"/>
        </w:rPr>
        <w:t>%；</w:t>
      </w:r>
    </w:p>
    <w:p>
      <w:pPr>
        <w:tabs>
          <w:tab w:val="center" w:pos="6979"/>
        </w:tabs>
        <w:spacing w:line="580" w:lineRule="exact"/>
        <w:ind w:firstLine="560" w:firstLineChars="200"/>
        <w:rPr>
          <w:rFonts w:ascii="仿宋_GB2312" w:eastAsia="仿宋_GB2312"/>
          <w:sz w:val="28"/>
          <w:szCs w:val="28"/>
        </w:rPr>
      </w:pPr>
      <w:r>
        <w:rPr>
          <w:rFonts w:hint="eastAsia" w:ascii="仿宋_GB2312" w:eastAsia="仿宋_GB2312"/>
          <w:sz w:val="28"/>
          <w:szCs w:val="28"/>
        </w:rPr>
        <w:t>4.经营收入</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元，占收入合计的0</w:t>
      </w:r>
      <w:r>
        <w:rPr>
          <w:rFonts w:hint="eastAsia" w:ascii="仿宋_GB2312" w:eastAsia="仿宋_GB2312"/>
          <w:sz w:val="28"/>
          <w:szCs w:val="28"/>
          <w:lang w:val="en-US" w:eastAsia="zh-CN"/>
        </w:rPr>
        <w:t>.0</w:t>
      </w:r>
      <w:r>
        <w:rPr>
          <w:rFonts w:hint="eastAsia" w:ascii="仿宋_GB2312" w:eastAsia="仿宋_GB2312"/>
          <w:sz w:val="28"/>
          <w:szCs w:val="28"/>
        </w:rPr>
        <w:t>%；</w:t>
      </w:r>
    </w:p>
    <w:p>
      <w:pPr>
        <w:tabs>
          <w:tab w:val="center" w:pos="6979"/>
        </w:tabs>
        <w:spacing w:line="580" w:lineRule="exact"/>
        <w:ind w:firstLine="560" w:firstLineChars="200"/>
        <w:rPr>
          <w:rFonts w:ascii="仿宋_GB2312" w:eastAsia="仿宋_GB2312"/>
          <w:sz w:val="28"/>
          <w:szCs w:val="28"/>
        </w:rPr>
      </w:pPr>
      <w:r>
        <w:rPr>
          <w:rFonts w:hint="eastAsia" w:ascii="仿宋_GB2312" w:eastAsia="仿宋_GB2312"/>
          <w:sz w:val="28"/>
          <w:szCs w:val="28"/>
        </w:rPr>
        <w:t>5.附属单位上缴收入</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元，占收入合计的0</w:t>
      </w:r>
      <w:r>
        <w:rPr>
          <w:rFonts w:hint="eastAsia" w:ascii="仿宋_GB2312" w:eastAsia="仿宋_GB2312"/>
          <w:sz w:val="28"/>
          <w:szCs w:val="28"/>
          <w:lang w:val="en-US" w:eastAsia="zh-CN"/>
        </w:rPr>
        <w:t>.0</w:t>
      </w:r>
      <w:r>
        <w:rPr>
          <w:rFonts w:hint="eastAsia" w:ascii="仿宋_GB2312" w:eastAsia="仿宋_GB2312"/>
          <w:sz w:val="28"/>
          <w:szCs w:val="28"/>
        </w:rPr>
        <w:t>%；</w:t>
      </w:r>
    </w:p>
    <w:p>
      <w:pPr>
        <w:tabs>
          <w:tab w:val="center" w:pos="6979"/>
        </w:tabs>
        <w:spacing w:line="580" w:lineRule="exact"/>
        <w:ind w:firstLine="560" w:firstLineChars="200"/>
        <w:rPr>
          <w:rFonts w:ascii="仿宋_GB2312" w:eastAsia="仿宋_GB2312"/>
          <w:sz w:val="28"/>
          <w:szCs w:val="28"/>
        </w:rPr>
      </w:pPr>
      <w:r>
        <w:rPr>
          <w:rFonts w:hint="eastAsia" w:ascii="仿宋_GB2312" w:eastAsia="仿宋_GB2312"/>
          <w:sz w:val="28"/>
          <w:szCs w:val="28"/>
        </w:rPr>
        <w:t>6.其他收入</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元，占收入合计的0</w:t>
      </w:r>
      <w:r>
        <w:rPr>
          <w:rFonts w:hint="eastAsia" w:ascii="仿宋_GB2312" w:eastAsia="仿宋_GB2312"/>
          <w:sz w:val="28"/>
          <w:szCs w:val="28"/>
          <w:lang w:val="en-US" w:eastAsia="zh-CN"/>
        </w:rPr>
        <w:t>.0</w:t>
      </w:r>
      <w:r>
        <w:rPr>
          <w:rFonts w:hint="eastAsia" w:ascii="仿宋_GB2312" w:eastAsia="仿宋_GB2312"/>
          <w:sz w:val="28"/>
          <w:szCs w:val="28"/>
        </w:rPr>
        <w:t>%。</w:t>
      </w:r>
    </w:p>
    <w:p>
      <w:pPr>
        <w:pStyle w:val="2"/>
        <w:jc w:val="center"/>
      </w:pPr>
      <w:r>
        <w:rPr>
          <w:rFonts w:hint="eastAsia" w:ascii="仿宋_GB2312" w:eastAsia="仿宋_GB2312"/>
          <w:color w:val="000000"/>
          <w:sz w:val="32"/>
        </w:rPr>
        <w:t>图1：收入决算</w:t>
      </w:r>
    </w:p>
    <w:p>
      <w:pPr>
        <w:pStyle w:val="3"/>
        <w:ind w:firstLine="420"/>
        <w:jc w:val="center"/>
      </w:pPr>
      <w:r>
        <w:drawing>
          <wp:inline distT="0" distB="0" distL="0" distR="0">
            <wp:extent cx="4036695" cy="2328545"/>
            <wp:effectExtent l="0" t="0" r="20955" b="14605"/>
            <wp:docPr id="3" name="图表 3" title="{{pieChart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tabs>
          <w:tab w:val="center" w:pos="6979"/>
        </w:tabs>
        <w:spacing w:line="580" w:lineRule="exact"/>
        <w:ind w:firstLine="570"/>
        <w:rPr>
          <w:rFonts w:ascii="仿宋_GB2312" w:eastAsia="仿宋_GB2312"/>
          <w:sz w:val="28"/>
          <w:szCs w:val="28"/>
        </w:rPr>
      </w:pPr>
      <w:r>
        <w:rPr>
          <w:rFonts w:hint="eastAsia" w:ascii="仿宋_GB2312" w:eastAsia="仿宋_GB2312"/>
          <w:sz w:val="28"/>
          <w:szCs w:val="28"/>
        </w:rPr>
        <w:t>（二</w:t>
      </w:r>
      <w:r>
        <w:rPr>
          <w:rFonts w:ascii="仿宋_GB2312" w:eastAsia="仿宋_GB2312"/>
          <w:sz w:val="28"/>
          <w:szCs w:val="28"/>
        </w:rPr>
        <w:t>）</w:t>
      </w:r>
      <w:r>
        <w:rPr>
          <w:rFonts w:hint="eastAsia" w:ascii="仿宋_GB2312" w:eastAsia="仿宋_GB2312"/>
          <w:sz w:val="28"/>
          <w:szCs w:val="28"/>
        </w:rPr>
        <w:t>支出决算</w:t>
      </w:r>
      <w:r>
        <w:rPr>
          <w:rFonts w:ascii="仿宋_GB2312" w:eastAsia="仿宋_GB2312"/>
          <w:sz w:val="28"/>
          <w:szCs w:val="28"/>
        </w:rPr>
        <w:t>说明</w:t>
      </w:r>
    </w:p>
    <w:p>
      <w:pPr>
        <w:tabs>
          <w:tab w:val="center" w:pos="6979"/>
        </w:tabs>
        <w:spacing w:line="580" w:lineRule="exact"/>
        <w:ind w:firstLine="570"/>
        <w:rPr>
          <w:rFonts w:ascii="仿宋_GB2312" w:eastAsia="仿宋_GB2312" w:cs="Droid Sans"/>
          <w:color w:val="000000"/>
          <w:sz w:val="32"/>
          <w:szCs w:val="32"/>
        </w:rPr>
      </w:pPr>
      <w:r>
        <w:rPr>
          <w:rFonts w:hint="eastAsia" w:ascii="仿宋_GB2312" w:eastAsia="仿宋_GB2312"/>
          <w:sz w:val="28"/>
          <w:szCs w:val="28"/>
        </w:rPr>
        <w:t>2025年度本年支出合计</w:t>
      </w:r>
      <w:r>
        <w:rPr>
          <w:rFonts w:ascii="仿宋_GB2312" w:eastAsia="仿宋_GB2312"/>
          <w:sz w:val="28"/>
          <w:szCs w:val="28"/>
        </w:rPr>
        <w:t>159</w:t>
      </w:r>
      <w:r>
        <w:rPr>
          <w:rFonts w:hint="eastAsia" w:ascii="仿宋_GB2312" w:eastAsia="仿宋_GB2312"/>
          <w:sz w:val="28"/>
          <w:szCs w:val="28"/>
          <w:lang w:val="en-US" w:eastAsia="zh-CN"/>
        </w:rPr>
        <w:t>,</w:t>
      </w:r>
      <w:r>
        <w:rPr>
          <w:rFonts w:ascii="仿宋_GB2312" w:eastAsia="仿宋_GB2312"/>
          <w:sz w:val="28"/>
          <w:szCs w:val="28"/>
        </w:rPr>
        <w:t>761</w:t>
      </w:r>
      <w:r>
        <w:rPr>
          <w:rFonts w:hint="eastAsia" w:ascii="仿宋_GB2312" w:eastAsia="仿宋_GB2312"/>
          <w:sz w:val="28"/>
          <w:szCs w:val="28"/>
          <w:lang w:val="en-US" w:eastAsia="zh-CN"/>
        </w:rPr>
        <w:t>,</w:t>
      </w:r>
      <w:r>
        <w:rPr>
          <w:rFonts w:ascii="仿宋_GB2312" w:eastAsia="仿宋_GB2312"/>
          <w:sz w:val="28"/>
          <w:szCs w:val="28"/>
        </w:rPr>
        <w:t>016.74</w:t>
      </w:r>
      <w:r>
        <w:rPr>
          <w:rFonts w:hint="eastAsia" w:ascii="仿宋_GB2312" w:eastAsia="仿宋_GB2312"/>
          <w:sz w:val="28"/>
          <w:szCs w:val="28"/>
        </w:rPr>
        <w:t>元，</w:t>
      </w:r>
      <w:r>
        <w:rPr>
          <w:rFonts w:ascii="仿宋_GB2312" w:eastAsia="仿宋_GB2312"/>
          <w:sz w:val="28"/>
          <w:szCs w:val="28"/>
          <w:highlight w:val="none"/>
        </w:rPr>
        <w:t>比上年</w:t>
      </w:r>
      <w:r>
        <w:rPr>
          <w:rFonts w:hint="eastAsia" w:ascii="仿宋_GB2312" w:eastAsia="仿宋_GB2312"/>
          <w:sz w:val="28"/>
          <w:szCs w:val="28"/>
          <w:highlight w:val="none"/>
        </w:rPr>
        <w:t>减少</w:t>
      </w:r>
      <w:r>
        <w:rPr>
          <w:rFonts w:hint="eastAsia" w:ascii="仿宋_GB2312" w:eastAsia="仿宋_GB2312"/>
          <w:sz w:val="28"/>
          <w:szCs w:val="28"/>
          <w:highlight w:val="none"/>
          <w:lang w:val="en-US" w:eastAsia="zh-CN"/>
        </w:rPr>
        <w:t>70,390,539.77</w:t>
      </w:r>
      <w:r>
        <w:rPr>
          <w:rFonts w:hint="eastAsia" w:ascii="仿宋_GB2312" w:eastAsia="仿宋_GB2312"/>
          <w:sz w:val="28"/>
          <w:szCs w:val="28"/>
          <w:highlight w:val="none"/>
        </w:rPr>
        <w:t>元，下降</w:t>
      </w:r>
      <w:r>
        <w:rPr>
          <w:rFonts w:hint="eastAsia" w:ascii="仿宋_GB2312" w:eastAsia="仿宋_GB2312"/>
          <w:sz w:val="28"/>
          <w:szCs w:val="28"/>
          <w:highlight w:val="none"/>
          <w:lang w:val="en-US" w:eastAsia="zh-CN"/>
        </w:rPr>
        <w:t>30.6</w:t>
      </w:r>
      <w:r>
        <w:rPr>
          <w:rFonts w:hint="eastAsia" w:ascii="仿宋_GB2312" w:eastAsia="仿宋_GB2312"/>
          <w:sz w:val="28"/>
          <w:szCs w:val="28"/>
          <w:highlight w:val="none"/>
        </w:rPr>
        <w:t>%</w:t>
      </w:r>
      <w:r>
        <w:rPr>
          <w:rFonts w:hint="eastAsia" w:ascii="仿宋_GB2312" w:eastAsia="仿宋_GB2312"/>
          <w:sz w:val="28"/>
          <w:szCs w:val="28"/>
        </w:rPr>
        <w:t>，其中：基本支出</w:t>
      </w:r>
      <w:r>
        <w:rPr>
          <w:rFonts w:ascii="仿宋_GB2312" w:eastAsia="仿宋_GB2312"/>
          <w:sz w:val="28"/>
          <w:szCs w:val="28"/>
        </w:rPr>
        <w:t>25</w:t>
      </w:r>
      <w:r>
        <w:rPr>
          <w:rFonts w:hint="eastAsia" w:ascii="仿宋_GB2312" w:eastAsia="仿宋_GB2312"/>
          <w:sz w:val="28"/>
          <w:szCs w:val="28"/>
          <w:lang w:val="en-US" w:eastAsia="zh-CN"/>
        </w:rPr>
        <w:t>,</w:t>
      </w:r>
      <w:r>
        <w:rPr>
          <w:rFonts w:ascii="仿宋_GB2312" w:eastAsia="仿宋_GB2312"/>
          <w:sz w:val="28"/>
          <w:szCs w:val="28"/>
        </w:rPr>
        <w:t>092</w:t>
      </w:r>
      <w:r>
        <w:rPr>
          <w:rFonts w:hint="eastAsia" w:ascii="仿宋_GB2312" w:eastAsia="仿宋_GB2312"/>
          <w:sz w:val="28"/>
          <w:szCs w:val="28"/>
          <w:lang w:val="en-US" w:eastAsia="zh-CN"/>
        </w:rPr>
        <w:t>,</w:t>
      </w:r>
      <w:r>
        <w:rPr>
          <w:rFonts w:ascii="仿宋_GB2312" w:eastAsia="仿宋_GB2312"/>
          <w:sz w:val="28"/>
          <w:szCs w:val="28"/>
        </w:rPr>
        <w:t>707.63</w:t>
      </w:r>
      <w:r>
        <w:rPr>
          <w:rFonts w:hint="eastAsia" w:ascii="仿宋_GB2312" w:eastAsia="仿宋_GB2312"/>
          <w:sz w:val="28"/>
          <w:szCs w:val="28"/>
        </w:rPr>
        <w:t>元，占支出合计的15.7%；项目支出</w:t>
      </w:r>
      <w:r>
        <w:rPr>
          <w:rFonts w:ascii="仿宋_GB2312" w:eastAsia="仿宋_GB2312"/>
          <w:sz w:val="28"/>
          <w:szCs w:val="28"/>
        </w:rPr>
        <w:t>134</w:t>
      </w:r>
      <w:r>
        <w:rPr>
          <w:rFonts w:hint="eastAsia" w:ascii="仿宋_GB2312" w:eastAsia="仿宋_GB2312"/>
          <w:sz w:val="28"/>
          <w:szCs w:val="28"/>
          <w:lang w:val="en-US" w:eastAsia="zh-CN"/>
        </w:rPr>
        <w:t>,</w:t>
      </w:r>
      <w:r>
        <w:rPr>
          <w:rFonts w:ascii="仿宋_GB2312" w:eastAsia="仿宋_GB2312"/>
          <w:sz w:val="28"/>
          <w:szCs w:val="28"/>
        </w:rPr>
        <w:t>668</w:t>
      </w:r>
      <w:r>
        <w:rPr>
          <w:rFonts w:hint="eastAsia" w:ascii="仿宋_GB2312" w:eastAsia="仿宋_GB2312"/>
          <w:sz w:val="28"/>
          <w:szCs w:val="28"/>
          <w:lang w:val="en-US" w:eastAsia="zh-CN"/>
        </w:rPr>
        <w:t>,</w:t>
      </w:r>
      <w:r>
        <w:rPr>
          <w:rFonts w:ascii="仿宋_GB2312" w:eastAsia="仿宋_GB2312"/>
          <w:sz w:val="28"/>
          <w:szCs w:val="28"/>
        </w:rPr>
        <w:t>309.11</w:t>
      </w:r>
      <w:r>
        <w:rPr>
          <w:rFonts w:hint="eastAsia" w:ascii="仿宋_GB2312" w:eastAsia="仿宋_GB2312"/>
          <w:sz w:val="28"/>
          <w:szCs w:val="28"/>
        </w:rPr>
        <w:t>元，占支出合计的84.</w:t>
      </w:r>
      <w:r>
        <w:rPr>
          <w:rFonts w:hint="eastAsia" w:ascii="仿宋_GB2312" w:eastAsia="仿宋_GB2312"/>
          <w:sz w:val="28"/>
          <w:szCs w:val="28"/>
          <w:lang w:val="en-US" w:eastAsia="zh-CN"/>
        </w:rPr>
        <w:t>3</w:t>
      </w:r>
      <w:r>
        <w:rPr>
          <w:rFonts w:hint="eastAsia" w:ascii="仿宋_GB2312" w:eastAsia="仿宋_GB2312"/>
          <w:sz w:val="28"/>
          <w:szCs w:val="28"/>
        </w:rPr>
        <w:t>%;上缴上级支出</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元，占支出合计的0</w:t>
      </w:r>
      <w:r>
        <w:rPr>
          <w:rFonts w:hint="eastAsia" w:ascii="仿宋_GB2312" w:eastAsia="仿宋_GB2312"/>
          <w:sz w:val="28"/>
          <w:szCs w:val="28"/>
          <w:lang w:val="en-US" w:eastAsia="zh-CN"/>
        </w:rPr>
        <w:t>.0</w:t>
      </w:r>
      <w:r>
        <w:rPr>
          <w:rFonts w:hint="eastAsia" w:ascii="仿宋_GB2312" w:eastAsia="仿宋_GB2312"/>
          <w:sz w:val="28"/>
          <w:szCs w:val="28"/>
        </w:rPr>
        <w:t>%；经营支出</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元，占支出合计的0</w:t>
      </w:r>
      <w:r>
        <w:rPr>
          <w:rFonts w:hint="eastAsia" w:ascii="仿宋_GB2312" w:eastAsia="仿宋_GB2312"/>
          <w:sz w:val="28"/>
          <w:szCs w:val="28"/>
          <w:lang w:val="en-US" w:eastAsia="zh-CN"/>
        </w:rPr>
        <w:t>.0</w:t>
      </w:r>
      <w:r>
        <w:rPr>
          <w:rFonts w:hint="eastAsia" w:ascii="仿宋_GB2312" w:eastAsia="仿宋_GB2312"/>
          <w:sz w:val="28"/>
          <w:szCs w:val="28"/>
        </w:rPr>
        <w:t>%；对附属单位补助支出</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元，占支出合计的0</w:t>
      </w:r>
      <w:r>
        <w:rPr>
          <w:rFonts w:hint="eastAsia" w:ascii="仿宋_GB2312" w:eastAsia="仿宋_GB2312"/>
          <w:sz w:val="28"/>
          <w:szCs w:val="28"/>
          <w:lang w:val="en-US" w:eastAsia="zh-CN"/>
        </w:rPr>
        <w:t>.0</w:t>
      </w:r>
      <w:r>
        <w:rPr>
          <w:rFonts w:hint="eastAsia" w:ascii="仿宋_GB2312" w:eastAsia="仿宋_GB2312"/>
          <w:sz w:val="28"/>
          <w:szCs w:val="28"/>
        </w:rPr>
        <w:t>%。</w:t>
      </w:r>
    </w:p>
    <w:p>
      <w:pPr>
        <w:pStyle w:val="2"/>
        <w:ind w:firstLine="5772" w:firstLineChars="1804"/>
        <w:rPr>
          <w:rFonts w:ascii="仿宋_GB2312" w:eastAsia="仿宋_GB2312"/>
          <w:color w:val="000000"/>
          <w:sz w:val="32"/>
        </w:rPr>
      </w:pPr>
      <w:r>
        <w:rPr>
          <w:rFonts w:hint="eastAsia" w:ascii="仿宋_GB2312" w:eastAsia="仿宋_GB2312"/>
          <w:color w:val="000000"/>
          <w:sz w:val="32"/>
        </w:rPr>
        <w:t>图2：支出决算</w:t>
      </w:r>
    </w:p>
    <w:p>
      <w:pPr>
        <w:jc w:val="center"/>
        <w:rPr>
          <w:rFonts w:ascii="黑体" w:eastAsia="黑体"/>
          <w:b/>
          <w:sz w:val="28"/>
          <w:szCs w:val="28"/>
        </w:rPr>
      </w:pPr>
      <w:r>
        <w:drawing>
          <wp:inline distT="0" distB="0" distL="114300" distR="114300">
            <wp:extent cx="4572000" cy="2743200"/>
            <wp:effectExtent l="4445" t="4445" r="14605" b="14605"/>
            <wp:docPr id="1" name="图表 3" title="{{pieChart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tabs>
          <w:tab w:val="center" w:pos="6979"/>
        </w:tabs>
        <w:spacing w:line="580" w:lineRule="exact"/>
        <w:ind w:firstLine="548" w:firstLineChars="196"/>
        <w:rPr>
          <w:rFonts w:ascii="黑体" w:eastAsia="黑体"/>
          <w:b/>
          <w:sz w:val="28"/>
          <w:szCs w:val="28"/>
        </w:rPr>
      </w:pPr>
      <w:r>
        <w:rPr>
          <w:rFonts w:hint="eastAsia" w:ascii="黑体" w:eastAsia="黑体"/>
          <w:b/>
          <w:sz w:val="28"/>
          <w:szCs w:val="28"/>
        </w:rPr>
        <w:t>三</w:t>
      </w:r>
      <w:r>
        <w:rPr>
          <w:rFonts w:ascii="黑体" w:eastAsia="黑体"/>
          <w:b/>
          <w:sz w:val="28"/>
          <w:szCs w:val="28"/>
        </w:rPr>
        <w:t>、财政拨款</w:t>
      </w:r>
      <w:r>
        <w:rPr>
          <w:rFonts w:hint="eastAsia" w:ascii="黑体" w:eastAsia="黑体"/>
          <w:b/>
          <w:sz w:val="28"/>
          <w:szCs w:val="28"/>
        </w:rPr>
        <w:t>收入支出决算</w:t>
      </w:r>
      <w:r>
        <w:rPr>
          <w:rFonts w:ascii="黑体" w:eastAsia="黑体"/>
          <w:b/>
          <w:sz w:val="28"/>
          <w:szCs w:val="28"/>
        </w:rPr>
        <w:t>总体情况说明</w:t>
      </w:r>
    </w:p>
    <w:p>
      <w:pPr>
        <w:tabs>
          <w:tab w:val="center" w:pos="6979"/>
        </w:tabs>
        <w:spacing w:line="580" w:lineRule="exact"/>
        <w:ind w:firstLine="570"/>
        <w:rPr>
          <w:rFonts w:ascii="仿宋_GB2312" w:eastAsia="仿宋_GB2312"/>
          <w:sz w:val="28"/>
          <w:szCs w:val="28"/>
        </w:rPr>
      </w:pPr>
      <w:r>
        <w:rPr>
          <w:rFonts w:hint="eastAsia" w:ascii="仿宋_GB2312" w:eastAsia="仿宋_GB2312"/>
          <w:sz w:val="28"/>
          <w:szCs w:val="28"/>
        </w:rPr>
        <w:t>2025年度财政拨款收、</w:t>
      </w:r>
      <w:r>
        <w:rPr>
          <w:rFonts w:ascii="仿宋_GB2312" w:eastAsia="仿宋_GB2312"/>
          <w:sz w:val="28"/>
          <w:szCs w:val="28"/>
        </w:rPr>
        <w:t>支</w:t>
      </w:r>
      <w:r>
        <w:rPr>
          <w:rFonts w:hint="eastAsia" w:ascii="仿宋_GB2312" w:eastAsia="仿宋_GB2312"/>
          <w:sz w:val="28"/>
          <w:szCs w:val="28"/>
        </w:rPr>
        <w:t>总计</w:t>
      </w:r>
      <w:r>
        <w:rPr>
          <w:rFonts w:ascii="仿宋_GB2312" w:eastAsia="仿宋_GB2312"/>
          <w:sz w:val="28"/>
          <w:szCs w:val="28"/>
        </w:rPr>
        <w:t>159</w:t>
      </w:r>
      <w:r>
        <w:rPr>
          <w:rFonts w:hint="eastAsia" w:ascii="仿宋_GB2312" w:eastAsia="仿宋_GB2312"/>
          <w:sz w:val="28"/>
          <w:szCs w:val="28"/>
          <w:lang w:val="en-US" w:eastAsia="zh-CN"/>
        </w:rPr>
        <w:t>,</w:t>
      </w:r>
      <w:r>
        <w:rPr>
          <w:rFonts w:ascii="仿宋_GB2312" w:eastAsia="仿宋_GB2312"/>
          <w:sz w:val="28"/>
          <w:szCs w:val="28"/>
        </w:rPr>
        <w:t>761</w:t>
      </w:r>
      <w:r>
        <w:rPr>
          <w:rFonts w:hint="eastAsia" w:ascii="仿宋_GB2312" w:eastAsia="仿宋_GB2312"/>
          <w:sz w:val="28"/>
          <w:szCs w:val="28"/>
          <w:lang w:val="en-US" w:eastAsia="zh-CN"/>
        </w:rPr>
        <w:t>,</w:t>
      </w:r>
      <w:r>
        <w:rPr>
          <w:rFonts w:ascii="仿宋_GB2312" w:eastAsia="仿宋_GB2312"/>
          <w:sz w:val="28"/>
          <w:szCs w:val="28"/>
        </w:rPr>
        <w:t>016.74</w:t>
      </w:r>
      <w:r>
        <w:rPr>
          <w:rFonts w:hint="eastAsia" w:ascii="仿宋_GB2312" w:eastAsia="仿宋_GB2312"/>
          <w:sz w:val="28"/>
          <w:szCs w:val="28"/>
        </w:rPr>
        <w:t>元，</w:t>
      </w:r>
      <w:r>
        <w:rPr>
          <w:rFonts w:hint="eastAsia" w:ascii="仿宋_GB2312" w:eastAsia="仿宋_GB2312"/>
          <w:sz w:val="28"/>
          <w:szCs w:val="28"/>
          <w:highlight w:val="none"/>
        </w:rPr>
        <w:t>比上年减少</w:t>
      </w:r>
      <w:r>
        <w:rPr>
          <w:rFonts w:hint="eastAsia" w:ascii="仿宋_GB2312" w:eastAsia="仿宋_GB2312"/>
          <w:sz w:val="28"/>
          <w:szCs w:val="28"/>
          <w:highlight w:val="none"/>
          <w:lang w:val="en-US" w:eastAsia="zh-CN"/>
        </w:rPr>
        <w:t>70,390,539.77</w:t>
      </w:r>
      <w:r>
        <w:rPr>
          <w:rFonts w:hint="eastAsia" w:ascii="仿宋_GB2312" w:eastAsia="仿宋_GB2312"/>
          <w:sz w:val="28"/>
          <w:szCs w:val="28"/>
          <w:highlight w:val="none"/>
        </w:rPr>
        <w:t>元，下降</w:t>
      </w:r>
      <w:r>
        <w:rPr>
          <w:rFonts w:hint="eastAsia" w:ascii="仿宋_GB2312" w:eastAsia="仿宋_GB2312"/>
          <w:sz w:val="28"/>
          <w:szCs w:val="28"/>
          <w:highlight w:val="none"/>
          <w:lang w:val="en-US" w:eastAsia="zh-CN"/>
        </w:rPr>
        <w:t>30.6</w:t>
      </w:r>
      <w:r>
        <w:rPr>
          <w:rFonts w:hint="eastAsia" w:ascii="仿宋_GB2312" w:eastAsia="仿宋_GB2312"/>
          <w:sz w:val="28"/>
          <w:szCs w:val="28"/>
          <w:highlight w:val="none"/>
        </w:rPr>
        <w:t>%</w:t>
      </w:r>
      <w:r>
        <w:rPr>
          <w:rFonts w:hint="eastAsia" w:ascii="仿宋_GB2312" w:eastAsia="仿宋_GB2312"/>
          <w:sz w:val="28"/>
          <w:szCs w:val="28"/>
        </w:rPr>
        <w:t>。主要原因：相比上年项目减少。</w:t>
      </w:r>
    </w:p>
    <w:p>
      <w:pPr>
        <w:tabs>
          <w:tab w:val="center" w:pos="6979"/>
        </w:tabs>
        <w:spacing w:line="580" w:lineRule="exact"/>
        <w:ind w:firstLine="548" w:firstLineChars="196"/>
        <w:rPr>
          <w:rFonts w:ascii="黑体" w:eastAsia="黑体"/>
          <w:b/>
          <w:sz w:val="28"/>
          <w:szCs w:val="28"/>
        </w:rPr>
      </w:pPr>
      <w:r>
        <w:rPr>
          <w:rFonts w:hint="eastAsia" w:ascii="黑体" w:eastAsia="黑体"/>
          <w:b/>
          <w:sz w:val="28"/>
          <w:szCs w:val="28"/>
        </w:rPr>
        <w:t>四、一般公共预算财政拨款支出决算情况说明</w:t>
      </w:r>
    </w:p>
    <w:p>
      <w:pPr>
        <w:autoSpaceDE w:val="0"/>
        <w:autoSpaceDN w:val="0"/>
        <w:adjustRightInd w:val="0"/>
        <w:spacing w:line="580" w:lineRule="exact"/>
        <w:ind w:firstLine="560" w:firstLineChars="200"/>
        <w:jc w:val="left"/>
        <w:rPr>
          <w:rFonts w:ascii="仿宋_GB2312" w:eastAsia="仿宋_GB2312"/>
          <w:sz w:val="28"/>
          <w:szCs w:val="28"/>
        </w:rPr>
      </w:pPr>
      <w:r>
        <w:rPr>
          <w:rFonts w:hint="eastAsia" w:ascii="仿宋_GB2312" w:eastAsia="仿宋_GB2312"/>
          <w:sz w:val="28"/>
          <w:szCs w:val="28"/>
        </w:rPr>
        <w:t>（一）一般公共预算财政拨款支出决算总体情况</w:t>
      </w:r>
    </w:p>
    <w:p>
      <w:pPr>
        <w:tabs>
          <w:tab w:val="center" w:pos="6979"/>
        </w:tabs>
        <w:spacing w:line="580" w:lineRule="exact"/>
        <w:ind w:firstLine="560" w:firstLineChars="200"/>
        <w:rPr>
          <w:rFonts w:ascii="仿宋_GB2312" w:eastAsia="仿宋_GB2312"/>
          <w:sz w:val="28"/>
          <w:szCs w:val="28"/>
        </w:rPr>
      </w:pPr>
      <w:r>
        <w:rPr>
          <w:rFonts w:hint="eastAsia" w:ascii="仿宋_GB2312" w:eastAsia="仿宋_GB2312"/>
          <w:sz w:val="28"/>
          <w:szCs w:val="28"/>
        </w:rPr>
        <w:t>2025年度一般公共预算财政拨款支出</w:t>
      </w:r>
      <w:r>
        <w:rPr>
          <w:rFonts w:ascii="仿宋_GB2312" w:eastAsia="仿宋_GB2312"/>
          <w:sz w:val="28"/>
          <w:szCs w:val="28"/>
        </w:rPr>
        <w:t>91</w:t>
      </w:r>
      <w:r>
        <w:rPr>
          <w:rFonts w:hint="eastAsia" w:ascii="仿宋_GB2312" w:eastAsia="仿宋_GB2312"/>
          <w:sz w:val="28"/>
          <w:szCs w:val="28"/>
          <w:lang w:val="en-US" w:eastAsia="zh-CN"/>
        </w:rPr>
        <w:t>,</w:t>
      </w:r>
      <w:r>
        <w:rPr>
          <w:rFonts w:ascii="仿宋_GB2312" w:eastAsia="仿宋_GB2312"/>
          <w:sz w:val="28"/>
          <w:szCs w:val="28"/>
        </w:rPr>
        <w:t>403</w:t>
      </w:r>
      <w:r>
        <w:rPr>
          <w:rFonts w:hint="eastAsia" w:ascii="仿宋_GB2312" w:eastAsia="仿宋_GB2312"/>
          <w:sz w:val="28"/>
          <w:szCs w:val="28"/>
          <w:lang w:val="en-US" w:eastAsia="zh-CN"/>
        </w:rPr>
        <w:t>,</w:t>
      </w:r>
      <w:r>
        <w:rPr>
          <w:rFonts w:ascii="仿宋_GB2312" w:eastAsia="仿宋_GB2312"/>
          <w:sz w:val="28"/>
          <w:szCs w:val="28"/>
        </w:rPr>
        <w:t>365.74</w:t>
      </w:r>
      <w:r>
        <w:rPr>
          <w:rFonts w:hint="eastAsia" w:ascii="仿宋_GB2312" w:eastAsia="仿宋_GB2312"/>
          <w:sz w:val="28"/>
          <w:szCs w:val="28"/>
        </w:rPr>
        <w:t>元，主要用于以下方面（按大类）：社会保障和就业支出</w:t>
      </w:r>
      <w:r>
        <w:rPr>
          <w:rFonts w:hint="eastAsia" w:ascii="仿宋_GB2312" w:eastAsia="仿宋_GB2312"/>
          <w:sz w:val="28"/>
          <w:szCs w:val="28"/>
          <w:lang w:val="en-US" w:eastAsia="zh-CN"/>
        </w:rPr>
        <w:t>232,449.00</w:t>
      </w:r>
      <w:r>
        <w:rPr>
          <w:rFonts w:hint="eastAsia" w:ascii="仿宋_GB2312" w:eastAsia="仿宋_GB2312"/>
          <w:sz w:val="28"/>
          <w:szCs w:val="28"/>
        </w:rPr>
        <w:t>元，占本年财政拨款支出0.1%。城乡社区支出</w:t>
      </w:r>
      <w:r>
        <w:rPr>
          <w:rFonts w:hint="eastAsia" w:ascii="仿宋_GB2312" w:eastAsia="仿宋_GB2312"/>
          <w:sz w:val="28"/>
          <w:szCs w:val="28"/>
          <w:lang w:val="en-US" w:eastAsia="zh-CN"/>
        </w:rPr>
        <w:t>199,675.16</w:t>
      </w:r>
      <w:r>
        <w:rPr>
          <w:rFonts w:hint="eastAsia" w:ascii="仿宋_GB2312" w:eastAsia="仿宋_GB2312"/>
          <w:sz w:val="28"/>
          <w:szCs w:val="28"/>
        </w:rPr>
        <w:t>元，占本年财政拨款支出0.1%。资源勘探工业信息等支出</w:t>
      </w:r>
      <w:r>
        <w:rPr>
          <w:rFonts w:hint="eastAsia" w:ascii="仿宋_GB2312" w:eastAsia="仿宋_GB2312"/>
          <w:sz w:val="28"/>
          <w:szCs w:val="28"/>
          <w:lang w:val="en-US" w:eastAsia="zh-CN"/>
        </w:rPr>
        <w:t>17,400.00</w:t>
      </w:r>
      <w:r>
        <w:rPr>
          <w:rFonts w:hint="eastAsia" w:ascii="仿宋_GB2312" w:eastAsia="仿宋_GB2312"/>
          <w:sz w:val="28"/>
          <w:szCs w:val="28"/>
        </w:rPr>
        <w:t>元，占本年财政拨款支出0.01%。灾害防治及应急管理支出</w:t>
      </w:r>
      <w:r>
        <w:rPr>
          <w:rFonts w:hint="eastAsia" w:ascii="仿宋_GB2312" w:eastAsia="仿宋_GB2312"/>
          <w:sz w:val="28"/>
          <w:szCs w:val="28"/>
          <w:lang w:val="en-US" w:eastAsia="zh-CN"/>
        </w:rPr>
        <w:t>90,953,841.58</w:t>
      </w:r>
      <w:r>
        <w:rPr>
          <w:rFonts w:hint="eastAsia" w:ascii="仿宋_GB2312" w:eastAsia="仿宋_GB2312"/>
          <w:sz w:val="28"/>
          <w:szCs w:val="28"/>
        </w:rPr>
        <w:t>元，占本年财政拨款支出56.9%。</w:t>
      </w:r>
    </w:p>
    <w:p>
      <w:pPr>
        <w:autoSpaceDE w:val="0"/>
        <w:autoSpaceDN w:val="0"/>
        <w:adjustRightInd w:val="0"/>
        <w:spacing w:line="580" w:lineRule="exact"/>
        <w:ind w:firstLine="560" w:firstLineChars="200"/>
        <w:jc w:val="left"/>
        <w:rPr>
          <w:rFonts w:ascii="仿宋_GB2312" w:eastAsia="仿宋_GB2312"/>
          <w:sz w:val="28"/>
          <w:szCs w:val="28"/>
        </w:rPr>
      </w:pPr>
      <w:r>
        <w:rPr>
          <w:rFonts w:hint="eastAsia" w:ascii="仿宋_GB2312" w:eastAsia="仿宋_GB2312"/>
          <w:sz w:val="28"/>
          <w:szCs w:val="28"/>
        </w:rPr>
        <w:t>（二）一般公共预算财政拨款支出决算具体情况</w:t>
      </w:r>
    </w:p>
    <w:p>
      <w:pPr>
        <w:autoSpaceDE w:val="0"/>
        <w:autoSpaceDN w:val="0"/>
        <w:adjustRightInd w:val="0"/>
        <w:spacing w:line="580" w:lineRule="exact"/>
        <w:ind w:firstLine="560" w:firstLineChars="200"/>
        <w:jc w:val="left"/>
        <w:rPr>
          <w:rFonts w:ascii="仿宋_GB2312" w:eastAsia="仿宋_GB2312"/>
          <w:sz w:val="28"/>
          <w:szCs w:val="28"/>
        </w:rPr>
      </w:pPr>
      <w:r>
        <w:rPr>
          <w:rFonts w:hint="eastAsia" w:ascii="仿宋_GB2312" w:eastAsia="仿宋_GB2312"/>
          <w:sz w:val="28"/>
          <w:szCs w:val="28"/>
        </w:rPr>
        <w:t>1、“社会保障和就业支出”（类）2025年度年初预算</w:t>
      </w:r>
      <w:r>
        <w:rPr>
          <w:rFonts w:hint="eastAsia" w:ascii="仿宋_GB2312" w:eastAsia="仿宋_GB2312"/>
          <w:sz w:val="28"/>
          <w:szCs w:val="28"/>
          <w:lang w:val="en-US" w:eastAsia="zh-CN"/>
        </w:rPr>
        <w:t>144,316.00</w:t>
      </w:r>
      <w:r>
        <w:rPr>
          <w:rFonts w:hint="eastAsia" w:ascii="仿宋_GB2312" w:eastAsia="仿宋_GB2312"/>
          <w:sz w:val="28"/>
          <w:szCs w:val="28"/>
        </w:rPr>
        <w:t>元，2025年度决算</w:t>
      </w:r>
      <w:r>
        <w:rPr>
          <w:rFonts w:hint="eastAsia" w:ascii="仿宋_GB2312" w:eastAsia="仿宋_GB2312"/>
          <w:sz w:val="28"/>
          <w:szCs w:val="28"/>
          <w:lang w:val="en-US" w:eastAsia="zh-CN"/>
        </w:rPr>
        <w:t>232,449.00</w:t>
      </w:r>
      <w:r>
        <w:rPr>
          <w:rFonts w:hint="eastAsia" w:ascii="仿宋_GB2312" w:eastAsia="仿宋_GB2312"/>
          <w:sz w:val="28"/>
          <w:szCs w:val="28"/>
        </w:rPr>
        <w:t>元，完成年初预算的161.</w:t>
      </w:r>
      <w:r>
        <w:rPr>
          <w:rFonts w:hint="eastAsia" w:ascii="仿宋_GB2312" w:eastAsia="仿宋_GB2312"/>
          <w:sz w:val="28"/>
          <w:szCs w:val="28"/>
          <w:lang w:val="en-US" w:eastAsia="zh-CN"/>
        </w:rPr>
        <w:t>1</w:t>
      </w:r>
      <w:r>
        <w:rPr>
          <w:rFonts w:hint="eastAsia" w:ascii="仿宋_GB2312" w:eastAsia="仿宋_GB2312"/>
          <w:sz w:val="28"/>
          <w:szCs w:val="28"/>
        </w:rPr>
        <w:t>%。</w:t>
      </w:r>
    </w:p>
    <w:p>
      <w:pPr>
        <w:autoSpaceDE w:val="0"/>
        <w:autoSpaceDN w:val="0"/>
        <w:adjustRightInd w:val="0"/>
        <w:spacing w:line="580" w:lineRule="exact"/>
        <w:jc w:val="left"/>
        <w:rPr>
          <w:rFonts w:ascii="仿宋_GB2312" w:eastAsia="仿宋_GB2312"/>
          <w:sz w:val="28"/>
          <w:szCs w:val="28"/>
        </w:rPr>
      </w:pPr>
      <w:r>
        <w:rPr>
          <w:rFonts w:hint="eastAsia" w:ascii="仿宋_GB2312" w:eastAsia="仿宋_GB2312"/>
          <w:sz w:val="28"/>
          <w:szCs w:val="28"/>
        </w:rPr>
        <w:t>其中：</w:t>
      </w:r>
    </w:p>
    <w:p>
      <w:pPr>
        <w:spacing w:line="580" w:lineRule="exact"/>
        <w:ind w:firstLine="560" w:firstLineChars="200"/>
        <w:rPr>
          <w:rFonts w:ascii="仿宋_GB2312" w:eastAsia="仿宋_GB2312"/>
          <w:sz w:val="28"/>
          <w:szCs w:val="28"/>
        </w:rPr>
      </w:pPr>
      <w:r>
        <w:rPr>
          <w:rFonts w:hint="eastAsia" w:ascii="仿宋_GB2312" w:eastAsia="仿宋_GB2312"/>
          <w:sz w:val="28"/>
          <w:szCs w:val="28"/>
        </w:rPr>
        <w:t>“行政事业单位养老支出”（款）2025年度年初预算</w:t>
      </w:r>
      <w:r>
        <w:rPr>
          <w:rFonts w:hint="eastAsia" w:ascii="仿宋_GB2312" w:eastAsia="仿宋_GB2312"/>
          <w:sz w:val="28"/>
          <w:szCs w:val="28"/>
          <w:lang w:val="en-US" w:eastAsia="zh-CN"/>
        </w:rPr>
        <w:t>144,316.00</w:t>
      </w:r>
      <w:r>
        <w:rPr>
          <w:rFonts w:hint="eastAsia" w:ascii="仿宋_GB2312" w:eastAsia="仿宋_GB2312"/>
          <w:sz w:val="28"/>
          <w:szCs w:val="28"/>
        </w:rPr>
        <w:t>元，2025年度决算</w:t>
      </w:r>
      <w:r>
        <w:rPr>
          <w:rFonts w:hint="eastAsia" w:ascii="仿宋_GB2312" w:eastAsia="仿宋_GB2312"/>
          <w:sz w:val="28"/>
          <w:szCs w:val="28"/>
          <w:lang w:val="en-US" w:eastAsia="zh-CN"/>
        </w:rPr>
        <w:t>232,449.00</w:t>
      </w:r>
      <w:r>
        <w:rPr>
          <w:rFonts w:hint="eastAsia" w:ascii="仿宋_GB2312" w:eastAsia="仿宋_GB2312"/>
          <w:sz w:val="28"/>
          <w:szCs w:val="28"/>
        </w:rPr>
        <w:t>元，完成年初预算的</w:t>
      </w:r>
      <w:r>
        <w:rPr>
          <w:rFonts w:hint="eastAsia" w:ascii="仿宋_GB2312" w:eastAsia="仿宋_GB2312"/>
          <w:sz w:val="28"/>
          <w:szCs w:val="28"/>
          <w:lang w:val="en-US" w:eastAsia="zh-CN"/>
        </w:rPr>
        <w:t>161.1</w:t>
      </w:r>
      <w:r>
        <w:rPr>
          <w:rFonts w:hint="eastAsia" w:ascii="仿宋_GB2312" w:eastAsia="仿宋_GB2312"/>
          <w:sz w:val="28"/>
          <w:szCs w:val="28"/>
        </w:rPr>
        <w:t>%。主要原因：补发退休人员工资。</w:t>
      </w:r>
    </w:p>
    <w:p>
      <w:pPr>
        <w:spacing w:line="580" w:lineRule="exact"/>
        <w:ind w:firstLine="560" w:firstLineChars="200"/>
        <w:rPr>
          <w:rFonts w:ascii="仿宋_GB2312" w:eastAsia="仿宋_GB2312"/>
          <w:sz w:val="28"/>
          <w:szCs w:val="28"/>
        </w:rPr>
      </w:pPr>
      <w:r>
        <w:rPr>
          <w:rFonts w:hint="eastAsia" w:ascii="仿宋_GB2312" w:eastAsia="仿宋_GB2312"/>
          <w:sz w:val="28"/>
          <w:szCs w:val="28"/>
        </w:rPr>
        <w:t>2、“城乡社区支出”(类)2025年度年初预算0</w:t>
      </w:r>
      <w:r>
        <w:rPr>
          <w:rFonts w:hint="eastAsia" w:ascii="仿宋_GB2312" w:eastAsia="仿宋_GB2312"/>
          <w:sz w:val="28"/>
          <w:szCs w:val="28"/>
          <w:lang w:val="en-US" w:eastAsia="zh-CN"/>
        </w:rPr>
        <w:t>.00</w:t>
      </w:r>
      <w:r>
        <w:rPr>
          <w:rFonts w:hint="eastAsia" w:ascii="仿宋_GB2312" w:eastAsia="仿宋_GB2312"/>
          <w:sz w:val="28"/>
          <w:szCs w:val="28"/>
        </w:rPr>
        <w:t>元，2025年度决算</w:t>
      </w:r>
      <w:r>
        <w:rPr>
          <w:rFonts w:hint="eastAsia" w:ascii="仿宋_GB2312" w:eastAsia="仿宋_GB2312"/>
          <w:sz w:val="28"/>
          <w:szCs w:val="28"/>
          <w:lang w:val="en-US" w:eastAsia="zh-CN"/>
        </w:rPr>
        <w:t>199,675.16</w:t>
      </w:r>
      <w:r>
        <w:rPr>
          <w:rFonts w:hint="eastAsia" w:ascii="仿宋_GB2312" w:eastAsia="仿宋_GB2312"/>
          <w:sz w:val="28"/>
          <w:szCs w:val="28"/>
        </w:rPr>
        <w:t>元，完成年初预算的100</w:t>
      </w:r>
      <w:r>
        <w:rPr>
          <w:rFonts w:hint="eastAsia" w:ascii="仿宋_GB2312" w:eastAsia="仿宋_GB2312"/>
          <w:sz w:val="28"/>
          <w:szCs w:val="28"/>
          <w:lang w:val="en-US" w:eastAsia="zh-CN"/>
        </w:rPr>
        <w:t>.0</w:t>
      </w:r>
      <w:r>
        <w:rPr>
          <w:rFonts w:hint="eastAsia" w:ascii="仿宋_GB2312" w:eastAsia="仿宋_GB2312"/>
          <w:sz w:val="28"/>
          <w:szCs w:val="28"/>
        </w:rPr>
        <w:t>%。其中：</w:t>
      </w:r>
    </w:p>
    <w:p>
      <w:pPr>
        <w:spacing w:line="580" w:lineRule="exact"/>
        <w:ind w:firstLine="560" w:firstLineChars="200"/>
        <w:rPr>
          <w:rFonts w:hint="eastAsia" w:ascii="仿宋_GB2312" w:eastAsia="仿宋_GB2312"/>
          <w:sz w:val="28"/>
          <w:szCs w:val="28"/>
        </w:rPr>
      </w:pPr>
      <w:r>
        <w:rPr>
          <w:rFonts w:hint="eastAsia" w:ascii="仿宋_GB2312" w:eastAsia="仿宋_GB2312"/>
          <w:sz w:val="28"/>
          <w:szCs w:val="28"/>
        </w:rPr>
        <w:t>“城乡社区公共设施”（款）2025年度年初预算0</w:t>
      </w:r>
      <w:r>
        <w:rPr>
          <w:rFonts w:hint="eastAsia" w:ascii="仿宋_GB2312" w:eastAsia="仿宋_GB2312"/>
          <w:sz w:val="28"/>
          <w:szCs w:val="28"/>
          <w:lang w:val="en-US" w:eastAsia="zh-CN"/>
        </w:rPr>
        <w:t>.00</w:t>
      </w:r>
      <w:r>
        <w:rPr>
          <w:rFonts w:hint="eastAsia" w:ascii="仿宋_GB2312" w:eastAsia="仿宋_GB2312"/>
          <w:sz w:val="28"/>
          <w:szCs w:val="28"/>
        </w:rPr>
        <w:t>元，2025年度决算</w:t>
      </w:r>
      <w:r>
        <w:rPr>
          <w:rFonts w:hint="eastAsia" w:ascii="仿宋_GB2312" w:eastAsia="仿宋_GB2312"/>
          <w:sz w:val="28"/>
          <w:szCs w:val="28"/>
          <w:lang w:val="en-US" w:eastAsia="zh-CN"/>
        </w:rPr>
        <w:t>199,675.16</w:t>
      </w:r>
      <w:r>
        <w:rPr>
          <w:rFonts w:hint="eastAsia" w:ascii="仿宋_GB2312" w:eastAsia="仿宋_GB2312"/>
          <w:sz w:val="28"/>
          <w:szCs w:val="28"/>
        </w:rPr>
        <w:t>元，完成年初预算的100</w:t>
      </w:r>
      <w:r>
        <w:rPr>
          <w:rFonts w:hint="eastAsia" w:ascii="仿宋_GB2312" w:eastAsia="仿宋_GB2312"/>
          <w:sz w:val="28"/>
          <w:szCs w:val="28"/>
          <w:lang w:val="en-US" w:eastAsia="zh-CN"/>
        </w:rPr>
        <w:t>.0</w:t>
      </w:r>
      <w:r>
        <w:rPr>
          <w:rFonts w:hint="eastAsia" w:ascii="仿宋_GB2312" w:eastAsia="仿宋_GB2312"/>
          <w:sz w:val="28"/>
          <w:szCs w:val="28"/>
        </w:rPr>
        <w:t>%。主要原因：年中追加项目款。</w:t>
      </w:r>
    </w:p>
    <w:p>
      <w:pPr>
        <w:spacing w:line="580" w:lineRule="exact"/>
        <w:ind w:firstLine="560" w:firstLineChars="200"/>
        <w:rPr>
          <w:rFonts w:ascii="仿宋_GB2312" w:eastAsia="仿宋_GB2312"/>
          <w:sz w:val="28"/>
          <w:szCs w:val="28"/>
        </w:rPr>
      </w:pPr>
      <w:r>
        <w:rPr>
          <w:rFonts w:hint="eastAsia" w:ascii="仿宋_GB2312" w:eastAsia="仿宋_GB2312"/>
          <w:sz w:val="28"/>
          <w:szCs w:val="28"/>
        </w:rPr>
        <w:t>3、“</w:t>
      </w:r>
      <w:r>
        <w:rPr>
          <w:rFonts w:hint="eastAsia" w:ascii="仿宋_GB2312" w:eastAsia="仿宋_GB2312"/>
          <w:sz w:val="28"/>
          <w:szCs w:val="28"/>
          <w:lang w:val="en-US" w:eastAsia="zh-CN"/>
        </w:rPr>
        <w:t>资源勘探工业信息等支出</w:t>
      </w:r>
      <w:r>
        <w:rPr>
          <w:rFonts w:hint="eastAsia" w:ascii="仿宋_GB2312" w:eastAsia="仿宋_GB2312"/>
          <w:sz w:val="28"/>
          <w:szCs w:val="28"/>
        </w:rPr>
        <w:t>”(类)2025年度年初预算0</w:t>
      </w:r>
      <w:r>
        <w:rPr>
          <w:rFonts w:hint="eastAsia" w:ascii="仿宋_GB2312" w:eastAsia="仿宋_GB2312"/>
          <w:sz w:val="28"/>
          <w:szCs w:val="28"/>
          <w:lang w:val="en-US" w:eastAsia="zh-CN"/>
        </w:rPr>
        <w:t>.00</w:t>
      </w:r>
      <w:r>
        <w:rPr>
          <w:rFonts w:hint="eastAsia" w:ascii="仿宋_GB2312" w:eastAsia="仿宋_GB2312"/>
          <w:sz w:val="28"/>
          <w:szCs w:val="28"/>
        </w:rPr>
        <w:t>元，2025年度决算</w:t>
      </w:r>
      <w:r>
        <w:rPr>
          <w:rFonts w:hint="eastAsia" w:ascii="仿宋_GB2312" w:eastAsia="仿宋_GB2312"/>
          <w:sz w:val="28"/>
          <w:szCs w:val="28"/>
          <w:lang w:val="en-US" w:eastAsia="zh-CN"/>
        </w:rPr>
        <w:t>17,400.00</w:t>
      </w:r>
      <w:r>
        <w:rPr>
          <w:rFonts w:hint="eastAsia" w:ascii="仿宋_GB2312" w:eastAsia="仿宋_GB2312"/>
          <w:sz w:val="28"/>
          <w:szCs w:val="28"/>
        </w:rPr>
        <w:t>元，完成年初预算的100</w:t>
      </w:r>
      <w:r>
        <w:rPr>
          <w:rFonts w:hint="eastAsia" w:ascii="仿宋_GB2312" w:eastAsia="仿宋_GB2312"/>
          <w:sz w:val="28"/>
          <w:szCs w:val="28"/>
          <w:lang w:val="en-US" w:eastAsia="zh-CN"/>
        </w:rPr>
        <w:t>.0</w:t>
      </w:r>
      <w:r>
        <w:rPr>
          <w:rFonts w:hint="eastAsia" w:ascii="仿宋_GB2312" w:eastAsia="仿宋_GB2312"/>
          <w:sz w:val="28"/>
          <w:szCs w:val="28"/>
        </w:rPr>
        <w:t>%。其中：</w:t>
      </w:r>
    </w:p>
    <w:p>
      <w:pPr>
        <w:spacing w:line="580" w:lineRule="exact"/>
        <w:ind w:firstLine="560" w:firstLineChars="200"/>
        <w:rPr>
          <w:rFonts w:ascii="仿宋_GB2312" w:eastAsia="仿宋_GB2312"/>
          <w:sz w:val="28"/>
          <w:szCs w:val="28"/>
        </w:rPr>
      </w:pPr>
      <w:r>
        <w:rPr>
          <w:rFonts w:hint="eastAsia" w:ascii="仿宋_GB2312" w:eastAsia="仿宋_GB2312"/>
          <w:sz w:val="28"/>
          <w:szCs w:val="28"/>
        </w:rPr>
        <w:t>“制造业”（款）2025年度年初预算0</w:t>
      </w:r>
      <w:r>
        <w:rPr>
          <w:rFonts w:hint="eastAsia" w:ascii="仿宋_GB2312" w:eastAsia="仿宋_GB2312"/>
          <w:sz w:val="28"/>
          <w:szCs w:val="28"/>
          <w:lang w:val="en-US" w:eastAsia="zh-CN"/>
        </w:rPr>
        <w:t>.00</w:t>
      </w:r>
      <w:r>
        <w:rPr>
          <w:rFonts w:hint="eastAsia" w:ascii="仿宋_GB2312" w:eastAsia="仿宋_GB2312"/>
          <w:sz w:val="28"/>
          <w:szCs w:val="28"/>
        </w:rPr>
        <w:t>元，2025年度决算</w:t>
      </w:r>
      <w:r>
        <w:rPr>
          <w:rFonts w:hint="eastAsia" w:ascii="仿宋_GB2312" w:eastAsia="仿宋_GB2312"/>
          <w:sz w:val="28"/>
          <w:szCs w:val="28"/>
          <w:lang w:val="en-US" w:eastAsia="zh-CN"/>
        </w:rPr>
        <w:t>17,400.00</w:t>
      </w:r>
      <w:r>
        <w:rPr>
          <w:rFonts w:hint="eastAsia" w:ascii="仿宋_GB2312" w:eastAsia="仿宋_GB2312"/>
          <w:sz w:val="28"/>
          <w:szCs w:val="28"/>
        </w:rPr>
        <w:t>元，完成年初预算的100</w:t>
      </w:r>
      <w:r>
        <w:rPr>
          <w:rFonts w:hint="eastAsia" w:ascii="仿宋_GB2312" w:eastAsia="仿宋_GB2312"/>
          <w:sz w:val="28"/>
          <w:szCs w:val="28"/>
          <w:lang w:val="en-US" w:eastAsia="zh-CN"/>
        </w:rPr>
        <w:t>.0</w:t>
      </w:r>
      <w:r>
        <w:rPr>
          <w:rFonts w:hint="eastAsia" w:ascii="仿宋_GB2312" w:eastAsia="仿宋_GB2312"/>
          <w:sz w:val="28"/>
          <w:szCs w:val="28"/>
        </w:rPr>
        <w:t>%。主要原因：年中追加项目款。</w:t>
      </w:r>
    </w:p>
    <w:p>
      <w:pPr>
        <w:spacing w:line="580" w:lineRule="exact"/>
        <w:ind w:firstLine="560" w:firstLineChars="200"/>
        <w:rPr>
          <w:rFonts w:ascii="仿宋_GB2312" w:eastAsia="仿宋_GB2312"/>
          <w:sz w:val="28"/>
          <w:szCs w:val="28"/>
        </w:rPr>
      </w:pPr>
      <w:r>
        <w:rPr>
          <w:rFonts w:hint="eastAsia" w:ascii="仿宋_GB2312" w:eastAsia="仿宋_GB2312"/>
          <w:sz w:val="28"/>
          <w:szCs w:val="28"/>
        </w:rPr>
        <w:t>4、“灾害防治及应急管理支出”(类)2025年度年初预算</w:t>
      </w:r>
      <w:r>
        <w:rPr>
          <w:rFonts w:hint="eastAsia" w:ascii="仿宋_GB2312" w:eastAsia="仿宋_GB2312"/>
          <w:sz w:val="28"/>
          <w:szCs w:val="28"/>
          <w:lang w:val="en-US" w:eastAsia="zh-CN"/>
        </w:rPr>
        <w:t>49,564,348.53</w:t>
      </w:r>
      <w:r>
        <w:rPr>
          <w:rFonts w:hint="eastAsia" w:ascii="仿宋_GB2312" w:eastAsia="仿宋_GB2312"/>
          <w:sz w:val="28"/>
          <w:szCs w:val="28"/>
        </w:rPr>
        <w:t>元，2025年度决算</w:t>
      </w:r>
      <w:r>
        <w:rPr>
          <w:rFonts w:hint="eastAsia" w:ascii="仿宋_GB2312" w:eastAsia="仿宋_GB2312"/>
          <w:sz w:val="28"/>
          <w:szCs w:val="28"/>
          <w:lang w:val="en-US" w:eastAsia="zh-CN"/>
        </w:rPr>
        <w:t>90,953,841.58</w:t>
      </w:r>
      <w:r>
        <w:rPr>
          <w:rFonts w:hint="eastAsia" w:ascii="仿宋_GB2312" w:eastAsia="仿宋_GB2312"/>
          <w:sz w:val="28"/>
          <w:szCs w:val="28"/>
        </w:rPr>
        <w:t>元，完成年初预算的183.5%。其中：</w:t>
      </w:r>
    </w:p>
    <w:p>
      <w:pPr>
        <w:spacing w:line="580" w:lineRule="exact"/>
        <w:ind w:firstLine="560" w:firstLineChars="200"/>
        <w:rPr>
          <w:rFonts w:ascii="仿宋_GB2312" w:eastAsia="仿宋_GB2312"/>
          <w:sz w:val="28"/>
          <w:szCs w:val="28"/>
        </w:rPr>
      </w:pPr>
      <w:r>
        <w:rPr>
          <w:rFonts w:hint="eastAsia" w:ascii="仿宋_GB2312" w:eastAsia="仿宋_GB2312"/>
          <w:sz w:val="28"/>
          <w:szCs w:val="28"/>
        </w:rPr>
        <w:t>“应急管理事务”（款）2025年度年初预算</w:t>
      </w:r>
      <w:r>
        <w:rPr>
          <w:rFonts w:hint="eastAsia" w:ascii="仿宋_GB2312" w:eastAsia="仿宋_GB2312"/>
          <w:sz w:val="28"/>
          <w:szCs w:val="28"/>
          <w:lang w:val="en-US" w:eastAsia="zh-CN"/>
        </w:rPr>
        <w:t>49,564,348.53</w:t>
      </w:r>
      <w:r>
        <w:rPr>
          <w:rFonts w:hint="eastAsia" w:ascii="仿宋_GB2312" w:eastAsia="仿宋_GB2312"/>
          <w:sz w:val="28"/>
          <w:szCs w:val="28"/>
        </w:rPr>
        <w:t>元，2025年度决算</w:t>
      </w:r>
      <w:r>
        <w:rPr>
          <w:rFonts w:hint="eastAsia" w:ascii="仿宋_GB2312" w:eastAsia="仿宋_GB2312"/>
          <w:sz w:val="28"/>
          <w:szCs w:val="28"/>
          <w:lang w:val="en-US" w:eastAsia="zh-CN"/>
        </w:rPr>
        <w:t>78,918,296.26</w:t>
      </w:r>
      <w:r>
        <w:rPr>
          <w:rFonts w:hint="eastAsia" w:ascii="仿宋_GB2312" w:eastAsia="仿宋_GB2312"/>
          <w:sz w:val="28"/>
          <w:szCs w:val="28"/>
        </w:rPr>
        <w:t>元，完成年初预算的159.2%。主要原因：年中追加项目预算。</w:t>
      </w:r>
    </w:p>
    <w:p>
      <w:pPr>
        <w:spacing w:line="580" w:lineRule="exact"/>
        <w:ind w:firstLine="560" w:firstLineChars="200"/>
        <w:rPr>
          <w:rFonts w:hint="eastAsia" w:ascii="仿宋_GB2312" w:eastAsia="仿宋_GB2312"/>
          <w:sz w:val="28"/>
          <w:szCs w:val="28"/>
        </w:rPr>
      </w:pPr>
      <w:r>
        <w:rPr>
          <w:rFonts w:hint="eastAsia" w:ascii="仿宋_GB2312" w:eastAsia="仿宋_GB2312"/>
          <w:sz w:val="28"/>
          <w:szCs w:val="28"/>
        </w:rPr>
        <w:t>“自然灾害救灾及恢复重建支出”（款）2025年度年初预算0</w:t>
      </w:r>
      <w:r>
        <w:rPr>
          <w:rFonts w:hint="eastAsia" w:ascii="仿宋_GB2312" w:eastAsia="仿宋_GB2312"/>
          <w:sz w:val="28"/>
          <w:szCs w:val="28"/>
          <w:lang w:val="en-US" w:eastAsia="zh-CN"/>
        </w:rPr>
        <w:t>.00</w:t>
      </w:r>
      <w:r>
        <w:rPr>
          <w:rFonts w:hint="eastAsia" w:ascii="仿宋_GB2312" w:eastAsia="仿宋_GB2312"/>
          <w:sz w:val="28"/>
          <w:szCs w:val="28"/>
        </w:rPr>
        <w:t>元，2025年度决算</w:t>
      </w:r>
      <w:r>
        <w:rPr>
          <w:rFonts w:hint="eastAsia" w:ascii="仿宋_GB2312" w:eastAsia="仿宋_GB2312"/>
          <w:sz w:val="28"/>
          <w:szCs w:val="28"/>
          <w:lang w:val="en-US" w:eastAsia="zh-CN"/>
        </w:rPr>
        <w:t>12,035,545.32</w:t>
      </w:r>
      <w:r>
        <w:rPr>
          <w:rFonts w:hint="eastAsia" w:ascii="仿宋_GB2312" w:eastAsia="仿宋_GB2312"/>
          <w:sz w:val="28"/>
          <w:szCs w:val="28"/>
        </w:rPr>
        <w:t>元，完成年初预算的100</w:t>
      </w:r>
      <w:r>
        <w:rPr>
          <w:rFonts w:hint="eastAsia" w:ascii="仿宋_GB2312" w:eastAsia="仿宋_GB2312"/>
          <w:sz w:val="28"/>
          <w:szCs w:val="28"/>
          <w:lang w:val="en-US" w:eastAsia="zh-CN"/>
        </w:rPr>
        <w:t>.0</w:t>
      </w:r>
      <w:r>
        <w:rPr>
          <w:rFonts w:hint="eastAsia" w:ascii="仿宋_GB2312" w:eastAsia="仿宋_GB2312"/>
          <w:sz w:val="28"/>
          <w:szCs w:val="28"/>
        </w:rPr>
        <w:t>%。主要原因：年中追加项目预算。</w:t>
      </w:r>
    </w:p>
    <w:p>
      <w:pPr>
        <w:spacing w:line="580" w:lineRule="exact"/>
        <w:ind w:firstLine="560" w:firstLineChars="200"/>
        <w:rPr>
          <w:rFonts w:ascii="仿宋_GB2312" w:eastAsia="仿宋_GB2312"/>
          <w:sz w:val="28"/>
          <w:szCs w:val="28"/>
        </w:rPr>
      </w:pPr>
      <w:r>
        <w:rPr>
          <w:rFonts w:hint="eastAsia" w:ascii="黑体" w:eastAsia="黑体"/>
          <w:b/>
          <w:sz w:val="28"/>
          <w:szCs w:val="28"/>
        </w:rPr>
        <w:t>五、政府性基金预算财政拨款支出决算情况说明</w:t>
      </w:r>
    </w:p>
    <w:p>
      <w:pPr>
        <w:autoSpaceDE w:val="0"/>
        <w:autoSpaceDN w:val="0"/>
        <w:adjustRightInd w:val="0"/>
        <w:spacing w:line="580" w:lineRule="exact"/>
        <w:ind w:firstLine="560" w:firstLineChars="200"/>
        <w:jc w:val="left"/>
        <w:rPr>
          <w:rFonts w:ascii="仿宋_GB2312" w:eastAsia="仿宋_GB2312"/>
          <w:sz w:val="28"/>
          <w:szCs w:val="28"/>
        </w:rPr>
      </w:pPr>
      <w:r>
        <w:rPr>
          <w:rFonts w:hint="eastAsia" w:ascii="仿宋_GB2312" w:eastAsia="仿宋_GB2312"/>
          <w:sz w:val="28"/>
          <w:szCs w:val="28"/>
        </w:rPr>
        <w:t>（一）政府性基金预算财政拨款支出决算总体情况</w:t>
      </w:r>
    </w:p>
    <w:p>
      <w:pPr>
        <w:tabs>
          <w:tab w:val="center" w:pos="6979"/>
        </w:tabs>
        <w:spacing w:line="580" w:lineRule="exact"/>
        <w:ind w:firstLine="560" w:firstLineChars="200"/>
        <w:rPr>
          <w:rFonts w:ascii="仿宋_GB2312" w:eastAsia="仿宋_GB2312"/>
          <w:sz w:val="28"/>
          <w:szCs w:val="28"/>
        </w:rPr>
      </w:pPr>
      <w:r>
        <w:rPr>
          <w:rFonts w:hint="eastAsia" w:ascii="仿宋_GB2312" w:eastAsia="仿宋_GB2312"/>
          <w:sz w:val="28"/>
          <w:szCs w:val="28"/>
        </w:rPr>
        <w:t>2025年度政府性基金预算财政拨款支出</w:t>
      </w:r>
      <w:r>
        <w:rPr>
          <w:rFonts w:ascii="仿宋_GB2312" w:eastAsia="仿宋_GB2312"/>
          <w:sz w:val="28"/>
          <w:szCs w:val="28"/>
        </w:rPr>
        <w:t>68</w:t>
      </w:r>
      <w:r>
        <w:rPr>
          <w:rFonts w:hint="eastAsia" w:ascii="仿宋_GB2312" w:eastAsia="仿宋_GB2312"/>
          <w:sz w:val="28"/>
          <w:szCs w:val="28"/>
          <w:lang w:val="en-US" w:eastAsia="zh-CN"/>
        </w:rPr>
        <w:t>,</w:t>
      </w:r>
      <w:r>
        <w:rPr>
          <w:rFonts w:ascii="仿宋_GB2312" w:eastAsia="仿宋_GB2312"/>
          <w:sz w:val="28"/>
          <w:szCs w:val="28"/>
        </w:rPr>
        <w:t>357</w:t>
      </w:r>
      <w:r>
        <w:rPr>
          <w:rFonts w:hint="eastAsia" w:ascii="仿宋_GB2312" w:eastAsia="仿宋_GB2312"/>
          <w:sz w:val="28"/>
          <w:szCs w:val="28"/>
          <w:lang w:val="en-US" w:eastAsia="zh-CN"/>
        </w:rPr>
        <w:t>,</w:t>
      </w:r>
      <w:r>
        <w:rPr>
          <w:rFonts w:ascii="仿宋_GB2312" w:eastAsia="仿宋_GB2312"/>
          <w:sz w:val="28"/>
          <w:szCs w:val="28"/>
        </w:rPr>
        <w:t>651</w:t>
      </w:r>
      <w:r>
        <w:rPr>
          <w:rFonts w:hint="eastAsia" w:ascii="仿宋_GB2312" w:eastAsia="仿宋_GB2312"/>
          <w:sz w:val="28"/>
          <w:szCs w:val="28"/>
          <w:lang w:val="en-US" w:eastAsia="zh-CN"/>
        </w:rPr>
        <w:t>.00</w:t>
      </w:r>
      <w:r>
        <w:rPr>
          <w:rFonts w:hint="eastAsia" w:ascii="仿宋_GB2312" w:eastAsia="仿宋_GB2312"/>
          <w:sz w:val="28"/>
          <w:szCs w:val="28"/>
        </w:rPr>
        <w:t>元，主要用于以下方面（按大类）：灾害防治及应急管理支出</w:t>
      </w:r>
      <w:r>
        <w:rPr>
          <w:rFonts w:hint="eastAsia" w:ascii="仿宋_GB2312" w:eastAsia="仿宋_GB2312"/>
          <w:sz w:val="28"/>
          <w:szCs w:val="28"/>
          <w:lang w:val="en-US" w:eastAsia="zh-CN"/>
        </w:rPr>
        <w:t>68,357,651.00</w:t>
      </w:r>
      <w:r>
        <w:rPr>
          <w:rFonts w:hint="eastAsia" w:ascii="仿宋_GB2312" w:eastAsia="仿宋_GB2312"/>
          <w:sz w:val="28"/>
          <w:szCs w:val="28"/>
        </w:rPr>
        <w:t>元，占本年财政拨款支出42.</w:t>
      </w:r>
      <w:r>
        <w:rPr>
          <w:rFonts w:hint="eastAsia" w:ascii="仿宋_GB2312" w:eastAsia="仿宋_GB2312"/>
          <w:sz w:val="28"/>
          <w:szCs w:val="28"/>
          <w:lang w:val="en-US" w:eastAsia="zh-CN"/>
        </w:rPr>
        <w:t>8</w:t>
      </w:r>
      <w:r>
        <w:rPr>
          <w:rFonts w:hint="eastAsia" w:ascii="仿宋_GB2312" w:eastAsia="仿宋_GB2312"/>
          <w:sz w:val="28"/>
          <w:szCs w:val="28"/>
        </w:rPr>
        <w:t>%。</w:t>
      </w:r>
    </w:p>
    <w:p>
      <w:pPr>
        <w:autoSpaceDE w:val="0"/>
        <w:autoSpaceDN w:val="0"/>
        <w:adjustRightInd w:val="0"/>
        <w:spacing w:line="580" w:lineRule="exact"/>
        <w:ind w:firstLine="560" w:firstLineChars="200"/>
        <w:jc w:val="left"/>
        <w:rPr>
          <w:rFonts w:ascii="仿宋_GB2312" w:eastAsia="仿宋_GB2312"/>
          <w:sz w:val="28"/>
          <w:szCs w:val="28"/>
        </w:rPr>
      </w:pPr>
      <w:r>
        <w:rPr>
          <w:rFonts w:hint="eastAsia" w:ascii="仿宋_GB2312" w:eastAsia="仿宋_GB2312"/>
          <w:sz w:val="28"/>
          <w:szCs w:val="28"/>
        </w:rPr>
        <w:t>（二）政府性基金预算财政拨款支出决算具体情况</w:t>
      </w:r>
    </w:p>
    <w:p>
      <w:pPr>
        <w:autoSpaceDE w:val="0"/>
        <w:autoSpaceDN w:val="0"/>
        <w:adjustRightInd w:val="0"/>
        <w:spacing w:line="580" w:lineRule="exact"/>
        <w:ind w:firstLine="700" w:firstLineChars="250"/>
        <w:jc w:val="left"/>
        <w:rPr>
          <w:rFonts w:ascii="仿宋_GB2312" w:eastAsia="仿宋_GB2312"/>
          <w:sz w:val="28"/>
          <w:szCs w:val="28"/>
        </w:rPr>
      </w:pPr>
      <w:r>
        <w:rPr>
          <w:rFonts w:hint="eastAsia" w:ascii="仿宋_GB2312" w:eastAsia="仿宋_GB2312"/>
          <w:sz w:val="28"/>
          <w:szCs w:val="28"/>
        </w:rPr>
        <w:t>1、“灾害防治及应急管理支出”（类）2025年度年初预算0</w:t>
      </w:r>
      <w:r>
        <w:rPr>
          <w:rFonts w:hint="eastAsia" w:ascii="仿宋_GB2312" w:eastAsia="仿宋_GB2312"/>
          <w:sz w:val="28"/>
          <w:szCs w:val="28"/>
          <w:lang w:val="en-US" w:eastAsia="zh-CN"/>
        </w:rPr>
        <w:t>.00</w:t>
      </w:r>
      <w:r>
        <w:rPr>
          <w:rFonts w:hint="eastAsia" w:ascii="仿宋_GB2312" w:eastAsia="仿宋_GB2312"/>
          <w:sz w:val="28"/>
          <w:szCs w:val="28"/>
        </w:rPr>
        <w:t>元，2025年度决算</w:t>
      </w:r>
      <w:r>
        <w:rPr>
          <w:rFonts w:ascii="仿宋_GB2312" w:eastAsia="仿宋_GB2312"/>
          <w:sz w:val="28"/>
          <w:szCs w:val="28"/>
        </w:rPr>
        <w:t>68</w:t>
      </w:r>
      <w:r>
        <w:rPr>
          <w:rFonts w:hint="eastAsia" w:ascii="仿宋_GB2312" w:eastAsia="仿宋_GB2312"/>
          <w:sz w:val="28"/>
          <w:szCs w:val="28"/>
          <w:lang w:val="en-US" w:eastAsia="zh-CN"/>
        </w:rPr>
        <w:t>,</w:t>
      </w:r>
      <w:r>
        <w:rPr>
          <w:rFonts w:ascii="仿宋_GB2312" w:eastAsia="仿宋_GB2312"/>
          <w:sz w:val="28"/>
          <w:szCs w:val="28"/>
        </w:rPr>
        <w:t>357</w:t>
      </w:r>
      <w:r>
        <w:rPr>
          <w:rFonts w:hint="eastAsia" w:ascii="仿宋_GB2312" w:eastAsia="仿宋_GB2312"/>
          <w:sz w:val="28"/>
          <w:szCs w:val="28"/>
          <w:lang w:val="en-US" w:eastAsia="zh-CN"/>
        </w:rPr>
        <w:t>,</w:t>
      </w:r>
      <w:r>
        <w:rPr>
          <w:rFonts w:ascii="仿宋_GB2312" w:eastAsia="仿宋_GB2312"/>
          <w:sz w:val="28"/>
          <w:szCs w:val="28"/>
        </w:rPr>
        <w:t>651</w:t>
      </w:r>
      <w:r>
        <w:rPr>
          <w:rFonts w:hint="eastAsia" w:ascii="仿宋_GB2312" w:eastAsia="仿宋_GB2312"/>
          <w:sz w:val="28"/>
          <w:szCs w:val="28"/>
          <w:lang w:val="en-US" w:eastAsia="zh-CN"/>
        </w:rPr>
        <w:t>.00</w:t>
      </w:r>
      <w:r>
        <w:rPr>
          <w:rFonts w:hint="eastAsia" w:ascii="仿宋_GB2312" w:eastAsia="仿宋_GB2312"/>
          <w:sz w:val="28"/>
          <w:szCs w:val="28"/>
        </w:rPr>
        <w:t>元，完成年初预算的100</w:t>
      </w:r>
      <w:r>
        <w:rPr>
          <w:rFonts w:hint="eastAsia" w:ascii="仿宋_GB2312" w:eastAsia="仿宋_GB2312"/>
          <w:sz w:val="28"/>
          <w:szCs w:val="28"/>
          <w:lang w:val="en-US" w:eastAsia="zh-CN"/>
        </w:rPr>
        <w:t>.0</w:t>
      </w:r>
      <w:r>
        <w:rPr>
          <w:rFonts w:hint="eastAsia" w:ascii="仿宋_GB2312" w:eastAsia="仿宋_GB2312"/>
          <w:sz w:val="28"/>
          <w:szCs w:val="28"/>
        </w:rPr>
        <w:t>%。其中：</w:t>
      </w:r>
    </w:p>
    <w:p>
      <w:pPr>
        <w:spacing w:line="580" w:lineRule="exact"/>
        <w:ind w:firstLine="560" w:firstLineChars="200"/>
        <w:rPr>
          <w:rFonts w:ascii="仿宋_GB2312" w:eastAsia="仿宋_GB2312"/>
          <w:sz w:val="28"/>
          <w:szCs w:val="28"/>
        </w:rPr>
      </w:pPr>
      <w:r>
        <w:rPr>
          <w:rFonts w:hint="eastAsia" w:ascii="仿宋_GB2312" w:eastAsia="仿宋_GB2312"/>
          <w:sz w:val="28"/>
          <w:szCs w:val="28"/>
        </w:rPr>
        <w:t>“超长期特别国债安排的支出”（款）2025年度年初预算0</w:t>
      </w:r>
      <w:r>
        <w:rPr>
          <w:rFonts w:hint="eastAsia" w:ascii="仿宋_GB2312" w:eastAsia="仿宋_GB2312"/>
          <w:sz w:val="28"/>
          <w:szCs w:val="28"/>
          <w:lang w:val="en-US" w:eastAsia="zh-CN"/>
        </w:rPr>
        <w:t>.00</w:t>
      </w:r>
      <w:r>
        <w:rPr>
          <w:rFonts w:hint="eastAsia" w:ascii="仿宋_GB2312" w:eastAsia="仿宋_GB2312"/>
          <w:sz w:val="28"/>
          <w:szCs w:val="28"/>
        </w:rPr>
        <w:t>元，2025年度决算</w:t>
      </w:r>
      <w:r>
        <w:rPr>
          <w:rFonts w:ascii="仿宋_GB2312" w:eastAsia="仿宋_GB2312"/>
          <w:sz w:val="28"/>
          <w:szCs w:val="28"/>
        </w:rPr>
        <w:t>68</w:t>
      </w:r>
      <w:r>
        <w:rPr>
          <w:rFonts w:hint="eastAsia" w:ascii="仿宋_GB2312" w:eastAsia="仿宋_GB2312"/>
          <w:sz w:val="28"/>
          <w:szCs w:val="28"/>
          <w:lang w:val="en-US" w:eastAsia="zh-CN"/>
        </w:rPr>
        <w:t>,</w:t>
      </w:r>
      <w:r>
        <w:rPr>
          <w:rFonts w:ascii="仿宋_GB2312" w:eastAsia="仿宋_GB2312"/>
          <w:sz w:val="28"/>
          <w:szCs w:val="28"/>
        </w:rPr>
        <w:t>357</w:t>
      </w:r>
      <w:r>
        <w:rPr>
          <w:rFonts w:hint="eastAsia" w:ascii="仿宋_GB2312" w:eastAsia="仿宋_GB2312"/>
          <w:sz w:val="28"/>
          <w:szCs w:val="28"/>
          <w:lang w:val="en-US" w:eastAsia="zh-CN"/>
        </w:rPr>
        <w:t>,</w:t>
      </w:r>
      <w:r>
        <w:rPr>
          <w:rFonts w:ascii="仿宋_GB2312" w:eastAsia="仿宋_GB2312"/>
          <w:sz w:val="28"/>
          <w:szCs w:val="28"/>
        </w:rPr>
        <w:t>651</w:t>
      </w:r>
      <w:r>
        <w:rPr>
          <w:rFonts w:hint="eastAsia" w:ascii="仿宋_GB2312" w:eastAsia="仿宋_GB2312"/>
          <w:sz w:val="28"/>
          <w:szCs w:val="28"/>
          <w:lang w:val="en-US" w:eastAsia="zh-CN"/>
        </w:rPr>
        <w:t>.00</w:t>
      </w:r>
      <w:r>
        <w:rPr>
          <w:rFonts w:hint="eastAsia" w:ascii="仿宋_GB2312" w:eastAsia="仿宋_GB2312"/>
          <w:sz w:val="28"/>
          <w:szCs w:val="28"/>
        </w:rPr>
        <w:t>元，完成年初预算的100</w:t>
      </w:r>
      <w:r>
        <w:rPr>
          <w:rFonts w:hint="eastAsia" w:ascii="仿宋_GB2312" w:eastAsia="仿宋_GB2312"/>
          <w:sz w:val="28"/>
          <w:szCs w:val="28"/>
          <w:lang w:val="en-US" w:eastAsia="zh-CN"/>
        </w:rPr>
        <w:t>.0</w:t>
      </w:r>
      <w:r>
        <w:rPr>
          <w:rFonts w:hint="eastAsia" w:ascii="仿宋_GB2312" w:eastAsia="仿宋_GB2312"/>
          <w:sz w:val="28"/>
          <w:szCs w:val="28"/>
        </w:rPr>
        <w:t>%。主要原因：按照防灾减灾工作需要年中追加相关项目款。</w:t>
      </w:r>
    </w:p>
    <w:p>
      <w:pPr>
        <w:spacing w:line="580" w:lineRule="exact"/>
        <w:ind w:firstLine="560" w:firstLineChars="200"/>
        <w:rPr>
          <w:rFonts w:ascii="黑体" w:eastAsia="黑体"/>
          <w:b/>
          <w:sz w:val="28"/>
          <w:szCs w:val="28"/>
        </w:rPr>
      </w:pPr>
      <w:r>
        <w:rPr>
          <w:rFonts w:hint="eastAsia" w:ascii="黑体" w:eastAsia="黑体"/>
          <w:b/>
          <w:sz w:val="28"/>
          <w:szCs w:val="28"/>
        </w:rPr>
        <w:t>六、国有资本经营预算财</w:t>
      </w:r>
      <w:r>
        <w:rPr>
          <w:rFonts w:ascii="黑体" w:eastAsia="黑体"/>
          <w:b/>
          <w:sz w:val="28"/>
          <w:szCs w:val="28"/>
        </w:rPr>
        <w:t>政拨款</w:t>
      </w:r>
      <w:r>
        <w:rPr>
          <w:rFonts w:hint="eastAsia" w:ascii="黑体" w:eastAsia="黑体"/>
          <w:b/>
          <w:sz w:val="28"/>
          <w:szCs w:val="28"/>
        </w:rPr>
        <w:t>收支情况</w:t>
      </w:r>
    </w:p>
    <w:p>
      <w:pPr>
        <w:spacing w:line="580" w:lineRule="exact"/>
        <w:ind w:firstLine="548" w:firstLineChars="196"/>
        <w:rPr>
          <w:rFonts w:hint="eastAsia" w:ascii="仿宋_GB2312" w:eastAsia="仿宋_GB2312"/>
          <w:sz w:val="28"/>
          <w:szCs w:val="28"/>
          <w:lang w:eastAsia="zh-CN"/>
        </w:rPr>
      </w:pPr>
      <w:r>
        <w:rPr>
          <w:rFonts w:hint="eastAsia" w:ascii="仿宋_GB2312" w:eastAsia="仿宋_GB2312"/>
          <w:sz w:val="28"/>
          <w:szCs w:val="28"/>
        </w:rPr>
        <w:t>本单位无</w:t>
      </w:r>
      <w:r>
        <w:rPr>
          <w:rFonts w:ascii="仿宋_GB2312" w:eastAsia="仿宋_GB2312"/>
          <w:sz w:val="28"/>
          <w:szCs w:val="28"/>
        </w:rPr>
        <w:t>此项经费支出</w:t>
      </w:r>
      <w:r>
        <w:rPr>
          <w:rFonts w:hint="eastAsia" w:ascii="仿宋_GB2312" w:eastAsia="仿宋_GB2312"/>
          <w:sz w:val="28"/>
          <w:szCs w:val="28"/>
          <w:lang w:eastAsia="zh-CN"/>
        </w:rPr>
        <w:t>。</w:t>
      </w:r>
    </w:p>
    <w:p>
      <w:pPr>
        <w:spacing w:line="580" w:lineRule="exact"/>
        <w:ind w:firstLine="548" w:firstLineChars="196"/>
        <w:rPr>
          <w:rFonts w:ascii="黑体" w:eastAsia="黑体"/>
          <w:sz w:val="28"/>
          <w:szCs w:val="28"/>
        </w:rPr>
      </w:pPr>
      <w:r>
        <w:rPr>
          <w:rFonts w:hint="eastAsia" w:ascii="黑体" w:eastAsia="黑体"/>
          <w:b/>
          <w:sz w:val="28"/>
          <w:szCs w:val="28"/>
        </w:rPr>
        <w:t>七、财政拨款基本支出决算情况说明</w:t>
      </w:r>
    </w:p>
    <w:p>
      <w:pPr>
        <w:tabs>
          <w:tab w:val="center" w:pos="6979"/>
        </w:tabs>
        <w:spacing w:line="580" w:lineRule="exact"/>
        <w:ind w:firstLine="548" w:firstLineChars="196"/>
        <w:rPr>
          <w:rFonts w:ascii="黑体" w:eastAsia="黑体"/>
          <w:b/>
          <w:sz w:val="28"/>
          <w:szCs w:val="28"/>
        </w:rPr>
      </w:pPr>
      <w:r>
        <w:rPr>
          <w:rFonts w:hint="eastAsia" w:ascii="仿宋_GB2312" w:eastAsia="仿宋_GB2312"/>
          <w:sz w:val="28"/>
          <w:szCs w:val="28"/>
        </w:rPr>
        <w:t>2025年度使用一般公共预算财政拨款安排基本支出</w:t>
      </w:r>
      <w:r>
        <w:rPr>
          <w:rFonts w:ascii="仿宋_GB2312" w:eastAsia="仿宋_GB2312"/>
          <w:sz w:val="28"/>
          <w:szCs w:val="28"/>
        </w:rPr>
        <w:t>25</w:t>
      </w:r>
      <w:r>
        <w:rPr>
          <w:rFonts w:hint="eastAsia" w:ascii="仿宋_GB2312" w:eastAsia="仿宋_GB2312"/>
          <w:sz w:val="28"/>
          <w:szCs w:val="28"/>
          <w:lang w:val="en-US" w:eastAsia="zh-CN"/>
        </w:rPr>
        <w:t>,</w:t>
      </w:r>
      <w:r>
        <w:rPr>
          <w:rFonts w:ascii="仿宋_GB2312" w:eastAsia="仿宋_GB2312"/>
          <w:sz w:val="28"/>
          <w:szCs w:val="28"/>
        </w:rPr>
        <w:t>092</w:t>
      </w:r>
      <w:r>
        <w:rPr>
          <w:rFonts w:hint="eastAsia" w:ascii="仿宋_GB2312" w:eastAsia="仿宋_GB2312"/>
          <w:sz w:val="28"/>
          <w:szCs w:val="28"/>
          <w:lang w:val="en-US" w:eastAsia="zh-CN"/>
        </w:rPr>
        <w:t>,</w:t>
      </w:r>
      <w:r>
        <w:rPr>
          <w:rFonts w:ascii="仿宋_GB2312" w:eastAsia="仿宋_GB2312"/>
          <w:sz w:val="28"/>
          <w:szCs w:val="28"/>
        </w:rPr>
        <w:t>707.63</w:t>
      </w:r>
      <w:r>
        <w:rPr>
          <w:rFonts w:hint="eastAsia" w:ascii="仿宋_GB2312" w:eastAsia="仿宋_GB2312"/>
          <w:sz w:val="28"/>
          <w:szCs w:val="28"/>
        </w:rPr>
        <w:t>元，使用政府性基金财政拨款安排基本支出</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元，（1）工资福利支出包括基本工资</w:t>
      </w:r>
      <w:r>
        <w:rPr>
          <w:rFonts w:ascii="仿宋_GB2312" w:eastAsia="仿宋_GB2312"/>
          <w:sz w:val="28"/>
          <w:szCs w:val="28"/>
        </w:rPr>
        <w:t>、津贴补贴、奖金、伙食补助费、绩效工资、</w:t>
      </w:r>
      <w:r>
        <w:rPr>
          <w:rFonts w:hint="eastAsia" w:ascii="仿宋_GB2312" w:eastAsia="仿宋_GB2312"/>
          <w:sz w:val="28"/>
          <w:szCs w:val="28"/>
        </w:rPr>
        <w:t>其他</w:t>
      </w:r>
      <w:r>
        <w:rPr>
          <w:rFonts w:ascii="仿宋_GB2312" w:eastAsia="仿宋_GB2312"/>
          <w:sz w:val="28"/>
          <w:szCs w:val="28"/>
        </w:rPr>
        <w:t>社会保障缴费、其他工资福利</w:t>
      </w:r>
      <w:r>
        <w:rPr>
          <w:rFonts w:hint="eastAsia" w:ascii="仿宋_GB2312" w:eastAsia="仿宋_GB2312"/>
          <w:sz w:val="28"/>
          <w:szCs w:val="28"/>
        </w:rPr>
        <w:t>等</w:t>
      </w:r>
      <w:r>
        <w:rPr>
          <w:rFonts w:ascii="仿宋_GB2312" w:eastAsia="仿宋_GB2312"/>
          <w:sz w:val="28"/>
          <w:szCs w:val="28"/>
        </w:rPr>
        <w:t>支出</w:t>
      </w:r>
      <w:r>
        <w:rPr>
          <w:rFonts w:hint="eastAsia" w:ascii="仿宋_GB2312" w:eastAsia="仿宋_GB2312"/>
          <w:sz w:val="28"/>
          <w:szCs w:val="28"/>
          <w:lang w:val="en-US" w:eastAsia="zh-CN"/>
        </w:rPr>
        <w:t>23,997,891.66元</w:t>
      </w:r>
      <w:r>
        <w:rPr>
          <w:rFonts w:hint="eastAsia" w:ascii="仿宋_GB2312" w:eastAsia="仿宋_GB2312"/>
          <w:sz w:val="28"/>
          <w:szCs w:val="28"/>
        </w:rPr>
        <w:t>；（2）商品和服务支出包括</w:t>
      </w:r>
      <w:r>
        <w:rPr>
          <w:rFonts w:ascii="仿宋_GB2312" w:eastAsia="仿宋_GB2312"/>
          <w:sz w:val="28"/>
          <w:szCs w:val="28"/>
        </w:rPr>
        <w:t>办公费、印刷费、手续费、水费、电费、邮电费、取暖费、物业管理费、差旅费、因公出国（境）费、维修（护）费、租赁费、会议费、培训费、公务接待费、专用材料费、劳务费、委托业务费、工会经费、福利费、公务用车运行维护费、其他交通费</w:t>
      </w:r>
      <w:r>
        <w:rPr>
          <w:rFonts w:hint="eastAsia" w:ascii="仿宋_GB2312" w:eastAsia="仿宋_GB2312"/>
          <w:sz w:val="28"/>
          <w:szCs w:val="28"/>
        </w:rPr>
        <w:t>用</w:t>
      </w:r>
      <w:r>
        <w:rPr>
          <w:rFonts w:ascii="仿宋_GB2312" w:eastAsia="仿宋_GB2312"/>
          <w:sz w:val="28"/>
          <w:szCs w:val="28"/>
        </w:rPr>
        <w:t>、其他商品和服务</w:t>
      </w:r>
      <w:r>
        <w:rPr>
          <w:rFonts w:hint="eastAsia" w:ascii="仿宋_GB2312" w:eastAsia="仿宋_GB2312"/>
          <w:sz w:val="28"/>
          <w:szCs w:val="28"/>
        </w:rPr>
        <w:t>等</w:t>
      </w:r>
      <w:r>
        <w:rPr>
          <w:rFonts w:ascii="仿宋_GB2312" w:eastAsia="仿宋_GB2312"/>
          <w:sz w:val="28"/>
          <w:szCs w:val="28"/>
        </w:rPr>
        <w:t>支出</w:t>
      </w:r>
      <w:r>
        <w:rPr>
          <w:rFonts w:hint="eastAsia" w:ascii="仿宋_GB2312" w:eastAsia="仿宋_GB2312"/>
          <w:sz w:val="28"/>
          <w:szCs w:val="28"/>
          <w:lang w:val="en-US" w:eastAsia="zh-CN"/>
        </w:rPr>
        <w:t>874,806.97元</w:t>
      </w:r>
      <w:r>
        <w:rPr>
          <w:rFonts w:hint="eastAsia" w:ascii="仿宋_GB2312" w:eastAsia="仿宋_GB2312"/>
          <w:sz w:val="28"/>
          <w:szCs w:val="28"/>
        </w:rPr>
        <w:t>；（3）对个人和家庭补助支出包括</w:t>
      </w:r>
      <w:r>
        <w:rPr>
          <w:rFonts w:ascii="仿宋_GB2312" w:eastAsia="仿宋_GB2312"/>
          <w:sz w:val="28"/>
          <w:szCs w:val="28"/>
        </w:rPr>
        <w:t>离休费、退休费、抚恤金、生活补助、</w:t>
      </w:r>
      <w:r>
        <w:rPr>
          <w:rFonts w:hint="eastAsia" w:ascii="仿宋_GB2312" w:eastAsia="仿宋_GB2312"/>
          <w:sz w:val="28"/>
          <w:szCs w:val="28"/>
        </w:rPr>
        <w:t>救济费</w:t>
      </w:r>
      <w:r>
        <w:rPr>
          <w:rFonts w:ascii="仿宋_GB2312" w:eastAsia="仿宋_GB2312"/>
          <w:sz w:val="28"/>
          <w:szCs w:val="28"/>
        </w:rPr>
        <w:t>、医疗费</w:t>
      </w:r>
      <w:r>
        <w:rPr>
          <w:rFonts w:hint="eastAsia" w:ascii="仿宋_GB2312" w:eastAsia="仿宋_GB2312"/>
          <w:sz w:val="28"/>
          <w:szCs w:val="28"/>
        </w:rPr>
        <w:t>补助</w:t>
      </w:r>
      <w:r>
        <w:rPr>
          <w:rFonts w:ascii="仿宋_GB2312" w:eastAsia="仿宋_GB2312"/>
          <w:sz w:val="28"/>
          <w:szCs w:val="28"/>
        </w:rPr>
        <w:t>、助学金、奖励金</w:t>
      </w:r>
      <w:r>
        <w:rPr>
          <w:rFonts w:hint="eastAsia" w:ascii="仿宋_GB2312" w:eastAsia="仿宋_GB2312"/>
          <w:sz w:val="28"/>
          <w:szCs w:val="28"/>
        </w:rPr>
        <w:t>、</w:t>
      </w:r>
      <w:r>
        <w:rPr>
          <w:rFonts w:ascii="仿宋_GB2312" w:eastAsia="仿宋_GB2312"/>
          <w:sz w:val="28"/>
          <w:szCs w:val="28"/>
        </w:rPr>
        <w:t>其他对个人和家庭的补助</w:t>
      </w:r>
      <w:r>
        <w:rPr>
          <w:rFonts w:hint="eastAsia" w:ascii="仿宋_GB2312" w:eastAsia="仿宋_GB2312"/>
          <w:sz w:val="28"/>
          <w:szCs w:val="28"/>
        </w:rPr>
        <w:t>等</w:t>
      </w:r>
      <w:r>
        <w:rPr>
          <w:rFonts w:ascii="仿宋_GB2312" w:eastAsia="仿宋_GB2312"/>
          <w:sz w:val="28"/>
          <w:szCs w:val="28"/>
        </w:rPr>
        <w:t>支出</w:t>
      </w:r>
      <w:r>
        <w:rPr>
          <w:rFonts w:hint="eastAsia" w:ascii="仿宋_GB2312" w:eastAsia="仿宋_GB2312"/>
          <w:sz w:val="28"/>
          <w:szCs w:val="28"/>
          <w:lang w:val="en-US" w:eastAsia="zh-CN"/>
        </w:rPr>
        <w:t>220,009.00元</w:t>
      </w:r>
      <w:r>
        <w:rPr>
          <w:rFonts w:hint="eastAsia" w:ascii="仿宋_GB2312" w:eastAsia="仿宋_GB2312"/>
          <w:sz w:val="28"/>
          <w:szCs w:val="28"/>
        </w:rPr>
        <w:t>。（4）其他资本性支出包括</w:t>
      </w:r>
      <w:r>
        <w:rPr>
          <w:rFonts w:ascii="仿宋_GB2312" w:eastAsia="仿宋_GB2312"/>
          <w:sz w:val="28"/>
          <w:szCs w:val="28"/>
        </w:rPr>
        <w:t>办公设备购置、专用设备购置</w:t>
      </w:r>
      <w:r>
        <w:rPr>
          <w:rFonts w:hint="eastAsia" w:ascii="仿宋_GB2312" w:eastAsia="仿宋_GB2312"/>
          <w:sz w:val="28"/>
          <w:szCs w:val="28"/>
        </w:rPr>
        <w:t>等</w:t>
      </w:r>
      <w:r>
        <w:rPr>
          <w:rFonts w:hint="eastAsia" w:ascii="仿宋_GB2312" w:eastAsia="仿宋_GB2312"/>
          <w:sz w:val="28"/>
          <w:szCs w:val="28"/>
          <w:lang w:eastAsia="zh-CN"/>
        </w:rPr>
        <w:t>支出</w:t>
      </w:r>
      <w:r>
        <w:rPr>
          <w:rFonts w:hint="eastAsia" w:ascii="仿宋_GB2312" w:eastAsia="仿宋_GB2312"/>
          <w:sz w:val="28"/>
          <w:szCs w:val="28"/>
          <w:lang w:val="en-US" w:eastAsia="zh-CN"/>
        </w:rPr>
        <w:t>0.00元</w:t>
      </w:r>
      <w:r>
        <w:rPr>
          <w:rFonts w:ascii="仿宋_GB2312" w:eastAsia="仿宋_GB2312"/>
          <w:sz w:val="28"/>
          <w:szCs w:val="28"/>
        </w:rPr>
        <w:t>。</w:t>
      </w:r>
    </w:p>
    <w:p>
      <w:pPr>
        <w:autoSpaceDE w:val="0"/>
        <w:autoSpaceDN w:val="0"/>
        <w:adjustRightInd w:val="0"/>
        <w:spacing w:line="580" w:lineRule="exact"/>
        <w:rPr>
          <w:rFonts w:ascii="宋体" w:hAnsi="宋体"/>
          <w:b/>
          <w:spacing w:val="40"/>
          <w:sz w:val="32"/>
          <w:szCs w:val="32"/>
        </w:rPr>
      </w:pPr>
      <w:r>
        <w:rPr>
          <w:rFonts w:ascii="仿宋_GB2312" w:eastAsia="仿宋_GB2312"/>
          <w:b/>
          <w:sz w:val="32"/>
          <w:szCs w:val="32"/>
        </w:rPr>
        <w:tab/>
      </w:r>
    </w:p>
    <w:p>
      <w:pPr>
        <w:tabs>
          <w:tab w:val="center" w:pos="6979"/>
        </w:tabs>
        <w:jc w:val="center"/>
        <w:rPr>
          <w:rFonts w:ascii="宋体" w:hAnsi="宋体" w:cs="宋体"/>
          <w:b/>
          <w:spacing w:val="40"/>
          <w:kern w:val="0"/>
          <w:sz w:val="32"/>
          <w:szCs w:val="32"/>
        </w:rPr>
      </w:pPr>
      <w:r>
        <w:rPr>
          <w:rFonts w:hint="eastAsia" w:ascii="宋体" w:hAnsi="宋体" w:cs="宋体"/>
          <w:b/>
          <w:bCs/>
          <w:spacing w:val="40"/>
          <w:kern w:val="0"/>
          <w:sz w:val="32"/>
          <w:szCs w:val="32"/>
        </w:rPr>
        <w:t>第三部分</w:t>
      </w:r>
      <w:r>
        <w:rPr>
          <w:rFonts w:hint="eastAsia" w:ascii="宋体" w:hAnsi="宋体"/>
          <w:b/>
          <w:spacing w:val="40"/>
          <w:sz w:val="32"/>
          <w:szCs w:val="32"/>
        </w:rPr>
        <w:t>2025年度</w:t>
      </w:r>
      <w:r>
        <w:rPr>
          <w:rFonts w:hint="eastAsia" w:ascii="宋体" w:hAnsi="宋体" w:cs="宋体"/>
          <w:b/>
          <w:spacing w:val="40"/>
          <w:kern w:val="0"/>
          <w:sz w:val="32"/>
          <w:szCs w:val="32"/>
        </w:rPr>
        <w:t>其他重要事项的情况说明</w:t>
      </w:r>
    </w:p>
    <w:p>
      <w:pPr>
        <w:spacing w:line="560" w:lineRule="exact"/>
        <w:ind w:firstLine="560" w:firstLineChars="200"/>
        <w:rPr>
          <w:rFonts w:ascii="黑体" w:eastAsia="黑体"/>
          <w:sz w:val="28"/>
          <w:szCs w:val="28"/>
        </w:rPr>
      </w:pPr>
      <w:r>
        <w:rPr>
          <w:rFonts w:hint="eastAsia" w:ascii="黑体" w:eastAsia="黑体"/>
          <w:sz w:val="28"/>
          <w:szCs w:val="28"/>
        </w:rPr>
        <w:t>一、“三公”经费财政拨款决算情况</w:t>
      </w:r>
    </w:p>
    <w:p>
      <w:pPr>
        <w:spacing w:line="560" w:lineRule="exact"/>
        <w:ind w:firstLine="600"/>
        <w:rPr>
          <w:rFonts w:ascii="仿宋_GB2312" w:eastAsia="仿宋_GB2312"/>
          <w:sz w:val="28"/>
          <w:szCs w:val="28"/>
        </w:rPr>
      </w:pPr>
      <w:r>
        <w:rPr>
          <w:rFonts w:hint="eastAsia" w:ascii="仿宋_GB2312" w:eastAsia="仿宋_GB2312"/>
          <w:sz w:val="28"/>
          <w:szCs w:val="28"/>
        </w:rPr>
        <w:t>2025年度“三公”经费财政拨款决算数</w:t>
      </w:r>
      <w:r>
        <w:rPr>
          <w:rFonts w:ascii="仿宋_GB2312" w:eastAsia="仿宋_GB2312"/>
          <w:sz w:val="28"/>
          <w:szCs w:val="28"/>
        </w:rPr>
        <w:t>3</w:t>
      </w:r>
      <w:r>
        <w:rPr>
          <w:rFonts w:hint="eastAsia" w:ascii="仿宋_GB2312" w:eastAsia="仿宋_GB2312"/>
          <w:sz w:val="28"/>
          <w:szCs w:val="28"/>
          <w:lang w:val="en-US" w:eastAsia="zh-CN"/>
        </w:rPr>
        <w:t>,</w:t>
      </w:r>
      <w:r>
        <w:rPr>
          <w:rFonts w:ascii="仿宋_GB2312" w:eastAsia="仿宋_GB2312"/>
          <w:sz w:val="28"/>
          <w:szCs w:val="28"/>
        </w:rPr>
        <w:t>357</w:t>
      </w:r>
      <w:r>
        <w:rPr>
          <w:rFonts w:hint="eastAsia" w:ascii="仿宋_GB2312" w:eastAsia="仿宋_GB2312"/>
          <w:sz w:val="28"/>
          <w:szCs w:val="28"/>
          <w:lang w:val="en-US" w:eastAsia="zh-CN"/>
        </w:rPr>
        <w:t>,</w:t>
      </w:r>
      <w:r>
        <w:rPr>
          <w:rFonts w:ascii="仿宋_GB2312" w:eastAsia="仿宋_GB2312"/>
          <w:sz w:val="28"/>
          <w:szCs w:val="28"/>
        </w:rPr>
        <w:t>045.82</w:t>
      </w:r>
      <w:r>
        <w:rPr>
          <w:rFonts w:hint="eastAsia" w:ascii="仿宋_GB2312" w:eastAsia="仿宋_GB2312"/>
          <w:sz w:val="28"/>
          <w:szCs w:val="28"/>
        </w:rPr>
        <w:t>元，比2025年度“三公”经费财政拨款年初预算</w:t>
      </w:r>
      <w:r>
        <w:rPr>
          <w:rFonts w:ascii="仿宋_GB2312" w:eastAsia="仿宋_GB2312"/>
          <w:sz w:val="28"/>
          <w:szCs w:val="28"/>
        </w:rPr>
        <w:t>102</w:t>
      </w:r>
      <w:r>
        <w:rPr>
          <w:rFonts w:hint="eastAsia" w:ascii="仿宋_GB2312" w:eastAsia="仿宋_GB2312"/>
          <w:sz w:val="28"/>
          <w:szCs w:val="28"/>
          <w:lang w:val="en-US" w:eastAsia="zh-CN"/>
        </w:rPr>
        <w:t>,</w:t>
      </w:r>
      <w:r>
        <w:rPr>
          <w:rFonts w:ascii="仿宋_GB2312" w:eastAsia="仿宋_GB2312"/>
          <w:sz w:val="28"/>
          <w:szCs w:val="28"/>
        </w:rPr>
        <w:t>651</w:t>
      </w:r>
      <w:r>
        <w:rPr>
          <w:rFonts w:hint="eastAsia" w:ascii="仿宋_GB2312" w:eastAsia="仿宋_GB2312"/>
          <w:sz w:val="28"/>
          <w:szCs w:val="28"/>
          <w:lang w:val="en-US" w:eastAsia="zh-CN"/>
        </w:rPr>
        <w:t>.00</w:t>
      </w:r>
      <w:r>
        <w:rPr>
          <w:rFonts w:hint="eastAsia" w:ascii="仿宋_GB2312" w:eastAsia="仿宋_GB2312"/>
          <w:sz w:val="28"/>
          <w:szCs w:val="28"/>
        </w:rPr>
        <w:t>元增加</w:t>
      </w:r>
      <w:r>
        <w:rPr>
          <w:rFonts w:ascii="仿宋_GB2312" w:eastAsia="仿宋_GB2312"/>
          <w:sz w:val="28"/>
          <w:szCs w:val="28"/>
        </w:rPr>
        <w:t>3</w:t>
      </w:r>
      <w:r>
        <w:rPr>
          <w:rFonts w:hint="eastAsia" w:ascii="仿宋_GB2312" w:eastAsia="仿宋_GB2312"/>
          <w:sz w:val="28"/>
          <w:szCs w:val="28"/>
          <w:lang w:val="en-US" w:eastAsia="zh-CN"/>
        </w:rPr>
        <w:t>,</w:t>
      </w:r>
      <w:r>
        <w:rPr>
          <w:rFonts w:ascii="仿宋_GB2312" w:eastAsia="仿宋_GB2312"/>
          <w:sz w:val="28"/>
          <w:szCs w:val="28"/>
        </w:rPr>
        <w:t>254</w:t>
      </w:r>
      <w:r>
        <w:rPr>
          <w:rFonts w:hint="eastAsia" w:ascii="仿宋_GB2312" w:eastAsia="仿宋_GB2312"/>
          <w:sz w:val="28"/>
          <w:szCs w:val="28"/>
          <w:lang w:val="en-US" w:eastAsia="zh-CN"/>
        </w:rPr>
        <w:t>,</w:t>
      </w:r>
      <w:r>
        <w:rPr>
          <w:rFonts w:ascii="仿宋_GB2312" w:eastAsia="仿宋_GB2312"/>
          <w:sz w:val="28"/>
          <w:szCs w:val="28"/>
        </w:rPr>
        <w:t>394.82</w:t>
      </w:r>
      <w:r>
        <w:rPr>
          <w:rFonts w:hint="eastAsia" w:ascii="仿宋_GB2312" w:eastAsia="仿宋_GB2312"/>
          <w:sz w:val="28"/>
          <w:szCs w:val="28"/>
        </w:rPr>
        <w:t>元。其中：</w:t>
      </w:r>
    </w:p>
    <w:p>
      <w:pPr>
        <w:spacing w:line="560" w:lineRule="exact"/>
        <w:ind w:firstLine="600"/>
        <w:rPr>
          <w:rFonts w:ascii="仿宋_GB2312" w:eastAsia="仿宋_GB2312"/>
          <w:sz w:val="28"/>
          <w:szCs w:val="28"/>
        </w:rPr>
      </w:pPr>
      <w:r>
        <w:rPr>
          <w:rFonts w:hint="eastAsia" w:ascii="仿宋_GB2312" w:eastAsia="仿宋_GB2312"/>
          <w:sz w:val="28"/>
          <w:szCs w:val="28"/>
        </w:rPr>
        <w:t>1.因公出国（境）费用。2025年度决算数</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元，比2025年度年初预算数</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元增加（减少）</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元。主要原因：本年无此项支出。</w:t>
      </w:r>
    </w:p>
    <w:p>
      <w:pPr>
        <w:spacing w:line="560" w:lineRule="exact"/>
        <w:ind w:firstLine="600"/>
        <w:rPr>
          <w:rFonts w:ascii="仿宋_GB2312" w:eastAsia="仿宋_GB2312"/>
          <w:sz w:val="28"/>
          <w:szCs w:val="28"/>
        </w:rPr>
      </w:pPr>
      <w:r>
        <w:rPr>
          <w:rFonts w:hint="eastAsia" w:ascii="仿宋_GB2312" w:eastAsia="仿宋_GB2312"/>
          <w:sz w:val="28"/>
          <w:szCs w:val="28"/>
        </w:rPr>
        <w:t>2.公务接待费。2025年度决算数</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元，比2025年度年初预算数</w:t>
      </w:r>
      <w:r>
        <w:rPr>
          <w:rFonts w:ascii="仿宋_GB2312" w:eastAsia="仿宋_GB2312"/>
          <w:sz w:val="28"/>
          <w:szCs w:val="28"/>
        </w:rPr>
        <w:t>12</w:t>
      </w:r>
      <w:r>
        <w:rPr>
          <w:rFonts w:hint="eastAsia" w:ascii="仿宋_GB2312" w:eastAsia="仿宋_GB2312"/>
          <w:sz w:val="28"/>
          <w:szCs w:val="28"/>
          <w:lang w:val="en-US" w:eastAsia="zh-CN"/>
        </w:rPr>
        <w:t>,</w:t>
      </w:r>
      <w:r>
        <w:rPr>
          <w:rFonts w:ascii="仿宋_GB2312" w:eastAsia="仿宋_GB2312"/>
          <w:sz w:val="28"/>
          <w:szCs w:val="28"/>
        </w:rPr>
        <w:t>651</w:t>
      </w:r>
      <w:r>
        <w:rPr>
          <w:rFonts w:hint="eastAsia" w:ascii="仿宋_GB2312" w:eastAsia="仿宋_GB2312"/>
          <w:sz w:val="28"/>
          <w:szCs w:val="28"/>
          <w:lang w:val="en-US" w:eastAsia="zh-CN"/>
        </w:rPr>
        <w:t>.00</w:t>
      </w:r>
      <w:r>
        <w:rPr>
          <w:rFonts w:hint="eastAsia" w:ascii="仿宋_GB2312" w:eastAsia="仿宋_GB2312"/>
          <w:sz w:val="28"/>
          <w:szCs w:val="28"/>
        </w:rPr>
        <w:t>元减少</w:t>
      </w:r>
      <w:r>
        <w:rPr>
          <w:rFonts w:ascii="仿宋_GB2312" w:eastAsia="仿宋_GB2312"/>
          <w:sz w:val="28"/>
          <w:szCs w:val="28"/>
        </w:rPr>
        <w:t>12</w:t>
      </w:r>
      <w:r>
        <w:rPr>
          <w:rFonts w:hint="eastAsia" w:ascii="仿宋_GB2312" w:eastAsia="仿宋_GB2312"/>
          <w:sz w:val="28"/>
          <w:szCs w:val="28"/>
          <w:lang w:val="en-US" w:eastAsia="zh-CN"/>
        </w:rPr>
        <w:t>,</w:t>
      </w:r>
      <w:r>
        <w:rPr>
          <w:rFonts w:ascii="仿宋_GB2312" w:eastAsia="仿宋_GB2312"/>
          <w:sz w:val="28"/>
          <w:szCs w:val="28"/>
        </w:rPr>
        <w:t>651</w:t>
      </w:r>
      <w:r>
        <w:rPr>
          <w:rFonts w:hint="eastAsia" w:ascii="仿宋_GB2312" w:eastAsia="仿宋_GB2312"/>
          <w:sz w:val="28"/>
          <w:szCs w:val="28"/>
          <w:lang w:val="en-US" w:eastAsia="zh-CN"/>
        </w:rPr>
        <w:t>.00</w:t>
      </w:r>
      <w:r>
        <w:rPr>
          <w:rFonts w:hint="eastAsia" w:ascii="仿宋_GB2312" w:eastAsia="仿宋_GB2312"/>
          <w:sz w:val="28"/>
          <w:szCs w:val="28"/>
        </w:rPr>
        <w:t>元。主要原因：</w:t>
      </w:r>
      <w:r>
        <w:rPr>
          <w:rFonts w:hint="eastAsia" w:ascii="仿宋_GB2312" w:eastAsia="仿宋_GB2312"/>
          <w:color w:val="000000"/>
          <w:sz w:val="28"/>
          <w:szCs w:val="28"/>
        </w:rPr>
        <w:t>本年度无此项支出</w:t>
      </w:r>
      <w:r>
        <w:rPr>
          <w:rFonts w:hint="eastAsia" w:ascii="仿宋_GB2312" w:eastAsia="仿宋_GB2312"/>
          <w:sz w:val="28"/>
          <w:szCs w:val="28"/>
        </w:rPr>
        <w:t>。</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3.公务用车购置及运行维护费。2025年度决算数</w:t>
      </w:r>
      <w:r>
        <w:rPr>
          <w:rFonts w:ascii="仿宋_GB2312" w:eastAsia="仿宋_GB2312"/>
          <w:sz w:val="28"/>
          <w:szCs w:val="28"/>
        </w:rPr>
        <w:t>3</w:t>
      </w:r>
      <w:r>
        <w:rPr>
          <w:rFonts w:hint="eastAsia" w:ascii="仿宋_GB2312" w:eastAsia="仿宋_GB2312"/>
          <w:sz w:val="28"/>
          <w:szCs w:val="28"/>
          <w:lang w:val="en-US" w:eastAsia="zh-CN"/>
        </w:rPr>
        <w:t>,</w:t>
      </w:r>
      <w:r>
        <w:rPr>
          <w:rFonts w:ascii="仿宋_GB2312" w:eastAsia="仿宋_GB2312"/>
          <w:sz w:val="28"/>
          <w:szCs w:val="28"/>
        </w:rPr>
        <w:t>357</w:t>
      </w:r>
      <w:r>
        <w:rPr>
          <w:rFonts w:hint="eastAsia" w:ascii="仿宋_GB2312" w:eastAsia="仿宋_GB2312"/>
          <w:sz w:val="28"/>
          <w:szCs w:val="28"/>
          <w:lang w:val="en-US" w:eastAsia="zh-CN"/>
        </w:rPr>
        <w:t>,</w:t>
      </w:r>
      <w:r>
        <w:rPr>
          <w:rFonts w:ascii="仿宋_GB2312" w:eastAsia="仿宋_GB2312"/>
          <w:sz w:val="28"/>
          <w:szCs w:val="28"/>
        </w:rPr>
        <w:t>045.82</w:t>
      </w:r>
      <w:r>
        <w:rPr>
          <w:rFonts w:hint="eastAsia" w:ascii="仿宋_GB2312" w:eastAsia="仿宋_GB2312"/>
          <w:sz w:val="28"/>
          <w:szCs w:val="28"/>
        </w:rPr>
        <w:t>元，比2025年度年初预算数</w:t>
      </w:r>
      <w:r>
        <w:rPr>
          <w:rFonts w:ascii="仿宋_GB2312" w:eastAsia="仿宋_GB2312"/>
          <w:sz w:val="28"/>
          <w:szCs w:val="28"/>
        </w:rPr>
        <w:t>90</w:t>
      </w:r>
      <w:r>
        <w:rPr>
          <w:rFonts w:hint="eastAsia" w:ascii="仿宋_GB2312" w:eastAsia="仿宋_GB2312"/>
          <w:sz w:val="28"/>
          <w:szCs w:val="28"/>
          <w:lang w:val="en-US" w:eastAsia="zh-CN"/>
        </w:rPr>
        <w:t>,</w:t>
      </w:r>
      <w:r>
        <w:rPr>
          <w:rFonts w:ascii="仿宋_GB2312" w:eastAsia="仿宋_GB2312"/>
          <w:sz w:val="28"/>
          <w:szCs w:val="28"/>
        </w:rPr>
        <w:t>000</w:t>
      </w:r>
      <w:r>
        <w:rPr>
          <w:rFonts w:hint="eastAsia" w:ascii="仿宋_GB2312" w:eastAsia="仿宋_GB2312"/>
          <w:sz w:val="28"/>
          <w:szCs w:val="28"/>
          <w:lang w:val="en-US" w:eastAsia="zh-CN"/>
        </w:rPr>
        <w:t>.00</w:t>
      </w:r>
      <w:r>
        <w:rPr>
          <w:rFonts w:hint="eastAsia" w:ascii="仿宋_GB2312" w:eastAsia="仿宋_GB2312"/>
          <w:sz w:val="28"/>
          <w:szCs w:val="28"/>
        </w:rPr>
        <w:t>元增加</w:t>
      </w:r>
      <w:r>
        <w:rPr>
          <w:rFonts w:ascii="仿宋_GB2312" w:eastAsia="仿宋_GB2312"/>
          <w:sz w:val="28"/>
          <w:szCs w:val="28"/>
        </w:rPr>
        <w:t>3</w:t>
      </w:r>
      <w:r>
        <w:rPr>
          <w:rFonts w:hint="eastAsia" w:ascii="仿宋_GB2312" w:eastAsia="仿宋_GB2312"/>
          <w:sz w:val="28"/>
          <w:szCs w:val="28"/>
          <w:lang w:val="en-US" w:eastAsia="zh-CN"/>
        </w:rPr>
        <w:t>,</w:t>
      </w:r>
      <w:r>
        <w:rPr>
          <w:rFonts w:ascii="仿宋_GB2312" w:eastAsia="仿宋_GB2312"/>
          <w:sz w:val="28"/>
          <w:szCs w:val="28"/>
        </w:rPr>
        <w:t>267</w:t>
      </w:r>
      <w:r>
        <w:rPr>
          <w:rFonts w:hint="eastAsia" w:ascii="仿宋_GB2312" w:eastAsia="仿宋_GB2312"/>
          <w:sz w:val="28"/>
          <w:szCs w:val="28"/>
          <w:lang w:val="en-US" w:eastAsia="zh-CN"/>
        </w:rPr>
        <w:t>,</w:t>
      </w:r>
      <w:r>
        <w:rPr>
          <w:rFonts w:ascii="仿宋_GB2312" w:eastAsia="仿宋_GB2312"/>
          <w:sz w:val="28"/>
          <w:szCs w:val="28"/>
        </w:rPr>
        <w:t>045.82</w:t>
      </w:r>
      <w:r>
        <w:rPr>
          <w:rFonts w:hint="eastAsia" w:ascii="仿宋_GB2312" w:eastAsia="仿宋_GB2312"/>
          <w:sz w:val="28"/>
          <w:szCs w:val="28"/>
        </w:rPr>
        <w:t>元。其中，公务用车购置费2025年度决算数3</w:t>
      </w:r>
      <w:r>
        <w:rPr>
          <w:rFonts w:hint="eastAsia" w:ascii="仿宋_GB2312" w:eastAsia="仿宋_GB2312"/>
          <w:sz w:val="28"/>
          <w:szCs w:val="28"/>
          <w:lang w:val="en-US" w:eastAsia="zh-CN"/>
        </w:rPr>
        <w:t>,</w:t>
      </w:r>
      <w:r>
        <w:rPr>
          <w:rFonts w:hint="eastAsia" w:ascii="仿宋_GB2312" w:eastAsia="仿宋_GB2312"/>
          <w:sz w:val="28"/>
          <w:szCs w:val="28"/>
        </w:rPr>
        <w:t>262</w:t>
      </w:r>
      <w:r>
        <w:rPr>
          <w:rFonts w:hint="eastAsia" w:ascii="仿宋_GB2312" w:eastAsia="仿宋_GB2312"/>
          <w:sz w:val="28"/>
          <w:szCs w:val="28"/>
          <w:lang w:val="en-US" w:eastAsia="zh-CN"/>
        </w:rPr>
        <w:t>,</w:t>
      </w:r>
      <w:r>
        <w:rPr>
          <w:rFonts w:hint="eastAsia" w:ascii="仿宋_GB2312" w:eastAsia="仿宋_GB2312"/>
          <w:sz w:val="28"/>
          <w:szCs w:val="28"/>
        </w:rPr>
        <w:t>000</w:t>
      </w:r>
      <w:r>
        <w:rPr>
          <w:rFonts w:hint="eastAsia" w:ascii="仿宋_GB2312" w:eastAsia="仿宋_GB2312"/>
          <w:sz w:val="28"/>
          <w:szCs w:val="28"/>
          <w:lang w:val="en-US" w:eastAsia="zh-CN"/>
        </w:rPr>
        <w:t>.00</w:t>
      </w:r>
      <w:r>
        <w:rPr>
          <w:rFonts w:hint="eastAsia" w:ascii="仿宋_GB2312" w:eastAsia="仿宋_GB2312"/>
          <w:sz w:val="28"/>
          <w:szCs w:val="28"/>
        </w:rPr>
        <w:t>元，主要原因：2025年度购置2辆。公务用车运行维护费2025年度决算数95</w:t>
      </w:r>
      <w:r>
        <w:rPr>
          <w:rFonts w:hint="eastAsia" w:ascii="仿宋_GB2312" w:eastAsia="仿宋_GB2312"/>
          <w:sz w:val="28"/>
          <w:szCs w:val="28"/>
          <w:lang w:val="en-US" w:eastAsia="zh-CN"/>
        </w:rPr>
        <w:t>,</w:t>
      </w:r>
      <w:r>
        <w:rPr>
          <w:rFonts w:hint="eastAsia" w:ascii="仿宋_GB2312" w:eastAsia="仿宋_GB2312"/>
          <w:sz w:val="28"/>
          <w:szCs w:val="28"/>
        </w:rPr>
        <w:t>045.82元，主要原因</w:t>
      </w:r>
      <w:r>
        <w:rPr>
          <w:rFonts w:hint="eastAsia" w:ascii="仿宋_GB2312" w:eastAsia="仿宋_GB2312"/>
          <w:sz w:val="28"/>
          <w:szCs w:val="28"/>
          <w:highlight w:val="none"/>
        </w:rPr>
        <w:t>：用于公务车车辆加油、维修维护及相关。2025年</w:t>
      </w:r>
      <w:r>
        <w:rPr>
          <w:rFonts w:hint="eastAsia" w:ascii="仿宋_GB2312" w:eastAsia="仿宋_GB2312"/>
          <w:sz w:val="28"/>
          <w:szCs w:val="28"/>
        </w:rPr>
        <w:t>度公务用车保有量</w:t>
      </w:r>
      <w:r>
        <w:rPr>
          <w:rFonts w:ascii="仿宋_GB2312" w:eastAsia="仿宋_GB2312"/>
          <w:sz w:val="28"/>
          <w:szCs w:val="28"/>
        </w:rPr>
        <w:t>13</w:t>
      </w:r>
      <w:r>
        <w:rPr>
          <w:rFonts w:hint="eastAsia" w:ascii="仿宋_GB2312" w:eastAsia="仿宋_GB2312"/>
          <w:sz w:val="28"/>
          <w:szCs w:val="28"/>
        </w:rPr>
        <w:t>辆。</w:t>
      </w:r>
    </w:p>
    <w:p>
      <w:pPr>
        <w:tabs>
          <w:tab w:val="center" w:pos="6979"/>
        </w:tabs>
        <w:ind w:firstLine="554" w:firstLineChars="198"/>
        <w:rPr>
          <w:rFonts w:ascii="黑体" w:eastAsia="黑体"/>
          <w:sz w:val="28"/>
          <w:szCs w:val="28"/>
        </w:rPr>
      </w:pPr>
      <w:r>
        <w:rPr>
          <w:rFonts w:hint="eastAsia" w:ascii="黑体" w:eastAsia="黑体"/>
          <w:sz w:val="28"/>
          <w:szCs w:val="28"/>
        </w:rPr>
        <w:t>二、机关运行经费支出情况</w:t>
      </w:r>
    </w:p>
    <w:p>
      <w:pPr>
        <w:ind w:firstLine="537" w:firstLineChars="192"/>
        <w:rPr>
          <w:rFonts w:ascii="仿宋_GB2312" w:eastAsia="仿宋_GB2312"/>
          <w:sz w:val="28"/>
          <w:szCs w:val="28"/>
        </w:rPr>
      </w:pPr>
      <w:r>
        <w:rPr>
          <w:rFonts w:hint="eastAsia" w:ascii="仿宋_GB2312" w:eastAsia="仿宋_GB2312"/>
          <w:sz w:val="28"/>
          <w:szCs w:val="28"/>
        </w:rPr>
        <w:t>2025年度机关运行经费支出合计715</w:t>
      </w:r>
      <w:r>
        <w:rPr>
          <w:rFonts w:hint="eastAsia" w:ascii="仿宋_GB2312" w:eastAsia="仿宋_GB2312"/>
          <w:sz w:val="28"/>
          <w:szCs w:val="28"/>
          <w:lang w:val="en-US" w:eastAsia="zh-CN"/>
        </w:rPr>
        <w:t>,</w:t>
      </w:r>
      <w:r>
        <w:rPr>
          <w:rFonts w:hint="eastAsia" w:ascii="仿宋_GB2312" w:eastAsia="仿宋_GB2312"/>
          <w:sz w:val="28"/>
          <w:szCs w:val="28"/>
        </w:rPr>
        <w:t>345.53元，比上年增加</w:t>
      </w:r>
      <w:r>
        <w:rPr>
          <w:rFonts w:hint="eastAsia" w:ascii="仿宋_GB2312" w:eastAsia="仿宋_GB2312"/>
          <w:sz w:val="28"/>
          <w:szCs w:val="28"/>
          <w:lang w:val="en-US" w:eastAsia="zh-CN"/>
        </w:rPr>
        <w:t>93,116.07</w:t>
      </w:r>
      <w:r>
        <w:rPr>
          <w:rFonts w:hint="eastAsia" w:ascii="仿宋_GB2312" w:eastAsia="仿宋_GB2312"/>
          <w:sz w:val="28"/>
          <w:szCs w:val="28"/>
        </w:rPr>
        <w:t>元，增加原因：</w:t>
      </w:r>
      <w:r>
        <w:rPr>
          <w:rFonts w:hint="eastAsia" w:ascii="仿宋_GB2312" w:eastAsia="仿宋_GB2312"/>
          <w:sz w:val="28"/>
          <w:szCs w:val="28"/>
          <w:lang w:eastAsia="zh-CN"/>
        </w:rPr>
        <w:t>实有人数增加</w:t>
      </w:r>
      <w:r>
        <w:rPr>
          <w:rFonts w:hint="eastAsia" w:ascii="仿宋_GB2312" w:eastAsia="仿宋_GB2312"/>
          <w:sz w:val="28"/>
          <w:szCs w:val="28"/>
        </w:rPr>
        <w:t>。</w:t>
      </w:r>
    </w:p>
    <w:p>
      <w:pPr>
        <w:ind w:left="540"/>
        <w:rPr>
          <w:rFonts w:ascii="黑体" w:eastAsia="黑体"/>
          <w:sz w:val="28"/>
          <w:szCs w:val="28"/>
        </w:rPr>
      </w:pPr>
      <w:r>
        <w:rPr>
          <w:rFonts w:hint="eastAsia" w:ascii="黑体" w:eastAsia="黑体"/>
          <w:sz w:val="28"/>
          <w:szCs w:val="28"/>
        </w:rPr>
        <w:t>三、政府采购支出情况</w:t>
      </w:r>
    </w:p>
    <w:p>
      <w:pPr>
        <w:ind w:firstLine="537" w:firstLineChars="192"/>
        <w:rPr>
          <w:rFonts w:ascii="仿宋_GB2312" w:eastAsia="仿宋_GB2312"/>
          <w:sz w:val="28"/>
          <w:szCs w:val="28"/>
        </w:rPr>
      </w:pPr>
      <w:r>
        <w:rPr>
          <w:rFonts w:hint="eastAsia" w:ascii="仿宋_GB2312" w:eastAsia="仿宋_GB2312"/>
          <w:sz w:val="28"/>
          <w:szCs w:val="28"/>
        </w:rPr>
        <w:t>2025年度政府采购支出总额</w:t>
      </w:r>
      <w:r>
        <w:rPr>
          <w:rFonts w:ascii="仿宋_GB2312" w:eastAsia="仿宋_GB2312"/>
          <w:sz w:val="28"/>
          <w:szCs w:val="28"/>
        </w:rPr>
        <w:t>139</w:t>
      </w:r>
      <w:r>
        <w:rPr>
          <w:rFonts w:hint="eastAsia" w:ascii="仿宋_GB2312" w:eastAsia="仿宋_GB2312"/>
          <w:sz w:val="28"/>
          <w:szCs w:val="28"/>
          <w:lang w:val="en-US" w:eastAsia="zh-CN"/>
        </w:rPr>
        <w:t>,</w:t>
      </w:r>
      <w:r>
        <w:rPr>
          <w:rFonts w:ascii="仿宋_GB2312" w:eastAsia="仿宋_GB2312"/>
          <w:sz w:val="28"/>
          <w:szCs w:val="28"/>
        </w:rPr>
        <w:t>830</w:t>
      </w:r>
      <w:r>
        <w:rPr>
          <w:rFonts w:hint="eastAsia" w:ascii="仿宋_GB2312" w:eastAsia="仿宋_GB2312"/>
          <w:sz w:val="28"/>
          <w:szCs w:val="28"/>
          <w:lang w:val="en-US" w:eastAsia="zh-CN"/>
        </w:rPr>
        <w:t>,</w:t>
      </w:r>
      <w:r>
        <w:rPr>
          <w:rFonts w:ascii="仿宋_GB2312" w:eastAsia="仿宋_GB2312"/>
          <w:sz w:val="28"/>
          <w:szCs w:val="28"/>
        </w:rPr>
        <w:t>966.11</w:t>
      </w:r>
      <w:r>
        <w:rPr>
          <w:rFonts w:hint="eastAsia" w:ascii="仿宋_GB2312" w:eastAsia="仿宋_GB2312"/>
          <w:sz w:val="28"/>
          <w:szCs w:val="28"/>
        </w:rPr>
        <w:t>元，其中：政府采购货物支出</w:t>
      </w:r>
      <w:r>
        <w:rPr>
          <w:rFonts w:ascii="仿宋_GB2312" w:eastAsia="仿宋_GB2312"/>
          <w:sz w:val="28"/>
          <w:szCs w:val="28"/>
        </w:rPr>
        <w:t>2</w:t>
      </w:r>
      <w:r>
        <w:rPr>
          <w:rFonts w:hint="eastAsia" w:ascii="仿宋_GB2312" w:eastAsia="仿宋_GB2312"/>
          <w:sz w:val="28"/>
          <w:szCs w:val="28"/>
          <w:lang w:val="en-US" w:eastAsia="zh-CN"/>
        </w:rPr>
        <w:t>,</w:t>
      </w:r>
      <w:r>
        <w:rPr>
          <w:rFonts w:ascii="仿宋_GB2312" w:eastAsia="仿宋_GB2312"/>
          <w:sz w:val="28"/>
          <w:szCs w:val="28"/>
        </w:rPr>
        <w:t>625</w:t>
      </w:r>
      <w:r>
        <w:rPr>
          <w:rFonts w:hint="eastAsia" w:ascii="仿宋_GB2312" w:eastAsia="仿宋_GB2312"/>
          <w:sz w:val="28"/>
          <w:szCs w:val="28"/>
          <w:lang w:val="en-US" w:eastAsia="zh-CN"/>
        </w:rPr>
        <w:t>,</w:t>
      </w:r>
      <w:r>
        <w:rPr>
          <w:rFonts w:ascii="仿宋_GB2312" w:eastAsia="仿宋_GB2312"/>
          <w:sz w:val="28"/>
          <w:szCs w:val="28"/>
        </w:rPr>
        <w:t>395.6</w:t>
      </w:r>
      <w:r>
        <w:rPr>
          <w:rFonts w:hint="eastAsia" w:ascii="仿宋_GB2312" w:eastAsia="仿宋_GB2312"/>
          <w:sz w:val="28"/>
          <w:szCs w:val="28"/>
          <w:lang w:val="en-US" w:eastAsia="zh-CN"/>
        </w:rPr>
        <w:t>0</w:t>
      </w:r>
      <w:r>
        <w:rPr>
          <w:rFonts w:hint="eastAsia" w:ascii="仿宋_GB2312" w:eastAsia="仿宋_GB2312"/>
          <w:sz w:val="28"/>
          <w:szCs w:val="28"/>
        </w:rPr>
        <w:t>元，政府采购工程支出</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元，政府采购服务支出</w:t>
      </w:r>
      <w:r>
        <w:rPr>
          <w:rFonts w:ascii="仿宋_GB2312" w:eastAsia="仿宋_GB2312"/>
          <w:sz w:val="28"/>
          <w:szCs w:val="28"/>
        </w:rPr>
        <w:t>137</w:t>
      </w:r>
      <w:r>
        <w:rPr>
          <w:rFonts w:hint="eastAsia" w:ascii="仿宋_GB2312" w:eastAsia="仿宋_GB2312"/>
          <w:sz w:val="28"/>
          <w:szCs w:val="28"/>
          <w:lang w:val="en-US" w:eastAsia="zh-CN"/>
        </w:rPr>
        <w:t>,</w:t>
      </w:r>
      <w:r>
        <w:rPr>
          <w:rFonts w:ascii="仿宋_GB2312" w:eastAsia="仿宋_GB2312"/>
          <w:sz w:val="28"/>
          <w:szCs w:val="28"/>
        </w:rPr>
        <w:t>205</w:t>
      </w:r>
      <w:r>
        <w:rPr>
          <w:rFonts w:hint="eastAsia" w:ascii="仿宋_GB2312" w:eastAsia="仿宋_GB2312"/>
          <w:sz w:val="28"/>
          <w:szCs w:val="28"/>
          <w:lang w:val="en-US" w:eastAsia="zh-CN"/>
        </w:rPr>
        <w:t>,</w:t>
      </w:r>
      <w:r>
        <w:rPr>
          <w:rFonts w:ascii="仿宋_GB2312" w:eastAsia="仿宋_GB2312"/>
          <w:sz w:val="28"/>
          <w:szCs w:val="28"/>
        </w:rPr>
        <w:t>570.51</w:t>
      </w:r>
      <w:r>
        <w:rPr>
          <w:rFonts w:hint="eastAsia" w:ascii="仿宋_GB2312" w:eastAsia="仿宋_GB2312"/>
          <w:sz w:val="28"/>
          <w:szCs w:val="28"/>
        </w:rPr>
        <w:t>元。授予中小企业合同金额</w:t>
      </w:r>
      <w:r>
        <w:rPr>
          <w:rFonts w:ascii="仿宋_GB2312" w:eastAsia="仿宋_GB2312"/>
          <w:sz w:val="28"/>
          <w:szCs w:val="28"/>
        </w:rPr>
        <w:t>4</w:t>
      </w:r>
      <w:r>
        <w:rPr>
          <w:rFonts w:hint="eastAsia" w:ascii="仿宋_GB2312" w:eastAsia="仿宋_GB2312"/>
          <w:sz w:val="28"/>
          <w:szCs w:val="28"/>
          <w:lang w:val="en-US" w:eastAsia="zh-CN"/>
        </w:rPr>
        <w:t>,</w:t>
      </w:r>
      <w:r>
        <w:rPr>
          <w:rFonts w:ascii="仿宋_GB2312" w:eastAsia="仿宋_GB2312"/>
          <w:sz w:val="28"/>
          <w:szCs w:val="28"/>
        </w:rPr>
        <w:t>082</w:t>
      </w:r>
      <w:r>
        <w:rPr>
          <w:rFonts w:hint="eastAsia" w:ascii="仿宋_GB2312" w:eastAsia="仿宋_GB2312"/>
          <w:sz w:val="28"/>
          <w:szCs w:val="28"/>
          <w:lang w:val="en-US" w:eastAsia="zh-CN"/>
        </w:rPr>
        <w:t>,</w:t>
      </w:r>
      <w:r>
        <w:rPr>
          <w:rFonts w:ascii="仿宋_GB2312" w:eastAsia="仿宋_GB2312"/>
          <w:sz w:val="28"/>
          <w:szCs w:val="28"/>
        </w:rPr>
        <w:t>534.6</w:t>
      </w:r>
      <w:r>
        <w:rPr>
          <w:rFonts w:hint="eastAsia" w:ascii="仿宋_GB2312" w:eastAsia="仿宋_GB2312"/>
          <w:sz w:val="28"/>
          <w:szCs w:val="28"/>
          <w:lang w:val="en-US" w:eastAsia="zh-CN"/>
        </w:rPr>
        <w:t>0</w:t>
      </w:r>
      <w:r>
        <w:rPr>
          <w:rFonts w:hint="eastAsia" w:ascii="仿宋_GB2312" w:eastAsia="仿宋_GB2312"/>
          <w:sz w:val="28"/>
          <w:szCs w:val="28"/>
        </w:rPr>
        <w:t>元，占政府采购支出总额的2.9%，其中：授予小微企业合同金额</w:t>
      </w:r>
      <w:r>
        <w:rPr>
          <w:rFonts w:ascii="仿宋_GB2312" w:eastAsia="仿宋_GB2312"/>
          <w:sz w:val="28"/>
          <w:szCs w:val="28"/>
        </w:rPr>
        <w:t>4</w:t>
      </w:r>
      <w:r>
        <w:rPr>
          <w:rFonts w:hint="eastAsia" w:ascii="仿宋_GB2312" w:eastAsia="仿宋_GB2312"/>
          <w:sz w:val="28"/>
          <w:szCs w:val="28"/>
          <w:lang w:val="en-US" w:eastAsia="zh-CN"/>
        </w:rPr>
        <w:t>,</w:t>
      </w:r>
      <w:r>
        <w:rPr>
          <w:rFonts w:ascii="仿宋_GB2312" w:eastAsia="仿宋_GB2312"/>
          <w:sz w:val="28"/>
          <w:szCs w:val="28"/>
        </w:rPr>
        <w:t>051</w:t>
      </w:r>
      <w:r>
        <w:rPr>
          <w:rFonts w:hint="eastAsia" w:ascii="仿宋_GB2312" w:eastAsia="仿宋_GB2312"/>
          <w:sz w:val="28"/>
          <w:szCs w:val="28"/>
          <w:lang w:val="en-US" w:eastAsia="zh-CN"/>
        </w:rPr>
        <w:t>,</w:t>
      </w:r>
      <w:r>
        <w:rPr>
          <w:rFonts w:ascii="仿宋_GB2312" w:eastAsia="仿宋_GB2312"/>
          <w:sz w:val="28"/>
          <w:szCs w:val="28"/>
        </w:rPr>
        <w:t>134.6</w:t>
      </w:r>
      <w:r>
        <w:rPr>
          <w:rFonts w:hint="eastAsia" w:ascii="仿宋_GB2312" w:eastAsia="仿宋_GB2312"/>
          <w:sz w:val="28"/>
          <w:szCs w:val="28"/>
          <w:lang w:val="en-US" w:eastAsia="zh-CN"/>
        </w:rPr>
        <w:t>0</w:t>
      </w:r>
      <w:r>
        <w:rPr>
          <w:rFonts w:hint="eastAsia" w:ascii="仿宋_GB2312" w:eastAsia="仿宋_GB2312"/>
          <w:sz w:val="28"/>
          <w:szCs w:val="28"/>
        </w:rPr>
        <w:t>元，占政府采购支出总额的</w:t>
      </w:r>
      <w:r>
        <w:rPr>
          <w:rFonts w:ascii="仿宋_GB2312" w:eastAsia="仿宋_GB2312"/>
          <w:sz w:val="28"/>
          <w:szCs w:val="28"/>
        </w:rPr>
        <w:t>2.9</w:t>
      </w:r>
      <w:r>
        <w:rPr>
          <w:rFonts w:hint="eastAsia" w:ascii="仿宋_GB2312" w:eastAsia="仿宋_GB2312"/>
          <w:sz w:val="28"/>
          <w:szCs w:val="28"/>
        </w:rPr>
        <w:t>%。</w:t>
      </w:r>
    </w:p>
    <w:p>
      <w:pPr>
        <w:ind w:firstLine="560" w:firstLineChars="200"/>
        <w:rPr>
          <w:rFonts w:ascii="黑体" w:eastAsia="黑体"/>
          <w:sz w:val="28"/>
          <w:szCs w:val="28"/>
          <w:highlight w:val="yellow"/>
        </w:rPr>
      </w:pPr>
      <w:r>
        <w:rPr>
          <w:rFonts w:hint="eastAsia" w:ascii="黑体" w:eastAsia="黑体"/>
          <w:sz w:val="28"/>
          <w:szCs w:val="28"/>
        </w:rPr>
        <w:t>四、国有资产占用情况</w:t>
      </w:r>
    </w:p>
    <w:p>
      <w:pPr>
        <w:ind w:firstLine="560" w:firstLineChars="200"/>
        <w:rPr>
          <w:rFonts w:ascii="仿宋_GB2312" w:eastAsia="仿宋_GB2312"/>
          <w:sz w:val="32"/>
          <w:szCs w:val="32"/>
        </w:rPr>
      </w:pPr>
      <w:r>
        <w:rPr>
          <w:rFonts w:hint="eastAsia" w:ascii="仿宋_GB2312" w:eastAsia="仿宋_GB2312"/>
          <w:sz w:val="28"/>
          <w:szCs w:val="28"/>
        </w:rPr>
        <w:t>截至12月31日，北京市门头沟区应急管理局（部门）共有车辆13台；单位价值100元（含）以上的设备</w:t>
      </w:r>
      <w:r>
        <w:rPr>
          <w:rFonts w:hint="eastAsia" w:ascii="仿宋_GB2312" w:eastAsia="仿宋_GB2312"/>
          <w:sz w:val="28"/>
          <w:szCs w:val="28"/>
          <w:lang w:val="en-US" w:eastAsia="zh-CN"/>
        </w:rPr>
        <w:t>5</w:t>
      </w:r>
      <w:r>
        <w:rPr>
          <w:rFonts w:hint="eastAsia" w:ascii="仿宋_GB2312" w:eastAsia="仿宋_GB2312"/>
          <w:sz w:val="28"/>
          <w:szCs w:val="28"/>
        </w:rPr>
        <w:t>台（套）。</w:t>
      </w:r>
    </w:p>
    <w:p>
      <w:pPr>
        <w:ind w:firstLine="560" w:firstLineChars="200"/>
        <w:jc w:val="left"/>
        <w:rPr>
          <w:rFonts w:ascii="仿宋_GB2312" w:eastAsia="仿宋_GB2312"/>
          <w:color w:val="000000"/>
          <w:sz w:val="32"/>
          <w:szCs w:val="32"/>
        </w:rPr>
      </w:pPr>
      <w:r>
        <w:rPr>
          <w:rFonts w:hint="eastAsia" w:ascii="黑体" w:eastAsia="黑体"/>
          <w:sz w:val="28"/>
          <w:szCs w:val="28"/>
        </w:rPr>
        <w:t>五、</w:t>
      </w:r>
      <w:r>
        <w:rPr>
          <w:rFonts w:ascii="黑体" w:eastAsia="黑体"/>
          <w:sz w:val="28"/>
          <w:szCs w:val="28"/>
        </w:rPr>
        <w:t>专业名词解释</w:t>
      </w:r>
    </w:p>
    <w:p>
      <w:pPr>
        <w:ind w:firstLine="560" w:firstLineChars="200"/>
        <w:rPr>
          <w:rFonts w:ascii="仿宋_GB2312" w:eastAsia="仿宋_GB2312"/>
          <w:sz w:val="28"/>
          <w:szCs w:val="28"/>
        </w:rPr>
      </w:pPr>
      <w:r>
        <w:rPr>
          <w:rFonts w:hint="eastAsia" w:ascii="仿宋_GB2312" w:eastAsia="仿宋_GB2312"/>
          <w:sz w:val="28"/>
          <w:szCs w:val="28"/>
        </w:rPr>
        <w:t>1.基本支出：指为保障机构正常运转、完成日常工作任务而发生的人员支出和公用支出。</w:t>
      </w:r>
    </w:p>
    <w:p>
      <w:pPr>
        <w:ind w:firstLine="560" w:firstLineChars="200"/>
        <w:rPr>
          <w:rFonts w:ascii="仿宋_GB2312" w:eastAsia="仿宋_GB2312"/>
          <w:sz w:val="28"/>
          <w:szCs w:val="28"/>
        </w:rPr>
      </w:pPr>
      <w:r>
        <w:rPr>
          <w:rFonts w:hint="eastAsia" w:ascii="仿宋_GB2312" w:eastAsia="仿宋_GB2312"/>
          <w:sz w:val="28"/>
          <w:szCs w:val="28"/>
        </w:rPr>
        <w:t>2.项目支出：指在基本支出之外为完成特定行政任务或事业发展目标所发生的支出。</w:t>
      </w:r>
    </w:p>
    <w:p>
      <w:pPr>
        <w:ind w:firstLine="560" w:firstLineChars="200"/>
        <w:rPr>
          <w:rFonts w:ascii="仿宋_GB2312" w:eastAsia="仿宋_GB2312"/>
          <w:sz w:val="28"/>
          <w:szCs w:val="28"/>
        </w:rPr>
      </w:pPr>
      <w:r>
        <w:rPr>
          <w:rFonts w:hint="eastAsia" w:ascii="仿宋_GB2312" w:eastAsia="仿宋_GB2312"/>
          <w:sz w:val="28"/>
          <w:szCs w:val="28"/>
        </w:rPr>
        <w:t>3.“三公”经费：是指单位通过财政拨款资金安排的因公出国（境）费、公务用车购置及运行费和公务接待费。</w:t>
      </w:r>
    </w:p>
    <w:p>
      <w:pPr>
        <w:ind w:firstLine="560" w:firstLineChars="200"/>
      </w:pPr>
      <w:r>
        <w:rPr>
          <w:rFonts w:hint="eastAsia" w:ascii="仿宋_GB2312" w:eastAsia="仿宋_GB2312"/>
          <w:sz w:val="28"/>
          <w:szCs w:val="28"/>
        </w:rPr>
        <w:t>4.机关运行经费：反映为保障行政单位（包括参照公务员法管理的事业单位）运行用于购买货物和服务的各项资金，包括办公费、会议费、培训费、委托业务费、公务接待费、公务用车运行维护费、维修（护）费及其他费用。</w:t>
      </w:r>
    </w:p>
    <w:p>
      <w:pPr>
        <w:ind w:firstLine="560" w:firstLineChars="200"/>
        <w:rPr>
          <w:rFonts w:ascii="仿宋_GB2312" w:eastAsia="仿宋_GB2312"/>
          <w:sz w:val="28"/>
          <w:szCs w:val="28"/>
        </w:rPr>
      </w:pPr>
      <w:r>
        <w:rPr>
          <w:rFonts w:hint="eastAsia" w:ascii="仿宋_GB2312" w:eastAsia="仿宋_GB2312"/>
          <w:sz w:val="28"/>
          <w:szCs w:val="28"/>
        </w:rPr>
        <w:t>5.政府采购：指各级国家机关、事业单位和团体组织，使用财政性资金采购依法制定的集中目录以内的或者采购限额标准以上的货物、工程和服务的行为，是规范财政支出管理和强化预算约束的有效措施。</w:t>
      </w:r>
    </w:p>
    <w:p>
      <w:pPr>
        <w:ind w:firstLine="560" w:firstLineChars="200"/>
        <w:rPr>
          <w:rFonts w:ascii="仿宋_GB2312" w:eastAsia="仿宋_GB2312"/>
          <w:bCs/>
          <w:sz w:val="28"/>
          <w:szCs w:val="28"/>
        </w:rPr>
      </w:pPr>
      <w:r>
        <w:rPr>
          <w:rFonts w:hint="eastAsia" w:ascii="仿宋_GB2312" w:eastAsia="仿宋_GB2312"/>
          <w:sz w:val="28"/>
          <w:szCs w:val="28"/>
        </w:rPr>
        <w:t>6.灾害防治及应急管理支出（类）应急管理事物（款）应急管理（项）：反映用于应急管理的法律法规制定修订，应急预案演练、协调保障等方面支持。</w:t>
      </w:r>
    </w:p>
    <w:p>
      <w:pPr>
        <w:ind w:firstLine="420" w:firstLineChars="150"/>
        <w:rPr>
          <w:rFonts w:ascii="仿宋_GB2312" w:eastAsia="仿宋_GB2312"/>
          <w:sz w:val="28"/>
          <w:szCs w:val="28"/>
        </w:rPr>
      </w:pPr>
    </w:p>
    <w:p>
      <w:pPr>
        <w:rPr>
          <w:rFonts w:ascii="黑体" w:eastAsia="黑体"/>
          <w:sz w:val="32"/>
          <w:szCs w:val="32"/>
        </w:rPr>
      </w:pPr>
    </w:p>
    <w:p>
      <w:pPr>
        <w:tabs>
          <w:tab w:val="center" w:pos="6979"/>
        </w:tabs>
        <w:spacing w:line="380" w:lineRule="exact"/>
        <w:jc w:val="center"/>
        <w:rPr>
          <w:rFonts w:ascii="宋体" w:hAnsi="宋体" w:cs="宋体"/>
          <w:b/>
          <w:bCs/>
          <w:kern w:val="0"/>
          <w:sz w:val="28"/>
          <w:szCs w:val="28"/>
        </w:rPr>
      </w:pPr>
    </w:p>
    <w:p>
      <w:pPr>
        <w:tabs>
          <w:tab w:val="center" w:pos="6979"/>
        </w:tabs>
        <w:spacing w:line="380" w:lineRule="exact"/>
        <w:jc w:val="center"/>
        <w:rPr>
          <w:rFonts w:ascii="宋体" w:hAnsi="宋体" w:cs="宋体"/>
          <w:b/>
          <w:bCs/>
          <w:kern w:val="0"/>
          <w:sz w:val="28"/>
          <w:szCs w:val="28"/>
        </w:rPr>
      </w:pPr>
    </w:p>
    <w:p>
      <w:pPr>
        <w:rPr>
          <w:rFonts w:ascii="黑体" w:eastAsia="黑体"/>
          <w:sz w:val="32"/>
          <w:szCs w:val="32"/>
        </w:rPr>
      </w:pPr>
    </w:p>
    <w:p>
      <w:pPr>
        <w:ind w:firstLine="640" w:firstLineChars="200"/>
        <w:jc w:val="center"/>
        <w:rPr>
          <w:rFonts w:ascii="黑体" w:eastAsia="黑体"/>
          <w:sz w:val="32"/>
          <w:szCs w:val="32"/>
        </w:rPr>
      </w:pPr>
    </w:p>
    <w:p>
      <w:pPr>
        <w:pStyle w:val="2"/>
      </w:pPr>
    </w:p>
    <w:p>
      <w:pPr>
        <w:tabs>
          <w:tab w:val="center" w:pos="6979"/>
        </w:tabs>
        <w:spacing w:line="580" w:lineRule="exact"/>
        <w:ind w:firstLine="720" w:firstLineChars="200"/>
        <w:jc w:val="center"/>
        <w:rPr>
          <w:rFonts w:asciiTheme="minorEastAsia" w:hAnsiTheme="minorEastAsia" w:eastAsiaTheme="minorEastAsia"/>
          <w:b/>
          <w:sz w:val="36"/>
          <w:szCs w:val="36"/>
        </w:rPr>
      </w:pPr>
      <w:r>
        <w:rPr>
          <w:rFonts w:hint="eastAsia" w:asciiTheme="minorEastAsia" w:hAnsiTheme="minorEastAsia" w:eastAsiaTheme="minorEastAsia"/>
          <w:b/>
          <w:sz w:val="36"/>
          <w:szCs w:val="36"/>
        </w:rPr>
        <w:t>第四部分2025年度部门绩效评价情况</w:t>
      </w:r>
    </w:p>
    <w:p>
      <w:pPr>
        <w:tabs>
          <w:tab w:val="center" w:pos="6979"/>
        </w:tabs>
        <w:spacing w:line="580" w:lineRule="exact"/>
        <w:ind w:firstLine="560" w:firstLineChars="200"/>
        <w:jc w:val="center"/>
        <w:rPr>
          <w:rFonts w:hint="eastAsia" w:ascii="华文中宋" w:hAnsi="华文中宋" w:eastAsia="华文中宋"/>
          <w:sz w:val="28"/>
          <w:szCs w:val="28"/>
        </w:rPr>
      </w:pPr>
    </w:p>
    <w:p>
      <w:pPr>
        <w:spacing w:line="580" w:lineRule="exact"/>
        <w:ind w:firstLine="640" w:firstLineChars="200"/>
        <w:rPr>
          <w:rFonts w:hint="eastAsia" w:ascii="黑体" w:hAnsi="黑体" w:eastAsia="黑体"/>
          <w:sz w:val="32"/>
          <w:szCs w:val="32"/>
        </w:rPr>
      </w:pPr>
      <w:r>
        <w:rPr>
          <w:rFonts w:hint="eastAsia" w:ascii="黑体" w:eastAsia="黑体"/>
          <w:sz w:val="32"/>
          <w:szCs w:val="32"/>
        </w:rPr>
        <w:t xml:space="preserve"> </w:t>
      </w:r>
      <w:r>
        <w:rPr>
          <w:rFonts w:hint="eastAsia" w:ascii="黑体" w:hAnsi="黑体" w:eastAsia="黑体"/>
          <w:sz w:val="32"/>
          <w:szCs w:val="32"/>
        </w:rPr>
        <w:t>一、部门整体绩效评价报告</w:t>
      </w:r>
    </w:p>
    <w:p>
      <w:pPr>
        <w:spacing w:line="580" w:lineRule="exact"/>
        <w:ind w:firstLine="640"/>
        <w:rPr>
          <w:rFonts w:hint="eastAsia" w:ascii="楷体_GB2312" w:hAnsi="Calibri" w:eastAsia="楷体_GB2312"/>
          <w:b/>
          <w:sz w:val="32"/>
          <w:szCs w:val="32"/>
        </w:rPr>
      </w:pPr>
      <w:r>
        <w:rPr>
          <w:rFonts w:hint="eastAsia" w:ascii="楷体_GB2312" w:eastAsia="楷体_GB2312"/>
          <w:b/>
          <w:sz w:val="32"/>
          <w:szCs w:val="32"/>
        </w:rPr>
        <w:t>（一）部门概况</w:t>
      </w:r>
    </w:p>
    <w:p>
      <w:pPr>
        <w:spacing w:line="520" w:lineRule="exact"/>
        <w:ind w:firstLine="640"/>
        <w:rPr>
          <w:rFonts w:hint="eastAsia" w:ascii="仿宋_GB2312" w:eastAsia="仿宋_GB2312"/>
          <w:sz w:val="28"/>
          <w:szCs w:val="32"/>
          <w:lang w:eastAsia="zh-CN"/>
        </w:rPr>
      </w:pPr>
      <w:bookmarkStart w:id="0" w:name="_Toc268005755"/>
      <w:r>
        <w:rPr>
          <w:rFonts w:hint="eastAsia" w:ascii="仿宋_GB2312" w:eastAsia="仿宋_GB2312"/>
          <w:sz w:val="28"/>
          <w:szCs w:val="28"/>
        </w:rPr>
        <w:t>1.</w:t>
      </w:r>
      <w:r>
        <w:rPr>
          <w:rFonts w:hint="eastAsia" w:ascii="仿宋_GB2312" w:eastAsia="仿宋_GB2312"/>
          <w:sz w:val="28"/>
          <w:szCs w:val="28"/>
          <w:lang w:val="en-US" w:eastAsia="zh-CN"/>
        </w:rPr>
        <w:t>单位</w:t>
      </w:r>
      <w:r>
        <w:rPr>
          <w:rFonts w:hint="eastAsia" w:ascii="仿宋_GB2312" w:eastAsia="仿宋_GB2312"/>
          <w:sz w:val="28"/>
          <w:szCs w:val="28"/>
        </w:rPr>
        <w:t>职责情况</w:t>
      </w:r>
      <w:r>
        <w:rPr>
          <w:rFonts w:hint="eastAsia" w:ascii="仿宋_GB2312" w:eastAsia="仿宋_GB2312"/>
          <w:sz w:val="28"/>
          <w:szCs w:val="28"/>
          <w:lang w:eastAsia="zh-CN"/>
        </w:rPr>
        <w:t>：</w:t>
      </w:r>
      <w:r>
        <w:rPr>
          <w:rFonts w:hint="eastAsia" w:ascii="仿宋_GB2312" w:eastAsia="仿宋_GB2312"/>
          <w:sz w:val="28"/>
          <w:szCs w:val="32"/>
        </w:rPr>
        <w:t>负责本区应急管理工作，指导各镇街各部门各单位应对安全生产类、自然灾害类等突发事件和综合防灾减灾救灾工作。负责安全生产综合监督管理和工矿商贸行业安全生产监督管理</w:t>
      </w:r>
      <w:r>
        <w:rPr>
          <w:rFonts w:hint="eastAsia" w:ascii="仿宋_GB2312" w:eastAsia="仿宋_GB2312"/>
          <w:sz w:val="28"/>
          <w:szCs w:val="32"/>
          <w:lang w:val="en-US" w:eastAsia="zh-CN"/>
        </w:rPr>
        <w:t>等</w:t>
      </w:r>
      <w:r>
        <w:rPr>
          <w:rFonts w:hint="eastAsia" w:ascii="仿宋_GB2312" w:eastAsia="仿宋_GB2312"/>
          <w:sz w:val="28"/>
          <w:szCs w:val="32"/>
        </w:rPr>
        <w:t>工作</w:t>
      </w:r>
      <w:r>
        <w:rPr>
          <w:rFonts w:hint="eastAsia" w:ascii="仿宋_GB2312" w:eastAsia="仿宋_GB2312"/>
          <w:sz w:val="28"/>
          <w:szCs w:val="32"/>
          <w:lang w:eastAsia="zh-CN"/>
        </w:rPr>
        <w:t>。</w:t>
      </w:r>
    </w:p>
    <w:p>
      <w:pPr>
        <w:spacing w:line="520" w:lineRule="exact"/>
        <w:ind w:firstLine="640"/>
        <w:rPr>
          <w:rFonts w:hint="default" w:ascii="仿宋_GB2312" w:eastAsia="仿宋_GB2312"/>
          <w:sz w:val="28"/>
          <w:szCs w:val="32"/>
          <w:lang w:val="en-US" w:eastAsia="zh-CN"/>
        </w:rPr>
      </w:pPr>
      <w:r>
        <w:rPr>
          <w:rFonts w:hint="eastAsia" w:ascii="仿宋_GB2312" w:eastAsia="仿宋_GB2312"/>
          <w:sz w:val="28"/>
          <w:szCs w:val="32"/>
        </w:rPr>
        <w:t>2.部门机构设置情况</w:t>
      </w:r>
      <w:r>
        <w:rPr>
          <w:rFonts w:hint="eastAsia" w:ascii="仿宋_GB2312" w:eastAsia="仿宋_GB2312"/>
          <w:sz w:val="28"/>
          <w:szCs w:val="32"/>
          <w:lang w:eastAsia="zh-CN"/>
        </w:rPr>
        <w:t>：</w:t>
      </w:r>
      <w:r>
        <w:rPr>
          <w:rFonts w:hint="eastAsia" w:ascii="仿宋_GB2312" w:eastAsia="仿宋_GB2312"/>
          <w:sz w:val="28"/>
          <w:szCs w:val="32"/>
          <w:lang w:val="en-US" w:eastAsia="zh-CN"/>
        </w:rPr>
        <w:t>本部门共设三个单位分别为应急管理局（本级）、应急管理事务中心、应急管理指挥中心。</w:t>
      </w:r>
    </w:p>
    <w:p>
      <w:pPr>
        <w:spacing w:line="520" w:lineRule="exact"/>
        <w:ind w:firstLine="640"/>
        <w:rPr>
          <w:rFonts w:hint="eastAsia" w:ascii="仿宋_GB2312" w:eastAsia="仿宋_GB2312"/>
          <w:sz w:val="32"/>
          <w:szCs w:val="32"/>
        </w:rPr>
      </w:pPr>
      <w:r>
        <w:rPr>
          <w:rFonts w:hint="eastAsia" w:ascii="仿宋_GB2312" w:eastAsia="仿宋_GB2312"/>
          <w:sz w:val="28"/>
          <w:szCs w:val="32"/>
        </w:rPr>
        <w:t>3.2025年主要工作任务</w:t>
      </w:r>
      <w:r>
        <w:rPr>
          <w:rFonts w:hint="eastAsia" w:ascii="仿宋_GB2312" w:eastAsia="仿宋_GB2312"/>
          <w:sz w:val="28"/>
          <w:szCs w:val="32"/>
          <w:lang w:eastAsia="zh-CN"/>
        </w:rPr>
        <w:t>：</w:t>
      </w:r>
      <w:r>
        <w:rPr>
          <w:rFonts w:hint="eastAsia" w:ascii="仿宋_GB2312" w:eastAsia="仿宋_GB2312"/>
          <w:sz w:val="28"/>
          <w:szCs w:val="32"/>
          <w:lang w:val="en-US" w:eastAsia="zh-CN"/>
        </w:rPr>
        <w:t>保障我区应急指挥系统全年正常运转，及时处置上报相关突发事件，保障“安全生产治本攻坚三年行动”开展。</w:t>
      </w:r>
    </w:p>
    <w:bookmarkEnd w:id="0"/>
    <w:p>
      <w:pPr>
        <w:spacing w:line="580" w:lineRule="exact"/>
        <w:ind w:firstLine="640"/>
        <w:rPr>
          <w:rFonts w:hint="eastAsia" w:ascii="仿宋_GB2312" w:eastAsia="仿宋_GB2312"/>
          <w:sz w:val="28"/>
          <w:szCs w:val="28"/>
        </w:rPr>
      </w:pPr>
      <w:bookmarkStart w:id="1" w:name="_Toc268005759"/>
      <w:bookmarkStart w:id="2" w:name="_Toc263686375"/>
      <w:r>
        <w:rPr>
          <w:rFonts w:hint="eastAsia" w:ascii="仿宋_GB2312" w:eastAsia="仿宋_GB2312"/>
          <w:sz w:val="28"/>
          <w:szCs w:val="28"/>
        </w:rPr>
        <w:t>4.部门</w:t>
      </w:r>
      <w:bookmarkEnd w:id="1"/>
      <w:r>
        <w:rPr>
          <w:rFonts w:hint="eastAsia" w:ascii="仿宋_GB2312" w:eastAsia="仿宋_GB2312"/>
          <w:sz w:val="28"/>
          <w:szCs w:val="28"/>
        </w:rPr>
        <w:t>整体绩效目标设立情况</w:t>
      </w:r>
    </w:p>
    <w:tbl>
      <w:tblPr>
        <w:tblStyle w:val="10"/>
        <w:tblW w:w="5000" w:type="pct"/>
        <w:tblInd w:w="0" w:type="dxa"/>
        <w:tblLayout w:type="autofit"/>
        <w:tblCellMar>
          <w:top w:w="0" w:type="dxa"/>
          <w:left w:w="108" w:type="dxa"/>
          <w:bottom w:w="0" w:type="dxa"/>
          <w:right w:w="108" w:type="dxa"/>
        </w:tblCellMar>
      </w:tblPr>
      <w:tblGrid>
        <w:gridCol w:w="1684"/>
        <w:gridCol w:w="4416"/>
        <w:gridCol w:w="2196"/>
        <w:gridCol w:w="1694"/>
        <w:gridCol w:w="2203"/>
        <w:gridCol w:w="2593"/>
      </w:tblGrid>
      <w:tr>
        <w:tblPrEx>
          <w:tblCellMar>
            <w:top w:w="0" w:type="dxa"/>
            <w:left w:w="108" w:type="dxa"/>
            <w:bottom w:w="0" w:type="dxa"/>
            <w:right w:w="108" w:type="dxa"/>
          </w:tblCellMar>
        </w:tblPrEx>
        <w:trPr>
          <w:trHeight w:val="275" w:hRule="atLeast"/>
        </w:trPr>
        <w:tc>
          <w:tcPr>
            <w:tcW w:w="680" w:type="pct"/>
            <w:tcBorders>
              <w:top w:val="single" w:color="auto" w:sz="4" w:space="0"/>
              <w:left w:val="single" w:color="auto" w:sz="4" w:space="0"/>
              <w:bottom w:val="single" w:color="auto" w:sz="4" w:space="0"/>
              <w:right w:val="single" w:color="auto" w:sz="4" w:space="0"/>
            </w:tcBorders>
            <w:noWrap/>
            <w:vAlign w:val="bottom"/>
          </w:tcPr>
          <w:p>
            <w:pPr>
              <w:spacing w:line="520" w:lineRule="exact"/>
              <w:jc w:val="center"/>
              <w:rPr>
                <w:rFonts w:hint="eastAsia" w:ascii="仿宋_GB2312" w:eastAsia="仿宋_GB2312"/>
                <w:sz w:val="28"/>
                <w:szCs w:val="28"/>
              </w:rPr>
            </w:pPr>
            <w:r>
              <w:rPr>
                <w:rFonts w:hint="eastAsia" w:ascii="仿宋_GB2312" w:eastAsia="仿宋_GB2312"/>
                <w:sz w:val="28"/>
                <w:szCs w:val="28"/>
              </w:rPr>
              <w:t>序号</w:t>
            </w:r>
          </w:p>
        </w:tc>
        <w:tc>
          <w:tcPr>
            <w:tcW w:w="941" w:type="pct"/>
            <w:tcBorders>
              <w:top w:val="single" w:color="auto" w:sz="4" w:space="0"/>
              <w:left w:val="single" w:color="auto" w:sz="4" w:space="0"/>
              <w:bottom w:val="single" w:color="auto" w:sz="4" w:space="0"/>
              <w:right w:val="single" w:color="auto" w:sz="4" w:space="0"/>
            </w:tcBorders>
            <w:noWrap/>
            <w:vAlign w:val="bottom"/>
          </w:tcPr>
          <w:p>
            <w:pPr>
              <w:spacing w:line="520" w:lineRule="exact"/>
              <w:jc w:val="center"/>
              <w:rPr>
                <w:rFonts w:hint="eastAsia" w:ascii="仿宋_GB2312" w:eastAsia="仿宋_GB2312"/>
                <w:sz w:val="28"/>
                <w:szCs w:val="28"/>
              </w:rPr>
            </w:pPr>
            <w:r>
              <w:rPr>
                <w:rFonts w:hint="eastAsia" w:ascii="仿宋_GB2312" w:eastAsia="仿宋_GB2312"/>
                <w:sz w:val="28"/>
                <w:szCs w:val="28"/>
              </w:rPr>
              <w:t>三级指标</w:t>
            </w:r>
          </w:p>
        </w:tc>
        <w:tc>
          <w:tcPr>
            <w:tcW w:w="853" w:type="pct"/>
            <w:tcBorders>
              <w:top w:val="single" w:color="auto" w:sz="4" w:space="0"/>
              <w:left w:val="single" w:color="auto" w:sz="4" w:space="0"/>
              <w:bottom w:val="single" w:color="auto" w:sz="4" w:space="0"/>
              <w:right w:val="single" w:color="auto" w:sz="4" w:space="0"/>
            </w:tcBorders>
            <w:noWrap/>
            <w:vAlign w:val="bottom"/>
          </w:tcPr>
          <w:p>
            <w:pPr>
              <w:spacing w:line="520" w:lineRule="exact"/>
              <w:jc w:val="center"/>
              <w:rPr>
                <w:rFonts w:hint="eastAsia" w:ascii="仿宋_GB2312" w:eastAsia="仿宋_GB2312"/>
                <w:sz w:val="28"/>
                <w:szCs w:val="28"/>
              </w:rPr>
            </w:pPr>
            <w:r>
              <w:rPr>
                <w:rFonts w:hint="eastAsia" w:ascii="仿宋_GB2312" w:eastAsia="仿宋_GB2312"/>
                <w:sz w:val="28"/>
                <w:szCs w:val="28"/>
              </w:rPr>
              <w:t>指标性质</w:t>
            </w:r>
          </w:p>
        </w:tc>
        <w:tc>
          <w:tcPr>
            <w:tcW w:w="683" w:type="pct"/>
            <w:tcBorders>
              <w:top w:val="single" w:color="auto" w:sz="4" w:space="0"/>
              <w:left w:val="single" w:color="auto" w:sz="4" w:space="0"/>
              <w:bottom w:val="single" w:color="auto" w:sz="4" w:space="0"/>
              <w:right w:val="single" w:color="auto" w:sz="4" w:space="0"/>
            </w:tcBorders>
            <w:noWrap/>
            <w:vAlign w:val="bottom"/>
          </w:tcPr>
          <w:p>
            <w:pPr>
              <w:spacing w:line="520" w:lineRule="exact"/>
              <w:jc w:val="center"/>
              <w:rPr>
                <w:rFonts w:hint="eastAsia" w:ascii="仿宋_GB2312" w:eastAsia="仿宋_GB2312"/>
                <w:sz w:val="28"/>
                <w:szCs w:val="28"/>
              </w:rPr>
            </w:pPr>
            <w:r>
              <w:rPr>
                <w:rFonts w:hint="eastAsia" w:ascii="仿宋_GB2312" w:eastAsia="仿宋_GB2312"/>
                <w:sz w:val="28"/>
                <w:szCs w:val="28"/>
              </w:rPr>
              <w:t>指标值</w:t>
            </w:r>
          </w:p>
        </w:tc>
        <w:tc>
          <w:tcPr>
            <w:tcW w:w="855" w:type="pct"/>
            <w:tcBorders>
              <w:top w:val="single" w:color="auto" w:sz="4" w:space="0"/>
              <w:left w:val="single" w:color="auto" w:sz="4" w:space="0"/>
              <w:bottom w:val="single" w:color="auto" w:sz="4" w:space="0"/>
              <w:right w:val="single" w:color="auto" w:sz="4" w:space="0"/>
            </w:tcBorders>
          </w:tcPr>
          <w:p>
            <w:pPr>
              <w:spacing w:line="520" w:lineRule="exact"/>
              <w:jc w:val="center"/>
              <w:rPr>
                <w:rFonts w:hint="eastAsia" w:ascii="仿宋_GB2312" w:eastAsia="仿宋_GB2312"/>
                <w:sz w:val="28"/>
                <w:szCs w:val="28"/>
              </w:rPr>
            </w:pPr>
            <w:r>
              <w:rPr>
                <w:rFonts w:hint="eastAsia" w:ascii="仿宋_GB2312" w:eastAsia="仿宋_GB2312"/>
                <w:sz w:val="28"/>
                <w:szCs w:val="28"/>
              </w:rPr>
              <w:t>度量单位</w:t>
            </w:r>
          </w:p>
        </w:tc>
        <w:tc>
          <w:tcPr>
            <w:tcW w:w="987" w:type="pct"/>
            <w:tcBorders>
              <w:top w:val="single" w:color="auto" w:sz="4" w:space="0"/>
              <w:left w:val="single" w:color="auto" w:sz="4" w:space="0"/>
              <w:bottom w:val="single" w:color="auto" w:sz="4" w:space="0"/>
              <w:right w:val="single" w:color="auto" w:sz="4" w:space="0"/>
            </w:tcBorders>
          </w:tcPr>
          <w:p>
            <w:pPr>
              <w:spacing w:line="520" w:lineRule="exact"/>
              <w:jc w:val="center"/>
              <w:rPr>
                <w:rFonts w:hint="eastAsia" w:ascii="仿宋_GB2312" w:eastAsia="仿宋_GB2312"/>
                <w:sz w:val="28"/>
                <w:szCs w:val="28"/>
                <w:highlight w:val="none"/>
              </w:rPr>
            </w:pPr>
            <w:r>
              <w:rPr>
                <w:rFonts w:hint="eastAsia" w:ascii="仿宋_GB2312" w:eastAsia="仿宋_GB2312"/>
                <w:sz w:val="28"/>
                <w:szCs w:val="28"/>
                <w:highlight w:val="none"/>
              </w:rPr>
              <w:t>指标权重</w:t>
            </w:r>
          </w:p>
        </w:tc>
      </w:tr>
      <w:tr>
        <w:tblPrEx>
          <w:tblCellMar>
            <w:top w:w="0" w:type="dxa"/>
            <w:left w:w="108" w:type="dxa"/>
            <w:bottom w:w="0" w:type="dxa"/>
            <w:right w:w="108" w:type="dxa"/>
          </w:tblCellMar>
        </w:tblPrEx>
        <w:trPr>
          <w:trHeight w:val="275" w:hRule="atLeast"/>
        </w:trPr>
        <w:tc>
          <w:tcPr>
            <w:tcW w:w="680" w:type="pct"/>
            <w:tcBorders>
              <w:top w:val="single" w:color="auto" w:sz="4" w:space="0"/>
              <w:left w:val="single" w:color="auto" w:sz="4" w:space="0"/>
              <w:bottom w:val="single" w:color="auto" w:sz="4" w:space="0"/>
              <w:right w:val="single" w:color="auto" w:sz="4" w:space="0"/>
            </w:tcBorders>
            <w:noWrap/>
            <w:vAlign w:val="bottom"/>
          </w:tcPr>
          <w:p>
            <w:pPr>
              <w:spacing w:line="520" w:lineRule="exact"/>
              <w:jc w:val="center"/>
              <w:rPr>
                <w:rFonts w:hint="eastAsia" w:ascii="仿宋_GB2312" w:eastAsia="仿宋_GB2312"/>
                <w:sz w:val="28"/>
                <w:szCs w:val="28"/>
              </w:rPr>
            </w:pPr>
            <w:r>
              <w:rPr>
                <w:rFonts w:hint="eastAsia" w:ascii="仿宋_GB2312" w:eastAsia="仿宋_GB2312"/>
                <w:sz w:val="28"/>
                <w:szCs w:val="28"/>
              </w:rPr>
              <w:t>1</w:t>
            </w:r>
          </w:p>
        </w:tc>
        <w:tc>
          <w:tcPr>
            <w:tcW w:w="941" w:type="pct"/>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kinsoku/>
              <w:wordWrap/>
              <w:overflowPunct/>
              <w:topLinePunct w:val="0"/>
              <w:autoSpaceDE/>
              <w:autoSpaceDN/>
              <w:bidi w:val="0"/>
              <w:adjustRightInd/>
              <w:snapToGrid/>
              <w:ind w:firstLine="140" w:firstLineChars="50"/>
              <w:jc w:val="center"/>
              <w:textAlignment w:val="auto"/>
              <w:rPr>
                <w:rFonts w:hint="eastAsia" w:ascii="仿宋_GB2312" w:hAnsi="仿宋" w:eastAsia="仿宋_GB2312" w:cs="Times New Roman"/>
                <w:kern w:val="2"/>
                <w:sz w:val="28"/>
                <w:szCs w:val="28"/>
                <w:lang w:val="en-US" w:eastAsia="zh-CN" w:bidi="ar-SA"/>
              </w:rPr>
            </w:pPr>
            <w:r>
              <w:rPr>
                <w:rFonts w:hint="eastAsia" w:ascii="仿宋_GB2312" w:hAnsi="仿宋" w:eastAsia="仿宋_GB2312" w:cs="Times New Roman"/>
                <w:sz w:val="28"/>
                <w:szCs w:val="28"/>
              </w:rPr>
              <w:t>保障机关单位正常运转</w:t>
            </w:r>
          </w:p>
        </w:tc>
        <w:tc>
          <w:tcPr>
            <w:tcW w:w="853"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仿宋_GB2312" w:hAnsi="仿宋" w:eastAsia="仿宋_GB2312" w:cs="Times New Roman"/>
                <w:kern w:val="2"/>
                <w:sz w:val="28"/>
                <w:szCs w:val="28"/>
                <w:lang w:val="en-US" w:eastAsia="zh-CN" w:bidi="ar-SA"/>
              </w:rPr>
            </w:pPr>
            <w:r>
              <w:rPr>
                <w:rFonts w:hint="eastAsia" w:ascii="仿宋_GB2312" w:hAnsi="仿宋" w:eastAsia="仿宋_GB2312" w:cs="Times New Roman"/>
                <w:sz w:val="28"/>
                <w:szCs w:val="28"/>
                <w:lang w:val="en-US" w:eastAsia="zh-CN"/>
              </w:rPr>
              <w:t>100%</w:t>
            </w:r>
          </w:p>
        </w:tc>
        <w:tc>
          <w:tcPr>
            <w:tcW w:w="683"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仿宋_GB2312" w:hAnsi="仿宋" w:eastAsia="仿宋_GB2312" w:cs="Times New Roman"/>
                <w:kern w:val="2"/>
                <w:sz w:val="28"/>
                <w:szCs w:val="28"/>
                <w:lang w:val="en-US" w:eastAsia="zh-CN" w:bidi="ar-SA"/>
              </w:rPr>
            </w:pPr>
            <w:r>
              <w:rPr>
                <w:rFonts w:hint="eastAsia" w:ascii="仿宋_GB2312" w:hAnsi="仿宋" w:eastAsia="仿宋_GB2312" w:cs="Times New Roman"/>
                <w:sz w:val="28"/>
                <w:szCs w:val="28"/>
                <w:lang w:val="en-US" w:eastAsia="zh-CN"/>
              </w:rPr>
              <w:t>1</w:t>
            </w:r>
          </w:p>
        </w:tc>
        <w:tc>
          <w:tcPr>
            <w:tcW w:w="855"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仿宋" w:eastAsia="仿宋_GB2312" w:cs="Times New Roman"/>
                <w:kern w:val="2"/>
                <w:sz w:val="28"/>
                <w:szCs w:val="28"/>
                <w:lang w:val="en-US" w:eastAsia="zh-CN" w:bidi="ar-SA"/>
              </w:rPr>
            </w:pPr>
            <w:r>
              <w:rPr>
                <w:rFonts w:hint="eastAsia" w:ascii="仿宋_GB2312" w:hAnsi="仿宋" w:eastAsia="仿宋_GB2312" w:cs="Times New Roman"/>
                <w:sz w:val="28"/>
                <w:szCs w:val="28"/>
                <w:lang w:val="en-US" w:eastAsia="zh-CN"/>
              </w:rPr>
              <w:t>年</w:t>
            </w:r>
          </w:p>
        </w:tc>
        <w:tc>
          <w:tcPr>
            <w:tcW w:w="987"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仿宋_GB2312" w:hAnsi="仿宋" w:eastAsia="仿宋_GB2312" w:cs="Times New Roman"/>
                <w:kern w:val="2"/>
                <w:sz w:val="28"/>
                <w:szCs w:val="28"/>
                <w:highlight w:val="none"/>
                <w:lang w:val="en-US" w:eastAsia="zh-CN" w:bidi="ar-SA"/>
              </w:rPr>
            </w:pPr>
            <w:r>
              <w:rPr>
                <w:rFonts w:hint="eastAsia" w:ascii="仿宋_GB2312" w:hAnsi="仿宋" w:eastAsia="仿宋_GB2312" w:cs="Times New Roman"/>
                <w:kern w:val="2"/>
                <w:sz w:val="28"/>
                <w:szCs w:val="28"/>
                <w:highlight w:val="none"/>
                <w:lang w:val="en-US" w:eastAsia="zh-CN" w:bidi="ar-SA"/>
              </w:rPr>
              <w:t>10</w:t>
            </w:r>
          </w:p>
        </w:tc>
      </w:tr>
      <w:tr>
        <w:tblPrEx>
          <w:tblCellMar>
            <w:top w:w="0" w:type="dxa"/>
            <w:left w:w="108" w:type="dxa"/>
            <w:bottom w:w="0" w:type="dxa"/>
            <w:right w:w="108" w:type="dxa"/>
          </w:tblCellMar>
        </w:tblPrEx>
        <w:trPr>
          <w:trHeight w:val="275" w:hRule="atLeast"/>
        </w:trPr>
        <w:tc>
          <w:tcPr>
            <w:tcW w:w="680" w:type="pct"/>
            <w:tcBorders>
              <w:top w:val="single" w:color="auto" w:sz="4" w:space="0"/>
              <w:left w:val="single" w:color="auto" w:sz="4" w:space="0"/>
              <w:bottom w:val="single" w:color="auto" w:sz="4" w:space="0"/>
              <w:right w:val="single" w:color="auto" w:sz="4" w:space="0"/>
            </w:tcBorders>
            <w:noWrap/>
            <w:vAlign w:val="bottom"/>
          </w:tcPr>
          <w:p>
            <w:pPr>
              <w:spacing w:line="520" w:lineRule="exact"/>
              <w:jc w:val="center"/>
              <w:rPr>
                <w:rFonts w:hint="eastAsia" w:ascii="仿宋_GB2312" w:eastAsia="仿宋_GB2312"/>
                <w:sz w:val="28"/>
                <w:szCs w:val="28"/>
              </w:rPr>
            </w:pPr>
            <w:r>
              <w:rPr>
                <w:rFonts w:hint="eastAsia" w:ascii="仿宋_GB2312" w:eastAsia="仿宋_GB2312"/>
                <w:sz w:val="28"/>
                <w:szCs w:val="28"/>
              </w:rPr>
              <w:t>2</w:t>
            </w:r>
          </w:p>
        </w:tc>
        <w:tc>
          <w:tcPr>
            <w:tcW w:w="941"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仿宋_GB2312" w:hAnsi="仿宋" w:eastAsia="仿宋_GB2312" w:cs="Times New Roman"/>
                <w:kern w:val="2"/>
                <w:sz w:val="28"/>
                <w:szCs w:val="28"/>
                <w:lang w:val="en-US" w:eastAsia="zh-CN" w:bidi="ar-SA"/>
              </w:rPr>
            </w:pPr>
            <w:r>
              <w:rPr>
                <w:rFonts w:hint="eastAsia" w:ascii="仿宋_GB2312" w:hAnsi="仿宋" w:eastAsia="仿宋_GB2312" w:cs="Times New Roman"/>
                <w:sz w:val="28"/>
                <w:szCs w:val="28"/>
              </w:rPr>
              <w:t>保障应急指挥中心24小时值守</w:t>
            </w:r>
          </w:p>
        </w:tc>
        <w:tc>
          <w:tcPr>
            <w:tcW w:w="853"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仿宋_GB2312" w:hAnsi="仿宋" w:eastAsia="仿宋_GB2312" w:cs="Times New Roman"/>
                <w:kern w:val="2"/>
                <w:sz w:val="28"/>
                <w:szCs w:val="28"/>
                <w:lang w:val="en-US" w:eastAsia="zh-CN" w:bidi="ar-SA"/>
              </w:rPr>
            </w:pPr>
            <w:r>
              <w:rPr>
                <w:rFonts w:hint="eastAsia" w:ascii="仿宋_GB2312" w:hAnsi="仿宋" w:eastAsia="仿宋_GB2312" w:cs="Times New Roman"/>
                <w:sz w:val="28"/>
                <w:szCs w:val="28"/>
                <w:lang w:val="en-US" w:eastAsia="zh-CN"/>
              </w:rPr>
              <w:t>100%</w:t>
            </w:r>
          </w:p>
        </w:tc>
        <w:tc>
          <w:tcPr>
            <w:tcW w:w="683"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仿宋_GB2312" w:hAnsi="仿宋" w:eastAsia="仿宋_GB2312" w:cs="Times New Roman"/>
                <w:kern w:val="2"/>
                <w:sz w:val="28"/>
                <w:szCs w:val="28"/>
                <w:lang w:val="en-US" w:eastAsia="zh-CN" w:bidi="ar-SA"/>
              </w:rPr>
            </w:pPr>
            <w:r>
              <w:rPr>
                <w:rFonts w:hint="eastAsia" w:ascii="仿宋_GB2312" w:hAnsi="仿宋" w:eastAsia="仿宋_GB2312" w:cs="Times New Roman"/>
                <w:sz w:val="28"/>
                <w:szCs w:val="28"/>
                <w:lang w:val="en-US" w:eastAsia="zh-CN"/>
              </w:rPr>
              <w:t>24</w:t>
            </w:r>
          </w:p>
        </w:tc>
        <w:tc>
          <w:tcPr>
            <w:tcW w:w="855"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仿宋" w:eastAsia="仿宋_GB2312" w:cs="Times New Roman"/>
                <w:kern w:val="2"/>
                <w:sz w:val="28"/>
                <w:szCs w:val="28"/>
                <w:lang w:val="en-US" w:eastAsia="zh-CN" w:bidi="ar-SA"/>
              </w:rPr>
            </w:pPr>
            <w:r>
              <w:rPr>
                <w:rFonts w:hint="eastAsia" w:ascii="仿宋_GB2312" w:hAnsi="仿宋" w:eastAsia="仿宋_GB2312" w:cs="Times New Roman"/>
                <w:sz w:val="28"/>
                <w:szCs w:val="28"/>
                <w:lang w:val="en-US" w:eastAsia="zh-CN"/>
              </w:rPr>
              <w:t>小时</w:t>
            </w:r>
          </w:p>
        </w:tc>
        <w:tc>
          <w:tcPr>
            <w:tcW w:w="987"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仿宋_GB2312" w:hAnsi="仿宋" w:eastAsia="仿宋_GB2312" w:cs="Times New Roman"/>
                <w:kern w:val="2"/>
                <w:sz w:val="28"/>
                <w:szCs w:val="28"/>
                <w:highlight w:val="none"/>
                <w:lang w:val="en-US" w:eastAsia="zh-CN" w:bidi="ar-SA"/>
              </w:rPr>
            </w:pPr>
            <w:r>
              <w:rPr>
                <w:rFonts w:hint="eastAsia" w:ascii="仿宋_GB2312" w:hAnsi="仿宋" w:eastAsia="仿宋_GB2312" w:cs="Times New Roman"/>
                <w:kern w:val="2"/>
                <w:sz w:val="28"/>
                <w:szCs w:val="28"/>
                <w:highlight w:val="none"/>
                <w:lang w:val="en-US" w:eastAsia="zh-CN" w:bidi="ar-SA"/>
              </w:rPr>
              <w:t>10</w:t>
            </w:r>
          </w:p>
        </w:tc>
      </w:tr>
      <w:tr>
        <w:tblPrEx>
          <w:tblCellMar>
            <w:top w:w="0" w:type="dxa"/>
            <w:left w:w="108" w:type="dxa"/>
            <w:bottom w:w="0" w:type="dxa"/>
            <w:right w:w="108" w:type="dxa"/>
          </w:tblCellMar>
        </w:tblPrEx>
        <w:trPr>
          <w:trHeight w:val="275" w:hRule="atLeast"/>
        </w:trPr>
        <w:tc>
          <w:tcPr>
            <w:tcW w:w="680" w:type="pct"/>
            <w:tcBorders>
              <w:top w:val="single" w:color="auto" w:sz="4" w:space="0"/>
              <w:left w:val="single" w:color="auto" w:sz="4" w:space="0"/>
              <w:bottom w:val="single" w:color="auto" w:sz="4" w:space="0"/>
              <w:right w:val="single" w:color="auto" w:sz="4" w:space="0"/>
            </w:tcBorders>
            <w:noWrap/>
            <w:vAlign w:val="bottom"/>
          </w:tcPr>
          <w:p>
            <w:pPr>
              <w:spacing w:line="520" w:lineRule="exact"/>
              <w:jc w:val="center"/>
              <w:rPr>
                <w:rFonts w:hint="eastAsia" w:ascii="仿宋_GB2312" w:eastAsia="仿宋_GB2312"/>
                <w:sz w:val="28"/>
                <w:szCs w:val="28"/>
              </w:rPr>
            </w:pPr>
            <w:r>
              <w:rPr>
                <w:rFonts w:hint="eastAsia" w:ascii="仿宋_GB2312" w:eastAsia="仿宋_GB2312"/>
                <w:sz w:val="28"/>
                <w:szCs w:val="28"/>
              </w:rPr>
              <w:t>3</w:t>
            </w:r>
          </w:p>
        </w:tc>
        <w:tc>
          <w:tcPr>
            <w:tcW w:w="941"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仿宋_GB2312" w:hAnsi="仿宋" w:eastAsia="仿宋_GB2312" w:cs="Times New Roman"/>
                <w:kern w:val="2"/>
                <w:sz w:val="28"/>
                <w:szCs w:val="28"/>
                <w:lang w:val="en-US" w:eastAsia="zh-CN" w:bidi="ar-SA"/>
              </w:rPr>
            </w:pPr>
            <w:r>
              <w:rPr>
                <w:rFonts w:hint="eastAsia" w:ascii="仿宋_GB2312" w:hAnsi="仿宋" w:eastAsia="仿宋_GB2312" w:cs="Times New Roman"/>
                <w:sz w:val="28"/>
                <w:szCs w:val="28"/>
              </w:rPr>
              <w:t>保障京西哨兵系统全年正常运转</w:t>
            </w:r>
          </w:p>
        </w:tc>
        <w:tc>
          <w:tcPr>
            <w:tcW w:w="853"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仿宋_GB2312" w:hAnsi="仿宋" w:eastAsia="仿宋_GB2312" w:cs="Times New Roman"/>
                <w:kern w:val="2"/>
                <w:sz w:val="28"/>
                <w:szCs w:val="28"/>
                <w:lang w:val="en-US" w:eastAsia="zh-CN" w:bidi="ar-SA"/>
              </w:rPr>
            </w:pPr>
            <w:r>
              <w:rPr>
                <w:rFonts w:hint="eastAsia" w:ascii="仿宋_GB2312" w:hAnsi="仿宋" w:eastAsia="仿宋_GB2312" w:cs="Times New Roman"/>
                <w:sz w:val="28"/>
                <w:szCs w:val="28"/>
                <w:lang w:val="en-US" w:eastAsia="zh-CN"/>
              </w:rPr>
              <w:t>100%</w:t>
            </w:r>
          </w:p>
        </w:tc>
        <w:tc>
          <w:tcPr>
            <w:tcW w:w="683"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仿宋_GB2312" w:hAnsi="仿宋" w:eastAsia="仿宋_GB2312" w:cs="Times New Roman"/>
                <w:kern w:val="2"/>
                <w:sz w:val="28"/>
                <w:szCs w:val="28"/>
                <w:lang w:val="en-US" w:eastAsia="zh-CN" w:bidi="ar-SA"/>
              </w:rPr>
            </w:pPr>
            <w:r>
              <w:rPr>
                <w:rFonts w:hint="eastAsia" w:ascii="仿宋_GB2312" w:hAnsi="仿宋" w:eastAsia="仿宋_GB2312" w:cs="Times New Roman"/>
                <w:sz w:val="28"/>
                <w:szCs w:val="28"/>
                <w:lang w:val="en-US" w:eastAsia="zh-CN"/>
              </w:rPr>
              <w:t>1</w:t>
            </w:r>
          </w:p>
        </w:tc>
        <w:tc>
          <w:tcPr>
            <w:tcW w:w="855"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仿宋" w:eastAsia="仿宋_GB2312" w:cs="Times New Roman"/>
                <w:kern w:val="2"/>
                <w:sz w:val="28"/>
                <w:szCs w:val="28"/>
                <w:lang w:val="en-US" w:eastAsia="zh-CN" w:bidi="ar-SA"/>
              </w:rPr>
            </w:pPr>
            <w:r>
              <w:rPr>
                <w:rFonts w:hint="eastAsia" w:ascii="仿宋_GB2312" w:hAnsi="仿宋" w:eastAsia="仿宋_GB2312" w:cs="Times New Roman"/>
                <w:sz w:val="28"/>
                <w:szCs w:val="28"/>
                <w:lang w:val="en-US" w:eastAsia="zh-CN"/>
              </w:rPr>
              <w:t>年</w:t>
            </w:r>
          </w:p>
        </w:tc>
        <w:tc>
          <w:tcPr>
            <w:tcW w:w="987"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仿宋_GB2312" w:hAnsi="仿宋" w:eastAsia="仿宋_GB2312" w:cs="Times New Roman"/>
                <w:kern w:val="2"/>
                <w:sz w:val="28"/>
                <w:szCs w:val="28"/>
                <w:highlight w:val="none"/>
                <w:lang w:val="en-US" w:eastAsia="zh-CN" w:bidi="ar-SA"/>
              </w:rPr>
            </w:pPr>
            <w:r>
              <w:rPr>
                <w:rFonts w:hint="eastAsia" w:ascii="仿宋_GB2312" w:hAnsi="仿宋" w:eastAsia="仿宋_GB2312" w:cs="Times New Roman"/>
                <w:kern w:val="2"/>
                <w:sz w:val="28"/>
                <w:szCs w:val="28"/>
                <w:highlight w:val="none"/>
                <w:lang w:val="en-US" w:eastAsia="zh-CN" w:bidi="ar-SA"/>
              </w:rPr>
              <w:t>10</w:t>
            </w:r>
          </w:p>
        </w:tc>
      </w:tr>
      <w:tr>
        <w:tblPrEx>
          <w:tblCellMar>
            <w:top w:w="0" w:type="dxa"/>
            <w:left w:w="108" w:type="dxa"/>
            <w:bottom w:w="0" w:type="dxa"/>
            <w:right w:w="108" w:type="dxa"/>
          </w:tblCellMar>
        </w:tblPrEx>
        <w:trPr>
          <w:trHeight w:val="275" w:hRule="atLeast"/>
        </w:trPr>
        <w:tc>
          <w:tcPr>
            <w:tcW w:w="680" w:type="pct"/>
            <w:tcBorders>
              <w:top w:val="single" w:color="auto" w:sz="4" w:space="0"/>
              <w:left w:val="single" w:color="auto" w:sz="4" w:space="0"/>
              <w:bottom w:val="single" w:color="auto" w:sz="4" w:space="0"/>
              <w:right w:val="single" w:color="auto" w:sz="4" w:space="0"/>
            </w:tcBorders>
            <w:noWrap/>
            <w:vAlign w:val="bottom"/>
          </w:tcPr>
          <w:p>
            <w:pPr>
              <w:spacing w:line="520" w:lineRule="exact"/>
              <w:jc w:val="center"/>
              <w:rPr>
                <w:rFonts w:hint="eastAsia" w:ascii="仿宋_GB2312" w:eastAsia="仿宋_GB2312"/>
                <w:sz w:val="28"/>
                <w:szCs w:val="28"/>
                <w:lang w:eastAsia="zh-CN"/>
              </w:rPr>
            </w:pPr>
            <w:r>
              <w:rPr>
                <w:rFonts w:hint="eastAsia" w:ascii="仿宋_GB2312" w:eastAsia="仿宋_GB2312"/>
                <w:sz w:val="28"/>
                <w:szCs w:val="28"/>
                <w:lang w:val="en-US" w:eastAsia="zh-CN"/>
              </w:rPr>
              <w:t>4</w:t>
            </w:r>
          </w:p>
        </w:tc>
        <w:tc>
          <w:tcPr>
            <w:tcW w:w="941"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仿宋_GB2312" w:hAnsi="仿宋" w:eastAsia="仿宋_GB2312" w:cs="Times New Roman"/>
                <w:kern w:val="2"/>
                <w:sz w:val="28"/>
                <w:szCs w:val="28"/>
                <w:lang w:val="en-US" w:eastAsia="zh-CN" w:bidi="ar-SA"/>
              </w:rPr>
            </w:pPr>
            <w:r>
              <w:rPr>
                <w:rFonts w:hint="eastAsia" w:ascii="仿宋_GB2312" w:hAnsi="仿宋" w:eastAsia="仿宋_GB2312" w:cs="Times New Roman"/>
                <w:sz w:val="28"/>
                <w:szCs w:val="28"/>
              </w:rPr>
              <w:t>完成全年防汛，森林防灭火工作</w:t>
            </w:r>
            <w:r>
              <w:rPr>
                <w:rFonts w:hint="eastAsia" w:ascii="仿宋_GB2312" w:hAnsi="仿宋" w:eastAsia="仿宋_GB2312" w:cs="Times New Roman"/>
                <w:sz w:val="28"/>
                <w:szCs w:val="28"/>
                <w:lang w:eastAsia="zh-CN"/>
              </w:rPr>
              <w:t>。</w:t>
            </w:r>
          </w:p>
        </w:tc>
        <w:tc>
          <w:tcPr>
            <w:tcW w:w="853"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仿宋_GB2312" w:hAnsi="仿宋" w:eastAsia="仿宋_GB2312" w:cs="Times New Roman"/>
                <w:kern w:val="2"/>
                <w:sz w:val="28"/>
                <w:szCs w:val="28"/>
                <w:lang w:val="en-US" w:eastAsia="zh-CN" w:bidi="ar-SA"/>
              </w:rPr>
            </w:pPr>
            <w:r>
              <w:rPr>
                <w:rFonts w:hint="eastAsia" w:ascii="仿宋_GB2312" w:hAnsi="仿宋" w:eastAsia="仿宋_GB2312" w:cs="Times New Roman"/>
                <w:sz w:val="28"/>
                <w:szCs w:val="28"/>
                <w:lang w:val="en-US" w:eastAsia="zh-CN"/>
              </w:rPr>
              <w:t>100%</w:t>
            </w:r>
          </w:p>
        </w:tc>
        <w:tc>
          <w:tcPr>
            <w:tcW w:w="683"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仿宋_GB2312" w:hAnsi="仿宋" w:eastAsia="仿宋_GB2312" w:cs="Times New Roman"/>
                <w:kern w:val="2"/>
                <w:sz w:val="28"/>
                <w:szCs w:val="28"/>
                <w:lang w:val="en-US" w:eastAsia="zh-CN" w:bidi="ar-SA"/>
              </w:rPr>
            </w:pPr>
            <w:r>
              <w:rPr>
                <w:rFonts w:hint="eastAsia" w:ascii="仿宋_GB2312" w:hAnsi="仿宋" w:eastAsia="仿宋_GB2312" w:cs="Times New Roman"/>
                <w:sz w:val="28"/>
                <w:szCs w:val="28"/>
                <w:lang w:val="en-US" w:eastAsia="zh-CN"/>
              </w:rPr>
              <w:t>符合考核</w:t>
            </w:r>
          </w:p>
        </w:tc>
        <w:tc>
          <w:tcPr>
            <w:tcW w:w="855"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仿宋" w:eastAsia="仿宋_GB2312" w:cs="Times New Roman"/>
                <w:kern w:val="2"/>
                <w:sz w:val="28"/>
                <w:szCs w:val="28"/>
                <w:lang w:val="en-US" w:eastAsia="zh-CN" w:bidi="ar-SA"/>
              </w:rPr>
            </w:pPr>
            <w:r>
              <w:rPr>
                <w:rFonts w:hint="eastAsia" w:ascii="仿宋_GB2312" w:hAnsi="仿宋" w:eastAsia="仿宋_GB2312" w:cs="Times New Roman"/>
                <w:sz w:val="28"/>
                <w:szCs w:val="28"/>
                <w:lang w:val="en-US" w:eastAsia="zh-CN"/>
              </w:rPr>
              <w:t>符合考核</w:t>
            </w:r>
          </w:p>
        </w:tc>
        <w:tc>
          <w:tcPr>
            <w:tcW w:w="987"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仿宋_GB2312" w:hAnsi="仿宋" w:eastAsia="仿宋_GB2312" w:cs="Times New Roman"/>
                <w:kern w:val="2"/>
                <w:sz w:val="28"/>
                <w:szCs w:val="28"/>
                <w:highlight w:val="none"/>
                <w:lang w:val="en-US" w:eastAsia="zh-CN" w:bidi="ar-SA"/>
              </w:rPr>
            </w:pPr>
            <w:r>
              <w:rPr>
                <w:rFonts w:hint="eastAsia" w:ascii="仿宋_GB2312" w:hAnsi="仿宋" w:eastAsia="仿宋_GB2312" w:cs="Times New Roman"/>
                <w:kern w:val="2"/>
                <w:sz w:val="28"/>
                <w:szCs w:val="28"/>
                <w:highlight w:val="none"/>
                <w:lang w:val="en-US" w:eastAsia="zh-CN" w:bidi="ar-SA"/>
              </w:rPr>
              <w:t>10</w:t>
            </w:r>
          </w:p>
        </w:tc>
      </w:tr>
      <w:tr>
        <w:tblPrEx>
          <w:tblCellMar>
            <w:top w:w="0" w:type="dxa"/>
            <w:left w:w="108" w:type="dxa"/>
            <w:bottom w:w="0" w:type="dxa"/>
            <w:right w:w="108" w:type="dxa"/>
          </w:tblCellMar>
        </w:tblPrEx>
        <w:trPr>
          <w:trHeight w:val="275" w:hRule="atLeast"/>
        </w:trPr>
        <w:tc>
          <w:tcPr>
            <w:tcW w:w="680" w:type="pct"/>
            <w:tcBorders>
              <w:top w:val="single" w:color="auto" w:sz="4" w:space="0"/>
              <w:left w:val="single" w:color="auto" w:sz="4" w:space="0"/>
              <w:bottom w:val="single" w:color="auto" w:sz="4" w:space="0"/>
              <w:right w:val="single" w:color="auto" w:sz="4" w:space="0"/>
            </w:tcBorders>
            <w:noWrap/>
            <w:vAlign w:val="bottom"/>
          </w:tcPr>
          <w:p>
            <w:pPr>
              <w:spacing w:line="520" w:lineRule="exact"/>
              <w:jc w:val="center"/>
              <w:rPr>
                <w:rFonts w:hint="eastAsia" w:ascii="仿宋_GB2312" w:eastAsia="仿宋_GB2312"/>
                <w:sz w:val="28"/>
                <w:szCs w:val="28"/>
                <w:lang w:val="en-US" w:eastAsia="zh-CN"/>
              </w:rPr>
            </w:pPr>
            <w:bookmarkStart w:id="3" w:name="_Toc268005761"/>
            <w:r>
              <w:rPr>
                <w:rFonts w:hint="eastAsia" w:ascii="仿宋_GB2312" w:eastAsia="仿宋_GB2312"/>
                <w:sz w:val="28"/>
                <w:szCs w:val="28"/>
                <w:lang w:val="en-US" w:eastAsia="zh-CN"/>
              </w:rPr>
              <w:t>5</w:t>
            </w:r>
          </w:p>
        </w:tc>
        <w:tc>
          <w:tcPr>
            <w:tcW w:w="941"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仿宋_GB2312" w:hAnsi="仿宋" w:eastAsia="仿宋_GB2312" w:cs="Times New Roman"/>
                <w:kern w:val="2"/>
                <w:sz w:val="28"/>
                <w:szCs w:val="28"/>
                <w:lang w:val="en-US" w:eastAsia="zh-CN" w:bidi="ar-SA"/>
              </w:rPr>
            </w:pPr>
            <w:r>
              <w:rPr>
                <w:rFonts w:hint="eastAsia" w:ascii="仿宋_GB2312" w:hAnsi="仿宋" w:eastAsia="仿宋_GB2312" w:cs="Times New Roman"/>
                <w:sz w:val="28"/>
                <w:szCs w:val="28"/>
              </w:rPr>
              <w:t>完成全年救灾灾害防治工作。</w:t>
            </w:r>
          </w:p>
        </w:tc>
        <w:tc>
          <w:tcPr>
            <w:tcW w:w="853"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仿宋_GB2312" w:hAnsi="仿宋" w:eastAsia="仿宋_GB2312" w:cs="Times New Roman"/>
                <w:kern w:val="2"/>
                <w:sz w:val="28"/>
                <w:szCs w:val="28"/>
                <w:lang w:val="en-US" w:eastAsia="zh-CN" w:bidi="ar-SA"/>
              </w:rPr>
            </w:pPr>
            <w:r>
              <w:rPr>
                <w:rFonts w:hint="eastAsia" w:ascii="仿宋_GB2312" w:hAnsi="仿宋" w:eastAsia="仿宋_GB2312" w:cs="Times New Roman"/>
                <w:sz w:val="28"/>
                <w:szCs w:val="28"/>
                <w:lang w:val="en-US" w:eastAsia="zh-CN"/>
              </w:rPr>
              <w:t>100%</w:t>
            </w:r>
          </w:p>
        </w:tc>
        <w:tc>
          <w:tcPr>
            <w:tcW w:w="683"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仿宋_GB2312" w:hAnsi="仿宋" w:eastAsia="仿宋_GB2312" w:cs="Times New Roman"/>
                <w:kern w:val="2"/>
                <w:sz w:val="28"/>
                <w:szCs w:val="28"/>
                <w:lang w:val="en-US" w:eastAsia="zh-CN" w:bidi="ar-SA"/>
              </w:rPr>
            </w:pPr>
            <w:r>
              <w:rPr>
                <w:rFonts w:hint="eastAsia" w:ascii="仿宋_GB2312" w:hAnsi="仿宋" w:eastAsia="仿宋_GB2312" w:cs="Times New Roman"/>
                <w:sz w:val="28"/>
                <w:szCs w:val="28"/>
                <w:lang w:val="en-US" w:eastAsia="zh-CN"/>
              </w:rPr>
              <w:t>符合考核</w:t>
            </w:r>
          </w:p>
        </w:tc>
        <w:tc>
          <w:tcPr>
            <w:tcW w:w="855"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仿宋" w:eastAsia="仿宋_GB2312" w:cs="Times New Roman"/>
                <w:kern w:val="2"/>
                <w:sz w:val="28"/>
                <w:szCs w:val="28"/>
                <w:lang w:val="en-US" w:eastAsia="zh-CN" w:bidi="ar-SA"/>
              </w:rPr>
            </w:pPr>
            <w:r>
              <w:rPr>
                <w:rFonts w:hint="eastAsia" w:ascii="仿宋_GB2312" w:hAnsi="仿宋" w:eastAsia="仿宋_GB2312" w:cs="Times New Roman"/>
                <w:sz w:val="28"/>
                <w:szCs w:val="28"/>
                <w:lang w:val="en-US" w:eastAsia="zh-CN"/>
              </w:rPr>
              <w:t>符合考核</w:t>
            </w:r>
          </w:p>
        </w:tc>
        <w:tc>
          <w:tcPr>
            <w:tcW w:w="987"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仿宋_GB2312" w:hAnsi="仿宋" w:eastAsia="仿宋_GB2312" w:cs="Times New Roman"/>
                <w:kern w:val="2"/>
                <w:sz w:val="28"/>
                <w:szCs w:val="28"/>
                <w:highlight w:val="none"/>
                <w:lang w:val="en-US" w:eastAsia="zh-CN" w:bidi="ar-SA"/>
              </w:rPr>
            </w:pPr>
            <w:r>
              <w:rPr>
                <w:rFonts w:hint="eastAsia" w:ascii="仿宋_GB2312" w:hAnsi="仿宋" w:eastAsia="仿宋_GB2312" w:cs="Times New Roman"/>
                <w:kern w:val="2"/>
                <w:sz w:val="28"/>
                <w:szCs w:val="28"/>
                <w:highlight w:val="none"/>
                <w:lang w:val="en-US" w:eastAsia="zh-CN" w:bidi="ar-SA"/>
              </w:rPr>
              <w:t>10</w:t>
            </w:r>
          </w:p>
        </w:tc>
      </w:tr>
      <w:tr>
        <w:tblPrEx>
          <w:tblCellMar>
            <w:top w:w="0" w:type="dxa"/>
            <w:left w:w="108" w:type="dxa"/>
            <w:bottom w:w="0" w:type="dxa"/>
            <w:right w:w="108" w:type="dxa"/>
          </w:tblCellMar>
        </w:tblPrEx>
        <w:trPr>
          <w:trHeight w:val="275" w:hRule="atLeast"/>
        </w:trPr>
        <w:tc>
          <w:tcPr>
            <w:tcW w:w="680" w:type="pct"/>
            <w:tcBorders>
              <w:top w:val="single" w:color="auto" w:sz="4" w:space="0"/>
              <w:left w:val="single" w:color="auto" w:sz="4" w:space="0"/>
              <w:bottom w:val="single" w:color="auto" w:sz="4" w:space="0"/>
              <w:right w:val="single" w:color="auto" w:sz="4" w:space="0"/>
            </w:tcBorders>
            <w:noWrap/>
            <w:vAlign w:val="bottom"/>
          </w:tcPr>
          <w:p>
            <w:pPr>
              <w:spacing w:line="520" w:lineRule="exact"/>
              <w:jc w:val="center"/>
              <w:rPr>
                <w:rFonts w:hint="eastAsia" w:ascii="仿宋_GB2312" w:eastAsia="仿宋_GB2312"/>
                <w:sz w:val="28"/>
                <w:szCs w:val="28"/>
                <w:lang w:val="en-US" w:eastAsia="zh-CN"/>
              </w:rPr>
            </w:pPr>
            <w:r>
              <w:rPr>
                <w:rFonts w:hint="eastAsia" w:ascii="仿宋_GB2312" w:eastAsia="仿宋_GB2312"/>
                <w:sz w:val="28"/>
                <w:szCs w:val="28"/>
                <w:lang w:val="en-US" w:eastAsia="zh-CN"/>
              </w:rPr>
              <w:t>6</w:t>
            </w:r>
          </w:p>
        </w:tc>
        <w:tc>
          <w:tcPr>
            <w:tcW w:w="941"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仿宋_GB2312" w:hAnsi="仿宋" w:eastAsia="仿宋_GB2312" w:cs="Times New Roman"/>
                <w:kern w:val="2"/>
                <w:sz w:val="28"/>
                <w:szCs w:val="28"/>
                <w:lang w:val="en-US" w:eastAsia="zh-CN" w:bidi="ar-SA"/>
              </w:rPr>
            </w:pPr>
            <w:r>
              <w:rPr>
                <w:rFonts w:hint="eastAsia" w:ascii="仿宋_GB2312" w:hAnsi="仿宋" w:eastAsia="仿宋_GB2312" w:cs="Times New Roman"/>
                <w:sz w:val="28"/>
                <w:szCs w:val="28"/>
              </w:rPr>
              <w:t>保障全年安全生产执法工作</w:t>
            </w:r>
          </w:p>
        </w:tc>
        <w:tc>
          <w:tcPr>
            <w:tcW w:w="853"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仿宋_GB2312" w:hAnsi="仿宋" w:eastAsia="仿宋_GB2312" w:cs="Times New Roman"/>
                <w:kern w:val="2"/>
                <w:sz w:val="28"/>
                <w:szCs w:val="28"/>
                <w:lang w:val="en-US" w:eastAsia="zh-CN" w:bidi="ar-SA"/>
              </w:rPr>
            </w:pPr>
            <w:r>
              <w:rPr>
                <w:rFonts w:hint="eastAsia" w:ascii="仿宋_GB2312" w:hAnsi="仿宋" w:eastAsia="仿宋_GB2312" w:cs="Times New Roman"/>
                <w:sz w:val="28"/>
                <w:szCs w:val="28"/>
                <w:lang w:val="en-US" w:eastAsia="zh-CN"/>
              </w:rPr>
              <w:t>100%</w:t>
            </w:r>
          </w:p>
        </w:tc>
        <w:tc>
          <w:tcPr>
            <w:tcW w:w="683"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仿宋_GB2312" w:hAnsi="仿宋" w:eastAsia="仿宋_GB2312" w:cs="Times New Roman"/>
                <w:kern w:val="2"/>
                <w:sz w:val="28"/>
                <w:szCs w:val="28"/>
                <w:lang w:val="en-US" w:eastAsia="zh-CN" w:bidi="ar-SA"/>
              </w:rPr>
            </w:pPr>
            <w:r>
              <w:rPr>
                <w:rFonts w:hint="eastAsia" w:ascii="仿宋_GB2312" w:hAnsi="仿宋" w:eastAsia="仿宋_GB2312" w:cs="Times New Roman"/>
                <w:sz w:val="28"/>
                <w:szCs w:val="28"/>
                <w:lang w:val="en-US" w:eastAsia="zh-CN"/>
              </w:rPr>
              <w:t>符合考核</w:t>
            </w:r>
          </w:p>
        </w:tc>
        <w:tc>
          <w:tcPr>
            <w:tcW w:w="855"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仿宋" w:eastAsia="仿宋_GB2312" w:cs="Times New Roman"/>
                <w:kern w:val="2"/>
                <w:sz w:val="28"/>
                <w:szCs w:val="28"/>
                <w:lang w:val="en-US" w:eastAsia="zh-CN" w:bidi="ar-SA"/>
              </w:rPr>
            </w:pPr>
            <w:r>
              <w:rPr>
                <w:rFonts w:hint="eastAsia" w:ascii="仿宋_GB2312" w:hAnsi="仿宋" w:eastAsia="仿宋_GB2312" w:cs="Times New Roman"/>
                <w:sz w:val="28"/>
                <w:szCs w:val="28"/>
                <w:lang w:val="en-US" w:eastAsia="zh-CN"/>
              </w:rPr>
              <w:t>符合考核</w:t>
            </w:r>
          </w:p>
        </w:tc>
        <w:tc>
          <w:tcPr>
            <w:tcW w:w="987"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仿宋_GB2312" w:hAnsi="仿宋" w:eastAsia="仿宋_GB2312" w:cs="Times New Roman"/>
                <w:kern w:val="2"/>
                <w:sz w:val="28"/>
                <w:szCs w:val="28"/>
                <w:highlight w:val="none"/>
                <w:lang w:val="en-US" w:eastAsia="zh-CN" w:bidi="ar-SA"/>
              </w:rPr>
            </w:pPr>
            <w:r>
              <w:rPr>
                <w:rFonts w:hint="eastAsia" w:ascii="仿宋_GB2312" w:hAnsi="仿宋" w:eastAsia="仿宋_GB2312" w:cs="Times New Roman"/>
                <w:kern w:val="2"/>
                <w:sz w:val="28"/>
                <w:szCs w:val="28"/>
                <w:highlight w:val="none"/>
                <w:lang w:val="en-US" w:eastAsia="zh-CN" w:bidi="ar-SA"/>
              </w:rPr>
              <w:t>10</w:t>
            </w:r>
          </w:p>
        </w:tc>
      </w:tr>
      <w:tr>
        <w:tblPrEx>
          <w:tblCellMar>
            <w:top w:w="0" w:type="dxa"/>
            <w:left w:w="108" w:type="dxa"/>
            <w:bottom w:w="0" w:type="dxa"/>
            <w:right w:w="108" w:type="dxa"/>
          </w:tblCellMar>
        </w:tblPrEx>
        <w:trPr>
          <w:trHeight w:val="275" w:hRule="atLeast"/>
        </w:trPr>
        <w:tc>
          <w:tcPr>
            <w:tcW w:w="680" w:type="pct"/>
            <w:tcBorders>
              <w:top w:val="single" w:color="auto" w:sz="4" w:space="0"/>
              <w:left w:val="single" w:color="auto" w:sz="4" w:space="0"/>
              <w:bottom w:val="single" w:color="auto" w:sz="4" w:space="0"/>
              <w:right w:val="single" w:color="auto" w:sz="4" w:space="0"/>
            </w:tcBorders>
            <w:noWrap/>
            <w:vAlign w:val="bottom"/>
          </w:tcPr>
          <w:p>
            <w:pPr>
              <w:spacing w:line="520" w:lineRule="exact"/>
              <w:jc w:val="center"/>
              <w:rPr>
                <w:rFonts w:hint="eastAsia" w:ascii="仿宋_GB2312" w:eastAsia="仿宋_GB2312"/>
                <w:sz w:val="28"/>
                <w:szCs w:val="28"/>
                <w:lang w:val="en-US" w:eastAsia="zh-CN"/>
              </w:rPr>
            </w:pPr>
            <w:r>
              <w:rPr>
                <w:rFonts w:hint="eastAsia" w:ascii="仿宋_GB2312" w:eastAsia="仿宋_GB2312"/>
                <w:sz w:val="28"/>
                <w:szCs w:val="28"/>
                <w:lang w:val="en-US" w:eastAsia="zh-CN"/>
              </w:rPr>
              <w:t>7</w:t>
            </w:r>
          </w:p>
        </w:tc>
        <w:tc>
          <w:tcPr>
            <w:tcW w:w="941"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仿宋_GB2312" w:hAnsi="仿宋" w:eastAsia="仿宋_GB2312" w:cs="Times New Roman"/>
                <w:kern w:val="2"/>
                <w:sz w:val="28"/>
                <w:szCs w:val="28"/>
                <w:lang w:val="en-US" w:eastAsia="zh-CN" w:bidi="ar-SA"/>
              </w:rPr>
            </w:pPr>
            <w:r>
              <w:rPr>
                <w:rFonts w:hint="eastAsia" w:ascii="仿宋_GB2312" w:hAnsi="仿宋" w:eastAsia="仿宋_GB2312" w:cs="Times New Roman"/>
                <w:sz w:val="28"/>
                <w:szCs w:val="28"/>
              </w:rPr>
              <w:t>完成市应急局相关考核工作</w:t>
            </w:r>
          </w:p>
        </w:tc>
        <w:tc>
          <w:tcPr>
            <w:tcW w:w="853"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仿宋_GB2312" w:hAnsi="仿宋" w:eastAsia="仿宋_GB2312" w:cs="Times New Roman"/>
                <w:kern w:val="2"/>
                <w:sz w:val="28"/>
                <w:szCs w:val="28"/>
                <w:lang w:val="en-US" w:eastAsia="zh-CN" w:bidi="ar-SA"/>
              </w:rPr>
            </w:pPr>
            <w:r>
              <w:rPr>
                <w:rFonts w:hint="eastAsia" w:ascii="仿宋_GB2312" w:hAnsi="仿宋" w:eastAsia="仿宋_GB2312" w:cs="Times New Roman"/>
                <w:sz w:val="28"/>
                <w:szCs w:val="28"/>
                <w:lang w:val="en-US" w:eastAsia="zh-CN"/>
              </w:rPr>
              <w:t>100%</w:t>
            </w:r>
          </w:p>
        </w:tc>
        <w:tc>
          <w:tcPr>
            <w:tcW w:w="683" w:type="pct"/>
            <w:tcBorders>
              <w:top w:val="single" w:color="auto" w:sz="4" w:space="0"/>
              <w:left w:val="single" w:color="auto" w:sz="4" w:space="0"/>
              <w:bottom w:val="single" w:color="auto" w:sz="4" w:space="0"/>
              <w:right w:val="single" w:color="auto" w:sz="4" w:space="0"/>
            </w:tcBorders>
            <w:noWrap/>
            <w:vAlign w:val="center"/>
          </w:tcPr>
          <w:p>
            <w:pPr>
              <w:widowControl/>
              <w:jc w:val="center"/>
              <w:rPr>
                <w:rFonts w:hint="eastAsia" w:ascii="仿宋_GB2312" w:hAnsi="仿宋" w:eastAsia="仿宋_GB2312" w:cs="Times New Roman"/>
                <w:kern w:val="2"/>
                <w:sz w:val="28"/>
                <w:szCs w:val="28"/>
                <w:lang w:val="en-US" w:eastAsia="zh-CN" w:bidi="ar-SA"/>
              </w:rPr>
            </w:pPr>
            <w:r>
              <w:rPr>
                <w:rFonts w:hint="eastAsia" w:ascii="仿宋_GB2312" w:hAnsi="仿宋" w:eastAsia="仿宋_GB2312" w:cs="Times New Roman"/>
                <w:sz w:val="28"/>
                <w:szCs w:val="28"/>
                <w:lang w:val="en-US" w:eastAsia="zh-CN"/>
              </w:rPr>
              <w:t>符合考核</w:t>
            </w:r>
          </w:p>
        </w:tc>
        <w:tc>
          <w:tcPr>
            <w:tcW w:w="855"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仿宋_GB2312" w:hAnsi="仿宋" w:eastAsia="仿宋_GB2312" w:cs="Times New Roman"/>
                <w:kern w:val="2"/>
                <w:sz w:val="28"/>
                <w:szCs w:val="28"/>
                <w:lang w:val="en-US" w:eastAsia="zh-CN" w:bidi="ar-SA"/>
              </w:rPr>
            </w:pPr>
            <w:r>
              <w:rPr>
                <w:rFonts w:hint="eastAsia" w:ascii="仿宋_GB2312" w:hAnsi="仿宋" w:eastAsia="仿宋_GB2312" w:cs="Times New Roman"/>
                <w:sz w:val="28"/>
                <w:szCs w:val="28"/>
                <w:lang w:val="en-US" w:eastAsia="zh-CN"/>
              </w:rPr>
              <w:t>符合考核</w:t>
            </w:r>
          </w:p>
        </w:tc>
        <w:tc>
          <w:tcPr>
            <w:tcW w:w="987"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仿宋_GB2312" w:hAnsi="仿宋" w:eastAsia="仿宋_GB2312" w:cs="Times New Roman"/>
                <w:kern w:val="2"/>
                <w:sz w:val="28"/>
                <w:szCs w:val="28"/>
                <w:highlight w:val="none"/>
                <w:lang w:val="en-US" w:eastAsia="zh-CN" w:bidi="ar-SA"/>
              </w:rPr>
            </w:pPr>
            <w:r>
              <w:rPr>
                <w:rFonts w:hint="eastAsia" w:ascii="仿宋_GB2312" w:hAnsi="仿宋" w:eastAsia="仿宋_GB2312" w:cs="Times New Roman"/>
                <w:kern w:val="2"/>
                <w:sz w:val="28"/>
                <w:szCs w:val="28"/>
                <w:highlight w:val="none"/>
                <w:lang w:val="en-US" w:eastAsia="zh-CN" w:bidi="ar-SA"/>
              </w:rPr>
              <w:t>40</w:t>
            </w:r>
          </w:p>
        </w:tc>
      </w:tr>
    </w:tbl>
    <w:p>
      <w:pPr>
        <w:spacing w:line="580" w:lineRule="exact"/>
        <w:ind w:firstLine="641"/>
        <w:rPr>
          <w:rFonts w:hint="eastAsia" w:ascii="楷体_GB2312" w:hAnsi="Calibri" w:eastAsia="楷体_GB2312"/>
          <w:b/>
          <w:sz w:val="32"/>
          <w:szCs w:val="32"/>
        </w:rPr>
      </w:pPr>
      <w:r>
        <w:rPr>
          <w:rFonts w:hint="eastAsia" w:ascii="楷体_GB2312" w:eastAsia="楷体_GB2312"/>
          <w:b/>
          <w:sz w:val="32"/>
          <w:szCs w:val="32"/>
        </w:rPr>
        <w:t>(二)当年预算执行情况</w:t>
      </w:r>
      <w:bookmarkEnd w:id="3"/>
      <w:r>
        <w:rPr>
          <w:rFonts w:hint="eastAsia" w:ascii="仿宋_GB2312" w:eastAsia="仿宋_GB2312"/>
          <w:sz w:val="32"/>
          <w:szCs w:val="32"/>
        </w:rPr>
        <w:t xml:space="preserve">  </w:t>
      </w:r>
    </w:p>
    <w:p>
      <w:pPr>
        <w:spacing w:line="580" w:lineRule="exact"/>
        <w:ind w:firstLine="641"/>
        <w:rPr>
          <w:rFonts w:hint="eastAsia" w:ascii="仿宋_GB2312" w:eastAsia="仿宋_GB2312"/>
          <w:sz w:val="32"/>
          <w:szCs w:val="32"/>
        </w:rPr>
      </w:pPr>
      <w:r>
        <w:rPr>
          <w:rFonts w:hint="eastAsia" w:ascii="仿宋_GB2312" w:eastAsia="仿宋_GB2312"/>
          <w:sz w:val="28"/>
          <w:szCs w:val="28"/>
        </w:rPr>
        <w:t>2025年全年预算数</w:t>
      </w:r>
      <w:r>
        <w:rPr>
          <w:rFonts w:hint="eastAsia" w:ascii="仿宋_GB2312" w:eastAsia="仿宋_GB2312"/>
          <w:sz w:val="28"/>
          <w:szCs w:val="28"/>
          <w:lang w:val="en-US" w:eastAsia="zh-CN"/>
        </w:rPr>
        <w:t>49,708,664.53</w:t>
      </w:r>
      <w:r>
        <w:rPr>
          <w:rFonts w:hint="eastAsia" w:ascii="仿宋_GB2312" w:eastAsia="仿宋_GB2312"/>
          <w:sz w:val="28"/>
          <w:szCs w:val="28"/>
        </w:rPr>
        <w:t>元，其中，基本支出预算数</w:t>
      </w:r>
      <w:r>
        <w:rPr>
          <w:rFonts w:hint="eastAsia" w:ascii="仿宋_GB2312" w:eastAsia="仿宋_GB2312"/>
          <w:sz w:val="28"/>
          <w:szCs w:val="28"/>
          <w:lang w:val="en-US" w:eastAsia="zh-CN"/>
        </w:rPr>
        <w:t>22,371,857.92</w:t>
      </w:r>
      <w:r>
        <w:rPr>
          <w:rFonts w:hint="eastAsia" w:ascii="仿宋_GB2312" w:eastAsia="仿宋_GB2312"/>
          <w:sz w:val="28"/>
          <w:szCs w:val="28"/>
        </w:rPr>
        <w:t>元，项目支出预算数</w:t>
      </w:r>
      <w:r>
        <w:rPr>
          <w:rFonts w:hint="eastAsia" w:ascii="仿宋_GB2312" w:eastAsia="仿宋_GB2312"/>
          <w:sz w:val="28"/>
          <w:szCs w:val="28"/>
          <w:lang w:val="en-US" w:eastAsia="zh-CN"/>
        </w:rPr>
        <w:t>27,336,806.61</w:t>
      </w:r>
      <w:r>
        <w:rPr>
          <w:rFonts w:hint="eastAsia" w:ascii="仿宋_GB2312" w:eastAsia="仿宋_GB2312"/>
          <w:sz w:val="28"/>
          <w:szCs w:val="28"/>
        </w:rPr>
        <w:t>元。全年支出</w:t>
      </w:r>
      <w:r>
        <w:rPr>
          <w:rFonts w:hint="eastAsia" w:ascii="仿宋_GB2312" w:eastAsia="仿宋_GB2312"/>
          <w:sz w:val="28"/>
          <w:szCs w:val="28"/>
          <w:lang w:val="en-US" w:eastAsia="zh-CN"/>
        </w:rPr>
        <w:t>159,761,016.74</w:t>
      </w:r>
      <w:r>
        <w:rPr>
          <w:rFonts w:hint="eastAsia" w:ascii="仿宋_GB2312" w:eastAsia="仿宋_GB2312"/>
          <w:sz w:val="28"/>
          <w:szCs w:val="28"/>
        </w:rPr>
        <w:t>元，其中，基本支出</w:t>
      </w:r>
      <w:r>
        <w:rPr>
          <w:rFonts w:hint="eastAsia" w:ascii="仿宋_GB2312" w:eastAsia="仿宋_GB2312"/>
          <w:sz w:val="28"/>
          <w:szCs w:val="28"/>
          <w:lang w:val="en-US" w:eastAsia="zh-CN"/>
        </w:rPr>
        <w:t>25,092,707.63</w:t>
      </w:r>
      <w:r>
        <w:rPr>
          <w:rFonts w:hint="eastAsia" w:ascii="仿宋_GB2312" w:eastAsia="仿宋_GB2312"/>
          <w:sz w:val="28"/>
          <w:szCs w:val="28"/>
        </w:rPr>
        <w:t>元，项目支出</w:t>
      </w:r>
      <w:r>
        <w:rPr>
          <w:rFonts w:hint="eastAsia" w:ascii="仿宋_GB2312" w:eastAsia="仿宋_GB2312"/>
          <w:sz w:val="28"/>
          <w:szCs w:val="28"/>
          <w:lang w:val="en-US" w:eastAsia="zh-CN"/>
        </w:rPr>
        <w:t>134,668,309.11</w:t>
      </w:r>
      <w:r>
        <w:rPr>
          <w:rFonts w:hint="eastAsia" w:ascii="仿宋_GB2312" w:eastAsia="仿宋_GB2312"/>
          <w:sz w:val="28"/>
          <w:szCs w:val="28"/>
        </w:rPr>
        <w:t>元。预算执行率为</w:t>
      </w:r>
      <w:r>
        <w:rPr>
          <w:rFonts w:hint="eastAsia" w:ascii="仿宋_GB2312" w:eastAsia="仿宋_GB2312"/>
          <w:sz w:val="28"/>
          <w:szCs w:val="28"/>
          <w:lang w:val="en-US" w:eastAsia="zh-CN"/>
        </w:rPr>
        <w:t>100.0</w:t>
      </w:r>
      <w:r>
        <w:rPr>
          <w:rFonts w:hint="eastAsia" w:ascii="仿宋_GB2312" w:eastAsia="仿宋_GB2312"/>
          <w:sz w:val="28"/>
          <w:szCs w:val="28"/>
        </w:rPr>
        <w:t xml:space="preserve">%。   </w:t>
      </w:r>
      <w:r>
        <w:rPr>
          <w:rFonts w:hint="eastAsia" w:ascii="仿宋_GB2312" w:eastAsia="仿宋_GB2312"/>
          <w:sz w:val="32"/>
          <w:szCs w:val="32"/>
        </w:rPr>
        <w:t xml:space="preserve">                             </w:t>
      </w:r>
    </w:p>
    <w:p>
      <w:pPr>
        <w:spacing w:line="580" w:lineRule="exact"/>
        <w:ind w:firstLine="641"/>
        <w:rPr>
          <w:rFonts w:hint="eastAsia" w:ascii="仿宋_GB2312" w:eastAsia="仿宋_GB2312"/>
          <w:sz w:val="28"/>
          <w:szCs w:val="28"/>
        </w:rPr>
      </w:pPr>
      <w:r>
        <w:rPr>
          <w:rFonts w:hint="eastAsia" w:ascii="仿宋_GB2312" w:eastAsia="仿宋_GB2312"/>
          <w:sz w:val="28"/>
          <w:szCs w:val="28"/>
        </w:rPr>
        <w:t>2025年年末结转结余资金总额为</w:t>
      </w:r>
      <w:r>
        <w:rPr>
          <w:rFonts w:hint="eastAsia" w:ascii="仿宋_GB2312" w:eastAsia="仿宋_GB2312"/>
          <w:sz w:val="28"/>
          <w:szCs w:val="28"/>
          <w:lang w:val="en-US" w:eastAsia="zh-CN"/>
        </w:rPr>
        <w:t>0.00</w:t>
      </w:r>
      <w:r>
        <w:rPr>
          <w:rFonts w:hint="eastAsia" w:ascii="仿宋_GB2312" w:eastAsia="仿宋_GB2312"/>
          <w:sz w:val="28"/>
          <w:szCs w:val="28"/>
        </w:rPr>
        <w:t>元，全年支出预算数为</w:t>
      </w:r>
      <w:r>
        <w:rPr>
          <w:rFonts w:hint="eastAsia" w:ascii="仿宋_GB2312" w:eastAsia="仿宋_GB2312"/>
          <w:sz w:val="28"/>
          <w:szCs w:val="28"/>
          <w:lang w:val="en-US" w:eastAsia="zh-CN"/>
        </w:rPr>
        <w:t>0.00</w:t>
      </w:r>
      <w:r>
        <w:rPr>
          <w:rFonts w:hint="eastAsia" w:ascii="仿宋_GB2312" w:eastAsia="仿宋_GB2312"/>
          <w:sz w:val="28"/>
          <w:szCs w:val="28"/>
        </w:rPr>
        <w:t>元，资金结转结余率为</w:t>
      </w:r>
      <w:r>
        <w:rPr>
          <w:rFonts w:hint="eastAsia" w:ascii="仿宋_GB2312" w:eastAsia="仿宋_GB2312"/>
          <w:sz w:val="28"/>
          <w:szCs w:val="28"/>
          <w:lang w:val="en-US" w:eastAsia="zh-CN"/>
        </w:rPr>
        <w:t>0.0</w:t>
      </w:r>
      <w:r>
        <w:rPr>
          <w:rFonts w:hint="eastAsia" w:ascii="仿宋_GB2312" w:eastAsia="仿宋_GB2312"/>
          <w:sz w:val="28"/>
          <w:szCs w:val="28"/>
        </w:rPr>
        <w:t>%；2024年年末结转结余资金总额为</w:t>
      </w:r>
      <w:r>
        <w:rPr>
          <w:rFonts w:hint="eastAsia" w:ascii="仿宋_GB2312" w:eastAsia="仿宋_GB2312"/>
          <w:sz w:val="28"/>
          <w:szCs w:val="28"/>
          <w:lang w:val="en-US" w:eastAsia="zh-CN"/>
        </w:rPr>
        <w:t>0.00</w:t>
      </w:r>
      <w:r>
        <w:rPr>
          <w:rFonts w:hint="eastAsia" w:ascii="仿宋_GB2312" w:eastAsia="仿宋_GB2312"/>
          <w:sz w:val="28"/>
          <w:szCs w:val="28"/>
        </w:rPr>
        <w:t>元，全年支出预算数为</w:t>
      </w:r>
      <w:r>
        <w:rPr>
          <w:rFonts w:hint="eastAsia" w:ascii="仿宋_GB2312" w:eastAsia="仿宋_GB2312"/>
          <w:sz w:val="28"/>
          <w:szCs w:val="28"/>
          <w:lang w:val="en-US" w:eastAsia="zh-CN"/>
        </w:rPr>
        <w:t>0.00</w:t>
      </w:r>
      <w:r>
        <w:rPr>
          <w:rFonts w:hint="eastAsia" w:ascii="仿宋_GB2312" w:eastAsia="仿宋_GB2312"/>
          <w:sz w:val="28"/>
          <w:szCs w:val="28"/>
        </w:rPr>
        <w:t>元，资金结转结余率为</w:t>
      </w:r>
      <w:r>
        <w:rPr>
          <w:rFonts w:hint="eastAsia" w:ascii="仿宋_GB2312" w:eastAsia="仿宋_GB2312"/>
          <w:sz w:val="28"/>
          <w:szCs w:val="28"/>
          <w:lang w:val="en-US" w:eastAsia="zh-CN"/>
        </w:rPr>
        <w:t>0.0</w:t>
      </w:r>
      <w:r>
        <w:rPr>
          <w:rFonts w:hint="eastAsia" w:ascii="仿宋_GB2312" w:eastAsia="仿宋_GB2312"/>
          <w:sz w:val="28"/>
          <w:szCs w:val="28"/>
        </w:rPr>
        <w:t>%；2025年度部门结转结余率较上一年上升/下降了</w:t>
      </w:r>
      <w:r>
        <w:rPr>
          <w:rFonts w:hint="eastAsia" w:ascii="仿宋_GB2312" w:eastAsia="仿宋_GB2312"/>
          <w:sz w:val="28"/>
          <w:szCs w:val="28"/>
          <w:lang w:val="en-US" w:eastAsia="zh-CN"/>
        </w:rPr>
        <w:t>0.0</w:t>
      </w:r>
      <w:r>
        <w:rPr>
          <w:rFonts w:hint="eastAsia" w:ascii="仿宋_GB2312" w:eastAsia="仿宋_GB2312"/>
          <w:sz w:val="28"/>
          <w:szCs w:val="28"/>
        </w:rPr>
        <w:t>%。</w:t>
      </w:r>
    </w:p>
    <w:p>
      <w:pPr>
        <w:spacing w:line="580" w:lineRule="exact"/>
        <w:ind w:firstLine="641"/>
        <w:rPr>
          <w:rFonts w:hint="eastAsia" w:ascii="楷体_GB2312" w:eastAsia="楷体_GB2312"/>
          <w:b/>
          <w:sz w:val="32"/>
          <w:szCs w:val="32"/>
        </w:rPr>
      </w:pPr>
      <w:r>
        <w:rPr>
          <w:rFonts w:hint="eastAsia" w:ascii="楷体_GB2312" w:eastAsia="楷体_GB2312"/>
          <w:b/>
          <w:sz w:val="32"/>
          <w:szCs w:val="32"/>
        </w:rPr>
        <w:t>（三）整体绩效目标实现情况</w:t>
      </w:r>
    </w:p>
    <w:p>
      <w:pPr>
        <w:spacing w:line="580" w:lineRule="exact"/>
        <w:ind w:firstLine="641"/>
        <w:rPr>
          <w:rFonts w:hint="eastAsia" w:ascii="仿宋_GB2312" w:eastAsia="仿宋_GB2312"/>
          <w:sz w:val="28"/>
          <w:szCs w:val="28"/>
        </w:rPr>
      </w:pPr>
      <w:r>
        <w:rPr>
          <w:rFonts w:hint="eastAsia" w:ascii="仿宋_GB2312" w:eastAsia="仿宋_GB2312"/>
          <w:sz w:val="28"/>
          <w:szCs w:val="28"/>
        </w:rPr>
        <w:t>1.产出完成情况分析</w:t>
      </w:r>
    </w:p>
    <w:p>
      <w:pPr>
        <w:spacing w:line="580" w:lineRule="exact"/>
        <w:ind w:firstLine="641"/>
        <w:rPr>
          <w:rFonts w:hint="eastAsia" w:ascii="仿宋_GB2312" w:eastAsia="仿宋_GB2312"/>
          <w:sz w:val="32"/>
          <w:szCs w:val="32"/>
        </w:rPr>
      </w:pPr>
      <w:r>
        <w:rPr>
          <w:rFonts w:hint="eastAsia" w:ascii="仿宋_GB2312" w:eastAsia="仿宋_GB2312"/>
          <w:sz w:val="28"/>
          <w:szCs w:val="28"/>
        </w:rPr>
        <w:t>（1）产出数量</w:t>
      </w:r>
    </w:p>
    <w:tbl>
      <w:tblPr>
        <w:tblStyle w:val="10"/>
        <w:tblW w:w="9200" w:type="dxa"/>
        <w:tblInd w:w="108" w:type="dxa"/>
        <w:tblLayout w:type="autofit"/>
        <w:tblCellMar>
          <w:top w:w="0" w:type="dxa"/>
          <w:left w:w="108" w:type="dxa"/>
          <w:bottom w:w="0" w:type="dxa"/>
          <w:right w:w="108" w:type="dxa"/>
        </w:tblCellMar>
      </w:tblPr>
      <w:tblGrid>
        <w:gridCol w:w="880"/>
        <w:gridCol w:w="1984"/>
        <w:gridCol w:w="1804"/>
        <w:gridCol w:w="1740"/>
        <w:gridCol w:w="2792"/>
      </w:tblGrid>
      <w:tr>
        <w:tblPrEx>
          <w:tblCellMar>
            <w:top w:w="0" w:type="dxa"/>
            <w:left w:w="108" w:type="dxa"/>
            <w:bottom w:w="0" w:type="dxa"/>
            <w:right w:w="108" w:type="dxa"/>
          </w:tblCellMar>
        </w:tblPrEx>
        <w:trPr>
          <w:trHeight w:val="510" w:hRule="atLeast"/>
        </w:trPr>
        <w:tc>
          <w:tcPr>
            <w:tcW w:w="880"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hint="eastAsia" w:ascii="仿宋_GB2312" w:eastAsia="仿宋_GB2312"/>
                <w:sz w:val="28"/>
                <w:szCs w:val="28"/>
              </w:rPr>
            </w:pPr>
            <w:r>
              <w:rPr>
                <w:rFonts w:hint="eastAsia" w:ascii="仿宋_GB2312" w:eastAsia="仿宋_GB2312"/>
                <w:sz w:val="28"/>
                <w:szCs w:val="28"/>
              </w:rPr>
              <w:t>序号</w:t>
            </w:r>
          </w:p>
        </w:tc>
        <w:tc>
          <w:tcPr>
            <w:tcW w:w="1984" w:type="dxa"/>
            <w:tcBorders>
              <w:top w:val="single" w:color="auto" w:sz="4" w:space="0"/>
              <w:left w:val="nil"/>
              <w:bottom w:val="single" w:color="auto" w:sz="4" w:space="0"/>
              <w:right w:val="single" w:color="auto" w:sz="4" w:space="0"/>
            </w:tcBorders>
            <w:vAlign w:val="center"/>
          </w:tcPr>
          <w:p>
            <w:pPr>
              <w:spacing w:line="520" w:lineRule="exact"/>
              <w:jc w:val="center"/>
              <w:rPr>
                <w:rFonts w:hint="eastAsia" w:ascii="仿宋_GB2312" w:eastAsia="仿宋_GB2312"/>
                <w:sz w:val="28"/>
                <w:szCs w:val="28"/>
              </w:rPr>
            </w:pPr>
            <w:r>
              <w:rPr>
                <w:rFonts w:hint="eastAsia" w:ascii="仿宋_GB2312" w:eastAsia="仿宋_GB2312"/>
                <w:sz w:val="28"/>
                <w:szCs w:val="28"/>
              </w:rPr>
              <w:t>三级指标</w:t>
            </w:r>
          </w:p>
        </w:tc>
        <w:tc>
          <w:tcPr>
            <w:tcW w:w="1804" w:type="dxa"/>
            <w:tcBorders>
              <w:top w:val="single" w:color="auto" w:sz="4" w:space="0"/>
              <w:left w:val="nil"/>
              <w:bottom w:val="single" w:color="auto" w:sz="4" w:space="0"/>
              <w:right w:val="single" w:color="auto" w:sz="4" w:space="0"/>
            </w:tcBorders>
            <w:vAlign w:val="center"/>
          </w:tcPr>
          <w:p>
            <w:pPr>
              <w:spacing w:line="520" w:lineRule="exact"/>
              <w:jc w:val="center"/>
              <w:rPr>
                <w:rFonts w:hint="eastAsia" w:ascii="仿宋_GB2312" w:eastAsia="仿宋_GB2312"/>
                <w:sz w:val="28"/>
                <w:szCs w:val="28"/>
              </w:rPr>
            </w:pPr>
            <w:r>
              <w:rPr>
                <w:rFonts w:hint="eastAsia" w:ascii="仿宋_GB2312" w:eastAsia="仿宋_GB2312"/>
                <w:sz w:val="28"/>
                <w:szCs w:val="28"/>
              </w:rPr>
              <w:t>计划值</w:t>
            </w:r>
          </w:p>
        </w:tc>
        <w:tc>
          <w:tcPr>
            <w:tcW w:w="1740" w:type="dxa"/>
            <w:tcBorders>
              <w:top w:val="single" w:color="auto" w:sz="4" w:space="0"/>
              <w:left w:val="nil"/>
              <w:bottom w:val="single" w:color="auto" w:sz="4" w:space="0"/>
              <w:right w:val="single" w:color="auto" w:sz="4" w:space="0"/>
            </w:tcBorders>
            <w:vAlign w:val="center"/>
          </w:tcPr>
          <w:p>
            <w:pPr>
              <w:spacing w:line="520" w:lineRule="exact"/>
              <w:jc w:val="center"/>
              <w:rPr>
                <w:rFonts w:hint="eastAsia" w:ascii="仿宋_GB2312" w:eastAsia="仿宋_GB2312"/>
                <w:sz w:val="28"/>
                <w:szCs w:val="28"/>
              </w:rPr>
            </w:pPr>
            <w:r>
              <w:rPr>
                <w:rFonts w:hint="eastAsia" w:ascii="仿宋_GB2312" w:eastAsia="仿宋_GB2312"/>
                <w:sz w:val="28"/>
                <w:szCs w:val="28"/>
              </w:rPr>
              <w:t>完成值</w:t>
            </w:r>
          </w:p>
        </w:tc>
        <w:tc>
          <w:tcPr>
            <w:tcW w:w="2792" w:type="dxa"/>
            <w:tcBorders>
              <w:top w:val="single" w:color="auto" w:sz="4" w:space="0"/>
              <w:left w:val="nil"/>
              <w:bottom w:val="single" w:color="auto" w:sz="4" w:space="0"/>
              <w:right w:val="single" w:color="auto" w:sz="4" w:space="0"/>
            </w:tcBorders>
            <w:vAlign w:val="center"/>
          </w:tcPr>
          <w:p>
            <w:pPr>
              <w:spacing w:line="520" w:lineRule="exact"/>
              <w:jc w:val="center"/>
              <w:rPr>
                <w:rFonts w:hint="eastAsia" w:ascii="仿宋_GB2312" w:eastAsia="仿宋_GB2312"/>
                <w:sz w:val="28"/>
                <w:szCs w:val="28"/>
              </w:rPr>
            </w:pPr>
            <w:r>
              <w:rPr>
                <w:rFonts w:hint="eastAsia" w:ascii="仿宋_GB2312" w:eastAsia="仿宋_GB2312"/>
                <w:sz w:val="28"/>
                <w:szCs w:val="28"/>
              </w:rPr>
              <w:t>偏差原因</w:t>
            </w:r>
          </w:p>
        </w:tc>
      </w:tr>
      <w:tr>
        <w:tblPrEx>
          <w:tblCellMar>
            <w:top w:w="0" w:type="dxa"/>
            <w:left w:w="108" w:type="dxa"/>
            <w:bottom w:w="0" w:type="dxa"/>
            <w:right w:w="108" w:type="dxa"/>
          </w:tblCellMar>
        </w:tblPrEx>
        <w:trPr>
          <w:trHeight w:val="510" w:hRule="atLeast"/>
        </w:trPr>
        <w:tc>
          <w:tcPr>
            <w:tcW w:w="880"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hint="eastAsia" w:ascii="仿宋_GB2312" w:eastAsia="仿宋_GB2312"/>
                <w:sz w:val="28"/>
                <w:szCs w:val="28"/>
              </w:rPr>
            </w:pPr>
            <w:r>
              <w:rPr>
                <w:rFonts w:hint="eastAsia" w:ascii="仿宋_GB2312" w:eastAsia="仿宋_GB2312"/>
                <w:sz w:val="28"/>
                <w:szCs w:val="28"/>
              </w:rPr>
              <w:t>1</w:t>
            </w:r>
          </w:p>
        </w:tc>
        <w:tc>
          <w:tcPr>
            <w:tcW w:w="1984"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保障24小时应急值守</w:t>
            </w:r>
            <w:r>
              <w:rPr>
                <w:rFonts w:hint="eastAsia" w:ascii="仿宋_GB2312" w:hAnsi="宋体" w:eastAsia="仿宋_GB2312" w:cs="宋体"/>
                <w:color w:val="000000"/>
                <w:kern w:val="0"/>
                <w:sz w:val="28"/>
                <w:szCs w:val="28"/>
              </w:rPr>
              <w:t>　</w:t>
            </w:r>
          </w:p>
        </w:tc>
        <w:tc>
          <w:tcPr>
            <w:tcW w:w="1804"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100%保障</w:t>
            </w:r>
            <w:r>
              <w:rPr>
                <w:rFonts w:hint="eastAsia" w:ascii="仿宋_GB2312" w:hAnsi="宋体" w:eastAsia="仿宋_GB2312" w:cs="宋体"/>
                <w:color w:val="000000"/>
                <w:kern w:val="0"/>
                <w:sz w:val="28"/>
                <w:szCs w:val="28"/>
              </w:rPr>
              <w:t>　</w:t>
            </w:r>
          </w:p>
        </w:tc>
        <w:tc>
          <w:tcPr>
            <w:tcW w:w="1740"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100%保障</w:t>
            </w:r>
            <w:r>
              <w:rPr>
                <w:rFonts w:hint="eastAsia" w:ascii="仿宋_GB2312" w:hAnsi="宋体" w:eastAsia="仿宋_GB2312" w:cs="宋体"/>
                <w:color w:val="000000"/>
                <w:kern w:val="0"/>
                <w:sz w:val="28"/>
                <w:szCs w:val="28"/>
              </w:rPr>
              <w:t>　</w:t>
            </w:r>
          </w:p>
        </w:tc>
        <w:tc>
          <w:tcPr>
            <w:tcW w:w="2792"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rPr>
              <w:t>　</w:t>
            </w:r>
            <w:r>
              <w:rPr>
                <w:rFonts w:hint="eastAsia" w:ascii="仿宋_GB2312" w:hAnsi="宋体" w:eastAsia="仿宋_GB2312" w:cs="宋体"/>
                <w:color w:val="000000"/>
                <w:kern w:val="0"/>
                <w:sz w:val="28"/>
                <w:szCs w:val="28"/>
                <w:lang w:val="en-US" w:eastAsia="zh-CN"/>
              </w:rPr>
              <w:t>无</w:t>
            </w:r>
          </w:p>
        </w:tc>
      </w:tr>
      <w:tr>
        <w:trPr>
          <w:trHeight w:val="510" w:hRule="atLeast"/>
        </w:trPr>
        <w:tc>
          <w:tcPr>
            <w:tcW w:w="880"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hint="eastAsia" w:ascii="仿宋_GB2312" w:eastAsia="仿宋_GB2312"/>
                <w:sz w:val="28"/>
                <w:szCs w:val="28"/>
              </w:rPr>
            </w:pPr>
            <w:r>
              <w:rPr>
                <w:rFonts w:hint="eastAsia" w:ascii="仿宋_GB2312" w:eastAsia="仿宋_GB2312"/>
                <w:sz w:val="28"/>
                <w:szCs w:val="28"/>
              </w:rPr>
              <w:t>2</w:t>
            </w:r>
          </w:p>
        </w:tc>
        <w:tc>
          <w:tcPr>
            <w:tcW w:w="1984"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rPr>
              <w:t>　</w:t>
            </w:r>
            <w:r>
              <w:rPr>
                <w:rFonts w:hint="eastAsia" w:ascii="仿宋_GB2312" w:hAnsi="宋体" w:eastAsia="仿宋_GB2312" w:cs="宋体"/>
                <w:color w:val="000000"/>
                <w:kern w:val="0"/>
                <w:sz w:val="28"/>
                <w:szCs w:val="28"/>
                <w:lang w:val="en-US" w:eastAsia="zh-CN"/>
              </w:rPr>
              <w:t>保障应急调度，应急处置。</w:t>
            </w:r>
          </w:p>
        </w:tc>
        <w:tc>
          <w:tcPr>
            <w:tcW w:w="1804"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100%保障</w:t>
            </w:r>
            <w:r>
              <w:rPr>
                <w:rFonts w:hint="eastAsia" w:ascii="仿宋_GB2312" w:hAnsi="宋体" w:eastAsia="仿宋_GB2312" w:cs="宋体"/>
                <w:color w:val="000000"/>
                <w:kern w:val="0"/>
                <w:sz w:val="28"/>
                <w:szCs w:val="28"/>
              </w:rPr>
              <w:t>　</w:t>
            </w:r>
          </w:p>
        </w:tc>
        <w:tc>
          <w:tcPr>
            <w:tcW w:w="1740"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100%保障</w:t>
            </w:r>
          </w:p>
        </w:tc>
        <w:tc>
          <w:tcPr>
            <w:tcW w:w="2792"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rPr>
              <w:t>　</w:t>
            </w:r>
            <w:r>
              <w:rPr>
                <w:rFonts w:hint="eastAsia" w:ascii="仿宋_GB2312" w:hAnsi="宋体" w:eastAsia="仿宋_GB2312" w:cs="宋体"/>
                <w:color w:val="000000"/>
                <w:kern w:val="0"/>
                <w:sz w:val="28"/>
                <w:szCs w:val="28"/>
                <w:lang w:val="en-US" w:eastAsia="zh-CN"/>
              </w:rPr>
              <w:t>无</w:t>
            </w:r>
          </w:p>
        </w:tc>
      </w:tr>
      <w:tr>
        <w:trPr>
          <w:trHeight w:val="510" w:hRule="atLeast"/>
        </w:trPr>
        <w:tc>
          <w:tcPr>
            <w:tcW w:w="880"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hint="eastAsia" w:ascii="仿宋_GB2312" w:eastAsia="仿宋_GB2312"/>
                <w:sz w:val="28"/>
                <w:szCs w:val="28"/>
              </w:rPr>
            </w:pPr>
            <w:r>
              <w:rPr>
                <w:rFonts w:hint="eastAsia" w:ascii="仿宋_GB2312" w:eastAsia="仿宋_GB2312"/>
                <w:sz w:val="28"/>
                <w:szCs w:val="28"/>
              </w:rPr>
              <w:t>3</w:t>
            </w:r>
          </w:p>
        </w:tc>
        <w:tc>
          <w:tcPr>
            <w:tcW w:w="1984"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京西哨兵平台建设</w:t>
            </w:r>
          </w:p>
        </w:tc>
        <w:tc>
          <w:tcPr>
            <w:tcW w:w="1804"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100%保障</w:t>
            </w:r>
          </w:p>
        </w:tc>
        <w:tc>
          <w:tcPr>
            <w:tcW w:w="1740"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100%保障</w:t>
            </w:r>
          </w:p>
        </w:tc>
        <w:tc>
          <w:tcPr>
            <w:tcW w:w="2792"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无</w:t>
            </w:r>
          </w:p>
        </w:tc>
      </w:tr>
      <w:tr>
        <w:trPr>
          <w:trHeight w:val="510" w:hRule="atLeast"/>
        </w:trPr>
        <w:tc>
          <w:tcPr>
            <w:tcW w:w="880"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hint="eastAsia" w:ascii="仿宋_GB2312" w:eastAsia="仿宋_GB2312"/>
                <w:sz w:val="28"/>
                <w:szCs w:val="28"/>
                <w:lang w:eastAsia="zh-CN"/>
              </w:rPr>
            </w:pPr>
            <w:r>
              <w:rPr>
                <w:rFonts w:hint="eastAsia" w:ascii="仿宋_GB2312" w:eastAsia="仿宋_GB2312"/>
                <w:sz w:val="28"/>
                <w:szCs w:val="28"/>
                <w:lang w:val="en-US" w:eastAsia="zh-CN"/>
              </w:rPr>
              <w:t>4</w:t>
            </w:r>
          </w:p>
        </w:tc>
        <w:tc>
          <w:tcPr>
            <w:tcW w:w="1984"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查出安全隐患</w:t>
            </w:r>
          </w:p>
        </w:tc>
        <w:tc>
          <w:tcPr>
            <w:tcW w:w="1804"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500项</w:t>
            </w:r>
          </w:p>
        </w:tc>
        <w:tc>
          <w:tcPr>
            <w:tcW w:w="1740"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1183项</w:t>
            </w:r>
          </w:p>
        </w:tc>
        <w:tc>
          <w:tcPr>
            <w:tcW w:w="2792"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无</w:t>
            </w:r>
          </w:p>
        </w:tc>
      </w:tr>
      <w:tr>
        <w:trPr>
          <w:trHeight w:val="510" w:hRule="atLeast"/>
        </w:trPr>
        <w:tc>
          <w:tcPr>
            <w:tcW w:w="880"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hint="eastAsia" w:ascii="仿宋_GB2312" w:eastAsia="仿宋_GB2312"/>
                <w:sz w:val="28"/>
                <w:szCs w:val="28"/>
                <w:lang w:val="en-US" w:eastAsia="zh-CN"/>
              </w:rPr>
            </w:pPr>
            <w:r>
              <w:rPr>
                <w:rFonts w:hint="eastAsia" w:ascii="仿宋_GB2312" w:eastAsia="仿宋_GB2312"/>
                <w:sz w:val="28"/>
                <w:szCs w:val="28"/>
                <w:lang w:val="en-US" w:eastAsia="zh-CN"/>
              </w:rPr>
              <w:t>5</w:t>
            </w:r>
          </w:p>
        </w:tc>
        <w:tc>
          <w:tcPr>
            <w:tcW w:w="1984"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应对强降雨</w:t>
            </w:r>
          </w:p>
        </w:tc>
        <w:tc>
          <w:tcPr>
            <w:tcW w:w="1804"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100%保障</w:t>
            </w:r>
          </w:p>
        </w:tc>
        <w:tc>
          <w:tcPr>
            <w:tcW w:w="1740"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全年共</w:t>
            </w:r>
            <w:r>
              <w:rPr>
                <w:rFonts w:hint="eastAsia" w:ascii="Times New Roman" w:hAnsi="Times New Roman" w:eastAsia="仿宋_GB2312" w:cs="Times New Roman"/>
                <w:spacing w:val="0"/>
                <w:kern w:val="0"/>
                <w:sz w:val="32"/>
                <w:szCs w:val="32"/>
                <w:lang w:eastAsia="zh-CN"/>
              </w:rPr>
              <w:t>16次较强降雨过程</w:t>
            </w:r>
          </w:p>
        </w:tc>
        <w:tc>
          <w:tcPr>
            <w:tcW w:w="2792"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无</w:t>
            </w:r>
          </w:p>
        </w:tc>
      </w:tr>
      <w:tr>
        <w:trPr>
          <w:trHeight w:val="510" w:hRule="atLeast"/>
        </w:trPr>
        <w:tc>
          <w:tcPr>
            <w:tcW w:w="880"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hint="eastAsia" w:ascii="仿宋_GB2312" w:eastAsia="仿宋_GB2312"/>
                <w:sz w:val="28"/>
                <w:szCs w:val="28"/>
                <w:lang w:val="en-US" w:eastAsia="zh-CN"/>
              </w:rPr>
            </w:pPr>
            <w:r>
              <w:rPr>
                <w:rFonts w:hint="eastAsia" w:ascii="仿宋_GB2312" w:eastAsia="仿宋_GB2312"/>
                <w:sz w:val="28"/>
                <w:szCs w:val="28"/>
                <w:lang w:val="en-US" w:eastAsia="zh-CN"/>
              </w:rPr>
              <w:t>6</w:t>
            </w:r>
          </w:p>
        </w:tc>
        <w:tc>
          <w:tcPr>
            <w:tcW w:w="1984"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开展应急，防汛，森林防灭火，安全生产宣传</w:t>
            </w:r>
          </w:p>
        </w:tc>
        <w:tc>
          <w:tcPr>
            <w:tcW w:w="1804"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各1次</w:t>
            </w:r>
          </w:p>
        </w:tc>
        <w:tc>
          <w:tcPr>
            <w:tcW w:w="1740"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各1次</w:t>
            </w:r>
          </w:p>
        </w:tc>
        <w:tc>
          <w:tcPr>
            <w:tcW w:w="2792"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无</w:t>
            </w:r>
          </w:p>
        </w:tc>
      </w:tr>
      <w:tr>
        <w:trPr>
          <w:trHeight w:val="510" w:hRule="atLeast"/>
        </w:trPr>
        <w:tc>
          <w:tcPr>
            <w:tcW w:w="880"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hint="eastAsia" w:ascii="仿宋_GB2312" w:eastAsia="仿宋_GB2312"/>
                <w:sz w:val="28"/>
                <w:szCs w:val="28"/>
                <w:lang w:val="en-US" w:eastAsia="zh-CN"/>
              </w:rPr>
            </w:pPr>
            <w:r>
              <w:rPr>
                <w:rFonts w:hint="eastAsia" w:ascii="仿宋_GB2312" w:eastAsia="仿宋_GB2312"/>
                <w:sz w:val="28"/>
                <w:szCs w:val="28"/>
                <w:lang w:val="en-US" w:eastAsia="zh-CN"/>
              </w:rPr>
              <w:t>7</w:t>
            </w:r>
          </w:p>
        </w:tc>
        <w:tc>
          <w:tcPr>
            <w:tcW w:w="1984"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开展山区村居避难场所建设</w:t>
            </w:r>
          </w:p>
        </w:tc>
        <w:tc>
          <w:tcPr>
            <w:tcW w:w="1804"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120处</w:t>
            </w:r>
          </w:p>
        </w:tc>
        <w:tc>
          <w:tcPr>
            <w:tcW w:w="1740"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120处</w:t>
            </w:r>
          </w:p>
        </w:tc>
        <w:tc>
          <w:tcPr>
            <w:tcW w:w="2792"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无</w:t>
            </w:r>
          </w:p>
        </w:tc>
      </w:tr>
      <w:tr>
        <w:trPr>
          <w:trHeight w:val="510" w:hRule="atLeast"/>
        </w:trPr>
        <w:tc>
          <w:tcPr>
            <w:tcW w:w="880"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hint="eastAsia" w:ascii="仿宋_GB2312" w:eastAsia="仿宋_GB2312"/>
                <w:sz w:val="28"/>
                <w:szCs w:val="28"/>
                <w:lang w:val="en-US" w:eastAsia="zh-CN"/>
              </w:rPr>
            </w:pPr>
            <w:r>
              <w:rPr>
                <w:rFonts w:hint="eastAsia" w:ascii="仿宋_GB2312" w:eastAsia="仿宋_GB2312"/>
                <w:sz w:val="28"/>
                <w:szCs w:val="28"/>
                <w:lang w:val="en-US" w:eastAsia="zh-CN"/>
              </w:rPr>
              <w:t>8</w:t>
            </w:r>
          </w:p>
        </w:tc>
        <w:tc>
          <w:tcPr>
            <w:tcW w:w="1984"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开展保障中心建设工程</w:t>
            </w:r>
          </w:p>
        </w:tc>
        <w:tc>
          <w:tcPr>
            <w:tcW w:w="1804"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按照进度开展</w:t>
            </w:r>
          </w:p>
        </w:tc>
        <w:tc>
          <w:tcPr>
            <w:tcW w:w="1740"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100%</w:t>
            </w:r>
          </w:p>
        </w:tc>
        <w:tc>
          <w:tcPr>
            <w:tcW w:w="2792"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无</w:t>
            </w:r>
          </w:p>
        </w:tc>
      </w:tr>
      <w:tr>
        <w:trPr>
          <w:trHeight w:val="510" w:hRule="atLeast"/>
        </w:trPr>
        <w:tc>
          <w:tcPr>
            <w:tcW w:w="880"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hint="eastAsia" w:ascii="仿宋_GB2312" w:eastAsia="仿宋_GB2312"/>
                <w:sz w:val="28"/>
                <w:szCs w:val="28"/>
                <w:lang w:val="en-US" w:eastAsia="zh-CN"/>
              </w:rPr>
            </w:pPr>
            <w:r>
              <w:rPr>
                <w:rFonts w:hint="eastAsia" w:ascii="仿宋_GB2312" w:eastAsia="仿宋_GB2312"/>
                <w:sz w:val="28"/>
                <w:szCs w:val="28"/>
                <w:lang w:val="en-US" w:eastAsia="zh-CN"/>
              </w:rPr>
              <w:t>9</w:t>
            </w:r>
          </w:p>
        </w:tc>
        <w:tc>
          <w:tcPr>
            <w:tcW w:w="1984"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完成城市安全发展提升建设</w:t>
            </w:r>
          </w:p>
        </w:tc>
        <w:tc>
          <w:tcPr>
            <w:tcW w:w="1804"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100%</w:t>
            </w:r>
          </w:p>
        </w:tc>
        <w:tc>
          <w:tcPr>
            <w:tcW w:w="1740"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100%</w:t>
            </w:r>
          </w:p>
        </w:tc>
        <w:tc>
          <w:tcPr>
            <w:tcW w:w="2792"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无</w:t>
            </w:r>
          </w:p>
        </w:tc>
      </w:tr>
      <w:tr>
        <w:trPr>
          <w:trHeight w:val="510" w:hRule="atLeast"/>
        </w:trPr>
        <w:tc>
          <w:tcPr>
            <w:tcW w:w="880"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hint="default" w:ascii="仿宋_GB2312" w:eastAsia="仿宋_GB2312"/>
                <w:sz w:val="28"/>
                <w:szCs w:val="28"/>
                <w:lang w:val="en-US" w:eastAsia="zh-CN"/>
              </w:rPr>
            </w:pPr>
            <w:r>
              <w:rPr>
                <w:rFonts w:hint="eastAsia" w:ascii="仿宋_GB2312" w:eastAsia="仿宋_GB2312"/>
                <w:sz w:val="28"/>
                <w:szCs w:val="28"/>
                <w:lang w:val="en-US" w:eastAsia="zh-CN"/>
              </w:rPr>
              <w:t>10</w:t>
            </w:r>
          </w:p>
        </w:tc>
        <w:tc>
          <w:tcPr>
            <w:tcW w:w="1984"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为我区提供巨灾保险，自然灾害保险保障</w:t>
            </w:r>
          </w:p>
        </w:tc>
        <w:tc>
          <w:tcPr>
            <w:tcW w:w="1804"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both"/>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 xml:space="preserve">    2个保险</w:t>
            </w:r>
          </w:p>
        </w:tc>
        <w:tc>
          <w:tcPr>
            <w:tcW w:w="1740"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2个保险</w:t>
            </w:r>
          </w:p>
        </w:tc>
        <w:tc>
          <w:tcPr>
            <w:tcW w:w="2792" w:type="dxa"/>
            <w:tcBorders>
              <w:top w:val="single" w:color="auto" w:sz="4" w:space="0"/>
              <w:left w:val="single" w:color="auto" w:sz="4" w:space="0"/>
              <w:bottom w:val="single" w:color="auto" w:sz="4" w:space="0"/>
              <w:right w:val="single" w:color="auto" w:sz="4" w:space="0"/>
            </w:tcBorders>
            <w:vAlign w:val="center"/>
          </w:tcPr>
          <w:p>
            <w:pPr>
              <w:widowControl/>
              <w:spacing w:line="520" w:lineRule="exact"/>
              <w:jc w:val="center"/>
              <w:rPr>
                <w:rFonts w:hint="eastAsia" w:ascii="仿宋_GB2312" w:hAnsi="宋体" w:eastAsia="仿宋_GB2312" w:cs="宋体"/>
                <w:color w:val="000000"/>
                <w:kern w:val="0"/>
                <w:sz w:val="28"/>
                <w:szCs w:val="28"/>
                <w:lang w:val="en-US" w:eastAsia="zh-CN" w:bidi="ar-SA"/>
              </w:rPr>
            </w:pPr>
            <w:r>
              <w:rPr>
                <w:rFonts w:hint="eastAsia" w:ascii="仿宋_GB2312" w:hAnsi="宋体" w:eastAsia="仿宋_GB2312" w:cs="宋体"/>
                <w:color w:val="000000"/>
                <w:kern w:val="0"/>
                <w:sz w:val="28"/>
                <w:szCs w:val="28"/>
                <w:lang w:val="en-US" w:eastAsia="zh-CN"/>
              </w:rPr>
              <w:t>无</w:t>
            </w:r>
          </w:p>
        </w:tc>
      </w:tr>
    </w:tbl>
    <w:p>
      <w:pPr>
        <w:spacing w:line="580" w:lineRule="exact"/>
        <w:ind w:firstLine="640"/>
        <w:rPr>
          <w:rFonts w:hint="eastAsia" w:ascii="仿宋_GB2312" w:hAnsi="Calibri" w:eastAsia="仿宋_GB2312"/>
          <w:sz w:val="28"/>
          <w:szCs w:val="28"/>
        </w:rPr>
      </w:pPr>
      <w:r>
        <w:rPr>
          <w:rFonts w:hint="eastAsia" w:ascii="仿宋_GB2312" w:eastAsia="仿宋_GB2312"/>
          <w:sz w:val="28"/>
          <w:szCs w:val="28"/>
        </w:rPr>
        <w:t>（2）产出质量</w:t>
      </w:r>
      <w:r>
        <w:rPr>
          <w:rFonts w:hint="eastAsia" w:ascii="仿宋_GB2312" w:eastAsia="仿宋_GB2312"/>
          <w:sz w:val="28"/>
          <w:szCs w:val="28"/>
          <w:lang w:val="en-US" w:eastAsia="zh-CN"/>
        </w:rPr>
        <w:t>:符合市区两级相关考核标准</w:t>
      </w:r>
    </w:p>
    <w:p>
      <w:pPr>
        <w:spacing w:line="580" w:lineRule="exact"/>
        <w:ind w:firstLine="640"/>
        <w:rPr>
          <w:rFonts w:hint="eastAsia" w:ascii="仿宋_GB2312" w:eastAsia="仿宋_GB2312"/>
          <w:sz w:val="28"/>
          <w:szCs w:val="28"/>
        </w:rPr>
      </w:pPr>
      <w:r>
        <w:rPr>
          <w:rFonts w:hint="eastAsia" w:ascii="仿宋_GB2312" w:eastAsia="仿宋_GB2312"/>
          <w:sz w:val="28"/>
          <w:szCs w:val="28"/>
        </w:rPr>
        <w:t>（3）产出进度</w:t>
      </w:r>
      <w:r>
        <w:rPr>
          <w:rFonts w:hint="eastAsia" w:ascii="仿宋_GB2312" w:eastAsia="仿宋_GB2312"/>
          <w:sz w:val="28"/>
          <w:szCs w:val="28"/>
          <w:lang w:val="en-US" w:eastAsia="zh-CN"/>
        </w:rPr>
        <w:t>:2025年完成。</w:t>
      </w:r>
    </w:p>
    <w:p>
      <w:pPr>
        <w:spacing w:line="580" w:lineRule="exact"/>
        <w:ind w:firstLine="640"/>
        <w:rPr>
          <w:rFonts w:hint="eastAsia" w:ascii="仿宋_GB2312" w:eastAsia="仿宋_GB2312"/>
          <w:sz w:val="28"/>
          <w:szCs w:val="28"/>
          <w:lang w:val="en-US" w:eastAsia="zh-CN"/>
        </w:rPr>
      </w:pPr>
      <w:r>
        <w:rPr>
          <w:rFonts w:hint="eastAsia" w:ascii="仿宋_GB2312" w:eastAsia="仿宋_GB2312"/>
          <w:sz w:val="28"/>
          <w:szCs w:val="28"/>
        </w:rPr>
        <w:t>（4）产出成本</w:t>
      </w:r>
      <w:r>
        <w:rPr>
          <w:rFonts w:hint="eastAsia" w:ascii="仿宋_GB2312" w:eastAsia="仿宋_GB2312"/>
          <w:sz w:val="28"/>
          <w:szCs w:val="28"/>
          <w:lang w:val="en-US" w:eastAsia="zh-CN"/>
        </w:rPr>
        <w:t>:</w:t>
      </w:r>
    </w:p>
    <w:p>
      <w:pPr>
        <w:spacing w:line="580" w:lineRule="exact"/>
        <w:ind w:firstLine="640"/>
        <w:rPr>
          <w:rFonts w:hint="eastAsia" w:ascii="仿宋_GB2312" w:eastAsia="仿宋_GB2312"/>
          <w:sz w:val="28"/>
          <w:szCs w:val="28"/>
        </w:rPr>
      </w:pPr>
      <w:r>
        <w:rPr>
          <w:rFonts w:hint="eastAsia" w:ascii="仿宋_GB2312" w:eastAsia="仿宋_GB2312"/>
          <w:sz w:val="28"/>
          <w:szCs w:val="28"/>
        </w:rPr>
        <w:t>2.效果实现情况分析</w:t>
      </w:r>
    </w:p>
    <w:p>
      <w:pPr>
        <w:spacing w:line="520" w:lineRule="exact"/>
        <w:ind w:firstLine="640"/>
        <w:rPr>
          <w:rFonts w:hint="eastAsia" w:ascii="仿宋_GB2312" w:hAnsi="仿宋" w:eastAsia="仿宋_GB2312" w:cs="Times New Roman"/>
          <w:sz w:val="28"/>
          <w:szCs w:val="28"/>
          <w:lang w:val="en-US" w:eastAsia="zh-CN"/>
        </w:rPr>
      </w:pPr>
      <w:r>
        <w:rPr>
          <w:rFonts w:hint="eastAsia" w:ascii="仿宋_GB2312" w:hAnsi="仿宋" w:eastAsia="仿宋_GB2312" w:cs="Times New Roman"/>
          <w:sz w:val="28"/>
          <w:szCs w:val="28"/>
          <w:lang w:val="en-US" w:eastAsia="zh-CN"/>
        </w:rPr>
        <w:t>（1）经济效益：不涉及</w:t>
      </w:r>
    </w:p>
    <w:p>
      <w:pPr>
        <w:spacing w:line="520" w:lineRule="exact"/>
        <w:ind w:firstLine="640"/>
        <w:rPr>
          <w:rFonts w:hint="eastAsia" w:ascii="仿宋_GB2312" w:hAnsi="仿宋" w:eastAsia="仿宋_GB2312" w:cs="Times New Roman"/>
          <w:sz w:val="28"/>
          <w:szCs w:val="28"/>
          <w:lang w:val="en-US" w:eastAsia="zh-CN"/>
        </w:rPr>
      </w:pPr>
      <w:r>
        <w:rPr>
          <w:rFonts w:hint="eastAsia" w:ascii="仿宋_GB2312" w:hAnsi="仿宋" w:eastAsia="仿宋_GB2312" w:cs="Times New Roman"/>
          <w:sz w:val="28"/>
          <w:szCs w:val="28"/>
          <w:lang w:val="en-US" w:eastAsia="zh-CN"/>
        </w:rPr>
        <w:t>（2）社会效益：提高全区应急管理水平，加强防灾减灾建设，保障全区安全生产整体水平。</w:t>
      </w:r>
    </w:p>
    <w:p>
      <w:pPr>
        <w:spacing w:line="520" w:lineRule="exact"/>
        <w:ind w:firstLine="640"/>
        <w:rPr>
          <w:rFonts w:hint="eastAsia" w:ascii="仿宋_GB2312" w:hAnsi="仿宋" w:eastAsia="仿宋_GB2312" w:cs="Times New Roman"/>
          <w:sz w:val="28"/>
          <w:szCs w:val="28"/>
          <w:lang w:val="en-US" w:eastAsia="zh-CN"/>
        </w:rPr>
      </w:pPr>
      <w:r>
        <w:rPr>
          <w:rFonts w:hint="eastAsia" w:ascii="仿宋_GB2312" w:hAnsi="仿宋" w:eastAsia="仿宋_GB2312" w:cs="Times New Roman"/>
          <w:sz w:val="28"/>
          <w:szCs w:val="28"/>
          <w:lang w:val="en-US" w:eastAsia="zh-CN"/>
        </w:rPr>
        <w:t>（3）环境效益：不涉及</w:t>
      </w:r>
    </w:p>
    <w:p>
      <w:pPr>
        <w:spacing w:line="520" w:lineRule="exact"/>
        <w:ind w:firstLine="640"/>
        <w:rPr>
          <w:rFonts w:hint="eastAsia" w:ascii="仿宋_GB2312" w:hAnsi="仿宋" w:eastAsia="仿宋_GB2312" w:cs="Times New Roman"/>
          <w:sz w:val="28"/>
          <w:szCs w:val="28"/>
          <w:lang w:val="en-US" w:eastAsia="zh-CN"/>
        </w:rPr>
      </w:pPr>
      <w:r>
        <w:rPr>
          <w:rFonts w:hint="eastAsia" w:ascii="仿宋_GB2312" w:hAnsi="仿宋" w:eastAsia="仿宋_GB2312" w:cs="Times New Roman"/>
          <w:sz w:val="28"/>
          <w:szCs w:val="28"/>
          <w:lang w:val="en-US" w:eastAsia="zh-CN"/>
        </w:rPr>
        <w:t>（4）可持续影响：不涉及</w:t>
      </w:r>
    </w:p>
    <w:p>
      <w:pPr>
        <w:spacing w:line="520" w:lineRule="exact"/>
        <w:ind w:firstLine="640"/>
        <w:rPr>
          <w:rFonts w:hint="eastAsia" w:ascii="仿宋_GB2312" w:hAnsi="仿宋" w:eastAsia="仿宋_GB2312" w:cs="Times New Roman"/>
          <w:sz w:val="28"/>
          <w:szCs w:val="28"/>
          <w:lang w:val="en-US" w:eastAsia="zh-CN"/>
        </w:rPr>
      </w:pPr>
      <w:r>
        <w:rPr>
          <w:rFonts w:hint="eastAsia" w:ascii="仿宋_GB2312" w:hAnsi="仿宋" w:eastAsia="仿宋_GB2312" w:cs="Times New Roman"/>
          <w:sz w:val="28"/>
          <w:szCs w:val="28"/>
          <w:lang w:val="en-US" w:eastAsia="zh-CN"/>
        </w:rPr>
        <w:t>（5）服务对象满意度：不涉及</w:t>
      </w:r>
    </w:p>
    <w:p>
      <w:pPr>
        <w:spacing w:line="580" w:lineRule="exact"/>
        <w:ind w:firstLine="640"/>
        <w:rPr>
          <w:rFonts w:hint="eastAsia" w:ascii="楷体_GB2312" w:eastAsia="楷体_GB2312"/>
          <w:b/>
          <w:sz w:val="32"/>
          <w:szCs w:val="32"/>
        </w:rPr>
      </w:pPr>
      <w:r>
        <w:rPr>
          <w:rFonts w:hint="eastAsia" w:ascii="楷体_GB2312" w:eastAsia="楷体_GB2312"/>
          <w:b/>
          <w:sz w:val="32"/>
          <w:szCs w:val="32"/>
        </w:rPr>
        <w:t>（四）预算管理情况分析</w:t>
      </w:r>
    </w:p>
    <w:p>
      <w:pPr>
        <w:numPr>
          <w:ilvl w:val="0"/>
          <w:numId w:val="0"/>
        </w:numPr>
        <w:spacing w:line="520" w:lineRule="exact"/>
        <w:ind w:firstLine="840" w:firstLineChars="300"/>
        <w:rPr>
          <w:rFonts w:hint="eastAsia" w:ascii="仿宋_GB2312" w:eastAsia="仿宋_GB2312"/>
          <w:sz w:val="28"/>
          <w:szCs w:val="28"/>
          <w:lang w:eastAsia="zh-CN"/>
        </w:rPr>
      </w:pPr>
      <w:r>
        <w:rPr>
          <w:rFonts w:hint="eastAsia" w:ascii="仿宋_GB2312" w:eastAsia="仿宋_GB2312"/>
          <w:sz w:val="28"/>
          <w:szCs w:val="28"/>
        </w:rPr>
        <w:t>1.财务管理</w:t>
      </w:r>
      <w:r>
        <w:rPr>
          <w:rFonts w:hint="eastAsia" w:ascii="仿宋_GB2312" w:eastAsia="仿宋_GB2312"/>
          <w:sz w:val="28"/>
          <w:szCs w:val="28"/>
          <w:lang w:eastAsia="zh-CN"/>
        </w:rPr>
        <w:t>：</w:t>
      </w:r>
      <w:r>
        <w:rPr>
          <w:rFonts w:hint="eastAsia" w:ascii="仿宋_GB2312" w:eastAsia="仿宋_GB2312"/>
          <w:sz w:val="28"/>
          <w:szCs w:val="28"/>
        </w:rPr>
        <w:t>在</w:t>
      </w:r>
      <w:r>
        <w:rPr>
          <w:rFonts w:hint="eastAsia" w:ascii="仿宋_GB2312" w:eastAsia="仿宋_GB2312"/>
          <w:sz w:val="28"/>
          <w:szCs w:val="28"/>
          <w:lang w:val="en-US" w:eastAsia="zh-CN"/>
        </w:rPr>
        <w:t>财务管理上</w:t>
      </w:r>
      <w:r>
        <w:rPr>
          <w:rFonts w:hint="eastAsia" w:ascii="仿宋_GB2312" w:eastAsia="仿宋_GB2312"/>
          <w:sz w:val="28"/>
          <w:szCs w:val="28"/>
        </w:rPr>
        <w:t>，</w:t>
      </w:r>
      <w:r>
        <w:rPr>
          <w:rFonts w:hint="eastAsia" w:ascii="仿宋_GB2312" w:eastAsia="仿宋_GB2312"/>
          <w:sz w:val="28"/>
          <w:szCs w:val="28"/>
          <w:lang w:eastAsia="zh-CN"/>
        </w:rPr>
        <w:t>我单位</w:t>
      </w:r>
      <w:r>
        <w:rPr>
          <w:rFonts w:hint="eastAsia" w:ascii="仿宋_GB2312" w:eastAsia="仿宋_GB2312"/>
          <w:sz w:val="28"/>
          <w:szCs w:val="28"/>
        </w:rPr>
        <w:t>严格审批流程，使用科队申请-科队主管审批-财务主管审批，大额以上资金由领导班子集体讨论决定。财务信息资料由财务人员兼管，负责整理立卷，装订成册，统一妥善保管。严格执行安全和保密制度，严防毁损、丢失和泄密。</w:t>
      </w:r>
    </w:p>
    <w:p>
      <w:pPr>
        <w:spacing w:line="520" w:lineRule="exact"/>
        <w:ind w:firstLine="640"/>
        <w:rPr>
          <w:rFonts w:hint="eastAsia" w:ascii="仿宋_GB2312" w:eastAsia="仿宋_GB2312"/>
          <w:sz w:val="28"/>
          <w:szCs w:val="28"/>
          <w:lang w:eastAsia="zh-CN"/>
        </w:rPr>
      </w:pPr>
      <w:r>
        <w:rPr>
          <w:rFonts w:hint="eastAsia" w:ascii="仿宋_GB2312" w:eastAsia="仿宋_GB2312"/>
          <w:sz w:val="28"/>
          <w:szCs w:val="28"/>
        </w:rPr>
        <w:t>2.资产管理</w:t>
      </w:r>
      <w:r>
        <w:rPr>
          <w:rFonts w:hint="eastAsia" w:ascii="仿宋_GB2312" w:eastAsia="仿宋_GB2312"/>
          <w:sz w:val="28"/>
          <w:szCs w:val="28"/>
          <w:lang w:eastAsia="zh-CN"/>
        </w:rPr>
        <w:t>：</w:t>
      </w:r>
      <w:r>
        <w:rPr>
          <w:rFonts w:hint="eastAsia" w:ascii="仿宋_GB2312" w:eastAsia="仿宋_GB2312"/>
          <w:sz w:val="28"/>
          <w:szCs w:val="28"/>
          <w:lang w:val="en-US" w:eastAsia="zh-CN"/>
        </w:rPr>
        <w:t>我局严格按照相关资产管理制度开展资产管理工作。</w:t>
      </w:r>
    </w:p>
    <w:p>
      <w:pPr>
        <w:spacing w:line="520" w:lineRule="exact"/>
        <w:ind w:firstLine="640"/>
        <w:rPr>
          <w:rFonts w:hint="eastAsia" w:ascii="仿宋_GB2312" w:eastAsia="仿宋_GB2312"/>
          <w:sz w:val="28"/>
          <w:szCs w:val="28"/>
          <w:lang w:eastAsia="zh-CN"/>
        </w:rPr>
      </w:pPr>
      <w:r>
        <w:rPr>
          <w:rFonts w:hint="eastAsia" w:ascii="仿宋_GB2312" w:eastAsia="仿宋_GB2312"/>
          <w:sz w:val="28"/>
          <w:szCs w:val="28"/>
        </w:rPr>
        <w:t>3.绩效管理</w:t>
      </w:r>
      <w:r>
        <w:rPr>
          <w:rFonts w:hint="eastAsia" w:ascii="仿宋_GB2312" w:eastAsia="仿宋_GB2312"/>
          <w:sz w:val="28"/>
          <w:szCs w:val="28"/>
          <w:lang w:eastAsia="zh-CN"/>
        </w:rPr>
        <w:t>：</w:t>
      </w:r>
    </w:p>
    <w:p>
      <w:pPr>
        <w:spacing w:line="520" w:lineRule="exact"/>
        <w:ind w:firstLine="640"/>
        <w:rPr>
          <w:rFonts w:hint="eastAsia" w:ascii="仿宋_GB2312" w:eastAsia="仿宋_GB2312"/>
          <w:sz w:val="28"/>
          <w:szCs w:val="28"/>
          <w:lang w:eastAsia="zh-CN"/>
        </w:rPr>
      </w:pPr>
      <w:r>
        <w:rPr>
          <w:rFonts w:hint="eastAsia" w:ascii="仿宋_GB2312" w:eastAsia="仿宋_GB2312"/>
          <w:sz w:val="28"/>
          <w:szCs w:val="28"/>
        </w:rPr>
        <w:t>（1）预算绩效管理制度情况</w:t>
      </w:r>
      <w:r>
        <w:rPr>
          <w:rFonts w:hint="eastAsia" w:ascii="仿宋_GB2312" w:eastAsia="仿宋_GB2312"/>
          <w:sz w:val="28"/>
          <w:szCs w:val="28"/>
          <w:lang w:eastAsia="zh-CN"/>
        </w:rPr>
        <w:t>：</w:t>
      </w:r>
      <w:r>
        <w:rPr>
          <w:rFonts w:hint="eastAsia" w:ascii="仿宋_GB2312" w:eastAsia="仿宋_GB2312"/>
          <w:sz w:val="28"/>
          <w:szCs w:val="28"/>
          <w:lang w:val="en-US" w:eastAsia="zh-CN"/>
        </w:rPr>
        <w:t>我单位严格按照财政相关要求完成绩效管理工作。</w:t>
      </w:r>
    </w:p>
    <w:p>
      <w:pPr>
        <w:spacing w:line="520" w:lineRule="exact"/>
        <w:ind w:firstLine="640"/>
        <w:rPr>
          <w:rFonts w:hint="eastAsia" w:ascii="仿宋_GB2312" w:eastAsia="仿宋_GB2312"/>
          <w:sz w:val="28"/>
          <w:szCs w:val="28"/>
          <w:lang w:eastAsia="zh-CN"/>
        </w:rPr>
      </w:pPr>
      <w:r>
        <w:rPr>
          <w:rFonts w:hint="eastAsia" w:ascii="仿宋_GB2312" w:eastAsia="仿宋_GB2312"/>
          <w:sz w:val="28"/>
          <w:szCs w:val="28"/>
        </w:rPr>
        <w:t>（2）绩效目标管理情况</w:t>
      </w:r>
      <w:r>
        <w:rPr>
          <w:rFonts w:hint="eastAsia" w:ascii="仿宋_GB2312" w:eastAsia="仿宋_GB2312"/>
          <w:sz w:val="28"/>
          <w:szCs w:val="28"/>
          <w:lang w:eastAsia="zh-CN"/>
        </w:rPr>
        <w:t>：</w:t>
      </w:r>
      <w:r>
        <w:rPr>
          <w:rFonts w:hint="eastAsia" w:ascii="仿宋_GB2312" w:eastAsia="仿宋_GB2312"/>
          <w:sz w:val="28"/>
          <w:szCs w:val="28"/>
          <w:lang w:val="en-US" w:eastAsia="zh-CN"/>
        </w:rPr>
        <w:t>我单位严格按照财政相关要求完成绩效管理工作。</w:t>
      </w:r>
    </w:p>
    <w:p>
      <w:pPr>
        <w:spacing w:line="520" w:lineRule="exact"/>
        <w:ind w:firstLine="640"/>
        <w:rPr>
          <w:rFonts w:ascii="仿宋_GB2312" w:eastAsia="仿宋_GB2312"/>
          <w:sz w:val="28"/>
          <w:szCs w:val="28"/>
        </w:rPr>
      </w:pPr>
      <w:r>
        <w:rPr>
          <w:rFonts w:hint="eastAsia" w:ascii="仿宋_GB2312" w:eastAsia="仿宋_GB2312"/>
          <w:sz w:val="28"/>
          <w:szCs w:val="28"/>
        </w:rPr>
        <w:t>（3）绩效运行监控情况</w:t>
      </w:r>
    </w:p>
    <w:p>
      <w:pPr>
        <w:spacing w:line="520" w:lineRule="exact"/>
        <w:ind w:firstLine="640"/>
        <w:rPr>
          <w:rFonts w:hint="default" w:ascii="仿宋_GB2312" w:eastAsia="仿宋_GB2312"/>
          <w:sz w:val="28"/>
          <w:szCs w:val="28"/>
          <w:lang w:val="en-US" w:eastAsia="zh-CN"/>
        </w:rPr>
      </w:pPr>
      <w:r>
        <w:rPr>
          <w:rFonts w:hint="eastAsia" w:ascii="仿宋_GB2312" w:eastAsia="仿宋_GB2312"/>
          <w:sz w:val="28"/>
          <w:szCs w:val="28"/>
          <w:lang w:val="en-US" w:eastAsia="zh-CN"/>
        </w:rPr>
        <w:t>我单位定期进行绩效运行汇报。总体绩效情况良好。</w:t>
      </w:r>
    </w:p>
    <w:p>
      <w:pPr>
        <w:spacing w:line="520" w:lineRule="exact"/>
        <w:ind w:firstLine="640"/>
        <w:rPr>
          <w:rFonts w:ascii="仿宋_GB2312" w:eastAsia="仿宋_GB2312"/>
          <w:sz w:val="28"/>
          <w:szCs w:val="28"/>
        </w:rPr>
      </w:pPr>
      <w:r>
        <w:rPr>
          <w:rFonts w:hint="eastAsia" w:ascii="仿宋_GB2312" w:eastAsia="仿宋_GB2312"/>
          <w:sz w:val="28"/>
          <w:szCs w:val="28"/>
        </w:rPr>
        <w:t>（4）绩效自评情况</w:t>
      </w:r>
    </w:p>
    <w:p>
      <w:pPr>
        <w:spacing w:line="520" w:lineRule="exact"/>
        <w:ind w:firstLine="640"/>
        <w:rPr>
          <w:rFonts w:ascii="仿宋_GB2312" w:eastAsia="仿宋_GB2312"/>
          <w:sz w:val="28"/>
          <w:szCs w:val="28"/>
          <w:highlight w:val="none"/>
        </w:rPr>
      </w:pPr>
      <w:r>
        <w:rPr>
          <w:rFonts w:hint="eastAsia" w:ascii="仿宋_GB2312" w:eastAsia="仿宋_GB2312"/>
          <w:sz w:val="28"/>
          <w:szCs w:val="28"/>
          <w:highlight w:val="none"/>
        </w:rPr>
        <w:t>2025年对本部门及所属单位202</w:t>
      </w:r>
      <w:r>
        <w:rPr>
          <w:rFonts w:hint="eastAsia" w:ascii="仿宋_GB2312" w:eastAsia="仿宋_GB2312"/>
          <w:sz w:val="28"/>
          <w:szCs w:val="28"/>
          <w:highlight w:val="none"/>
          <w:lang w:val="en-US" w:eastAsia="zh-CN"/>
        </w:rPr>
        <w:t>5</w:t>
      </w:r>
      <w:r>
        <w:rPr>
          <w:rFonts w:hint="eastAsia" w:ascii="仿宋_GB2312" w:eastAsia="仿宋_GB2312"/>
          <w:sz w:val="28"/>
          <w:szCs w:val="28"/>
          <w:highlight w:val="none"/>
        </w:rPr>
        <w:t>年项目支出实施了绩效自评，评价项目</w:t>
      </w:r>
      <w:r>
        <w:rPr>
          <w:rFonts w:hint="eastAsia" w:ascii="仿宋_GB2312" w:eastAsia="仿宋_GB2312"/>
          <w:sz w:val="28"/>
          <w:szCs w:val="28"/>
          <w:highlight w:val="none"/>
          <w:lang w:val="en-US" w:eastAsia="zh-CN"/>
        </w:rPr>
        <w:t>36</w:t>
      </w:r>
      <w:r>
        <w:rPr>
          <w:rFonts w:hint="eastAsia" w:ascii="仿宋_GB2312" w:eastAsia="仿宋_GB2312"/>
          <w:sz w:val="28"/>
          <w:szCs w:val="28"/>
          <w:highlight w:val="none"/>
        </w:rPr>
        <w:t>个，涉及金额</w:t>
      </w:r>
      <w:r>
        <w:rPr>
          <w:rFonts w:hint="eastAsia" w:ascii="仿宋_GB2312" w:eastAsia="仿宋_GB2312"/>
          <w:sz w:val="28"/>
          <w:szCs w:val="28"/>
          <w:highlight w:val="none"/>
          <w:lang w:val="en-US" w:eastAsia="zh-CN"/>
        </w:rPr>
        <w:t>134,668,309.11</w:t>
      </w:r>
      <w:r>
        <w:rPr>
          <w:rFonts w:hint="eastAsia" w:ascii="仿宋_GB2312" w:eastAsia="仿宋_GB2312"/>
          <w:sz w:val="28"/>
          <w:szCs w:val="28"/>
          <w:highlight w:val="none"/>
        </w:rPr>
        <w:t>元。</w:t>
      </w:r>
    </w:p>
    <w:p>
      <w:pPr>
        <w:spacing w:line="580" w:lineRule="exact"/>
        <w:ind w:firstLine="640"/>
        <w:rPr>
          <w:rFonts w:hint="eastAsia" w:ascii="楷体_GB2312" w:eastAsia="楷体_GB2312"/>
          <w:b/>
          <w:sz w:val="32"/>
          <w:szCs w:val="32"/>
        </w:rPr>
      </w:pPr>
      <w:r>
        <w:rPr>
          <w:rFonts w:hint="eastAsia" w:ascii="楷体_GB2312" w:eastAsia="楷体_GB2312"/>
          <w:b/>
          <w:sz w:val="32"/>
          <w:szCs w:val="32"/>
        </w:rPr>
        <w:t>（五）总体评价结论</w:t>
      </w:r>
    </w:p>
    <w:p>
      <w:pPr>
        <w:spacing w:line="520" w:lineRule="exact"/>
        <w:ind w:firstLine="640"/>
        <w:rPr>
          <w:rFonts w:hint="eastAsia" w:ascii="仿宋_GB2312" w:hAnsi="Times New Roman" w:eastAsia="仿宋_GB2312" w:cs="Times New Roman"/>
          <w:sz w:val="28"/>
          <w:szCs w:val="28"/>
          <w:lang w:val="en-US" w:eastAsia="zh-CN"/>
        </w:rPr>
      </w:pPr>
      <w:r>
        <w:rPr>
          <w:rFonts w:hint="eastAsia" w:ascii="仿宋_GB2312" w:hAnsi="Times New Roman" w:eastAsia="仿宋_GB2312" w:cs="Times New Roman"/>
          <w:sz w:val="28"/>
          <w:szCs w:val="28"/>
          <w:lang w:val="en-US" w:eastAsia="zh-CN"/>
        </w:rPr>
        <w:t>1.评价得分情况</w:t>
      </w:r>
    </w:p>
    <w:p>
      <w:pPr>
        <w:spacing w:line="520" w:lineRule="exact"/>
        <w:ind w:firstLine="640"/>
        <w:rPr>
          <w:rFonts w:hint="eastAsia" w:ascii="仿宋_GB2312" w:hAnsi="Times New Roman" w:eastAsia="仿宋_GB2312" w:cs="Times New Roman"/>
          <w:sz w:val="28"/>
          <w:szCs w:val="28"/>
          <w:lang w:val="en-US" w:eastAsia="zh-CN"/>
        </w:rPr>
      </w:pPr>
      <w:r>
        <w:rPr>
          <w:rFonts w:hint="eastAsia" w:ascii="仿宋_GB2312" w:hAnsi="Times New Roman" w:eastAsia="仿宋_GB2312" w:cs="Times New Roman"/>
          <w:sz w:val="28"/>
          <w:szCs w:val="28"/>
          <w:lang w:val="en-US" w:eastAsia="zh-CN"/>
        </w:rPr>
        <w:t>绩效自评总分：99分</w:t>
      </w:r>
    </w:p>
    <w:p>
      <w:pPr>
        <w:spacing w:line="520" w:lineRule="exact"/>
        <w:ind w:firstLine="640"/>
        <w:rPr>
          <w:rFonts w:hint="eastAsia" w:ascii="仿宋_GB2312" w:hAnsi="Times New Roman" w:eastAsia="仿宋_GB2312" w:cs="Times New Roman"/>
          <w:sz w:val="28"/>
          <w:szCs w:val="28"/>
          <w:lang w:val="en-US" w:eastAsia="zh-CN"/>
        </w:rPr>
      </w:pPr>
      <w:r>
        <w:rPr>
          <w:rFonts w:hint="eastAsia" w:ascii="仿宋_GB2312" w:hAnsi="Times New Roman" w:eastAsia="仿宋_GB2312" w:cs="Times New Roman"/>
          <w:sz w:val="28"/>
          <w:szCs w:val="28"/>
          <w:lang w:val="en-US" w:eastAsia="zh-CN"/>
        </w:rPr>
        <w:t>绩效自评等级：优秀</w:t>
      </w:r>
    </w:p>
    <w:p>
      <w:pPr>
        <w:spacing w:line="520" w:lineRule="exact"/>
        <w:ind w:firstLine="640"/>
        <w:rPr>
          <w:rFonts w:hint="eastAsia" w:ascii="仿宋_GB2312" w:hAnsi="Times New Roman" w:eastAsia="仿宋_GB2312" w:cs="Times New Roman"/>
          <w:sz w:val="28"/>
          <w:szCs w:val="28"/>
          <w:lang w:val="en-US" w:eastAsia="zh-CN"/>
        </w:rPr>
      </w:pPr>
      <w:r>
        <w:rPr>
          <w:rFonts w:hint="eastAsia" w:ascii="仿宋_GB2312" w:hAnsi="Times New Roman" w:eastAsia="仿宋_GB2312" w:cs="Times New Roman"/>
          <w:sz w:val="28"/>
          <w:szCs w:val="28"/>
          <w:lang w:val="en-US" w:eastAsia="zh-CN"/>
        </w:rPr>
        <w:t>2.存在的问题及原因分析</w:t>
      </w:r>
    </w:p>
    <w:p>
      <w:pPr>
        <w:spacing w:line="520" w:lineRule="exact"/>
        <w:ind w:firstLine="640"/>
        <w:rPr>
          <w:rFonts w:hint="default" w:ascii="仿宋_GB2312" w:hAnsi="Times New Roman" w:eastAsia="仿宋_GB2312" w:cs="Times New Roman"/>
          <w:sz w:val="28"/>
          <w:szCs w:val="28"/>
          <w:lang w:val="en-US" w:eastAsia="zh-CN"/>
        </w:rPr>
      </w:pPr>
      <w:r>
        <w:rPr>
          <w:rFonts w:hint="eastAsia" w:ascii="仿宋_GB2312" w:hAnsi="Times New Roman" w:eastAsia="仿宋_GB2312" w:cs="Times New Roman"/>
          <w:sz w:val="28"/>
          <w:szCs w:val="28"/>
          <w:lang w:val="en-US" w:eastAsia="zh-CN"/>
        </w:rPr>
        <w:t>我单位存在主要问题为整体预算支出进度较慢，部分项目为需要安装施工，导致整体支出进度较慢。</w:t>
      </w:r>
    </w:p>
    <w:p>
      <w:pPr>
        <w:spacing w:line="520" w:lineRule="exact"/>
        <w:ind w:firstLine="640"/>
        <w:rPr>
          <w:rFonts w:hint="eastAsia" w:ascii="仿宋_GB2312" w:hAnsi="Times New Roman" w:eastAsia="仿宋_GB2312" w:cs="Times New Roman"/>
          <w:sz w:val="28"/>
          <w:szCs w:val="28"/>
          <w:lang w:val="en-US" w:eastAsia="zh-CN"/>
        </w:rPr>
      </w:pPr>
      <w:r>
        <w:rPr>
          <w:rFonts w:hint="eastAsia" w:ascii="仿宋_GB2312" w:hAnsi="Times New Roman" w:eastAsia="仿宋_GB2312" w:cs="Times New Roman"/>
          <w:sz w:val="28"/>
          <w:szCs w:val="28"/>
          <w:lang w:val="en-US" w:eastAsia="zh-CN"/>
        </w:rPr>
        <w:t>3.改进措施</w:t>
      </w:r>
    </w:p>
    <w:bookmarkEnd w:id="2"/>
    <w:p>
      <w:pPr>
        <w:spacing w:line="520" w:lineRule="exact"/>
        <w:ind w:firstLine="640"/>
        <w:rPr>
          <w:rFonts w:hint="default" w:ascii="仿宋_GB2312" w:hAnsi="Times New Roman" w:eastAsia="仿宋_GB2312" w:cs="Times New Roman"/>
          <w:sz w:val="28"/>
          <w:szCs w:val="28"/>
          <w:lang w:val="en-US" w:eastAsia="zh-CN"/>
        </w:rPr>
      </w:pPr>
      <w:r>
        <w:rPr>
          <w:rFonts w:hint="eastAsia" w:ascii="仿宋_GB2312" w:hAnsi="Times New Roman" w:eastAsia="仿宋_GB2312" w:cs="Times New Roman"/>
          <w:sz w:val="28"/>
          <w:szCs w:val="28"/>
          <w:lang w:val="en-US" w:eastAsia="zh-CN"/>
        </w:rPr>
        <w:t>强化项目绩效管理加快支出进度。</w:t>
      </w:r>
    </w:p>
    <w:p>
      <w:pPr>
        <w:spacing w:line="580" w:lineRule="exact"/>
        <w:ind w:firstLine="640"/>
        <w:rPr>
          <w:rFonts w:hint="eastAsia" w:ascii="黑体" w:hAnsi="黑体" w:eastAsia="黑体"/>
          <w:sz w:val="32"/>
          <w:szCs w:val="32"/>
        </w:rPr>
      </w:pPr>
      <w:r>
        <w:rPr>
          <w:rFonts w:hint="eastAsia" w:ascii="黑体" w:hAnsi="黑体" w:eastAsia="黑体"/>
          <w:sz w:val="32"/>
          <w:szCs w:val="32"/>
        </w:rPr>
        <w:t>二、项目支出绩效自评情况</w:t>
      </w:r>
    </w:p>
    <w:p>
      <w:pPr>
        <w:spacing w:line="580" w:lineRule="exact"/>
        <w:ind w:firstLine="809" w:firstLineChars="253"/>
        <w:rPr>
          <w:rFonts w:hint="eastAsia" w:ascii="楷体_GB2312" w:hAnsi="仿宋" w:eastAsia="楷体_GB2312"/>
          <w:b/>
          <w:sz w:val="32"/>
          <w:szCs w:val="32"/>
        </w:rPr>
      </w:pPr>
      <w:r>
        <w:rPr>
          <w:rFonts w:hint="eastAsia" w:ascii="楷体_GB2312" w:hAnsi="仿宋" w:eastAsia="楷体_GB2312"/>
          <w:b/>
          <w:sz w:val="32"/>
          <w:szCs w:val="32"/>
        </w:rPr>
        <w:t>（一）绩效自评开展总体情况</w:t>
      </w:r>
    </w:p>
    <w:p>
      <w:pPr>
        <w:spacing w:line="580" w:lineRule="exact"/>
        <w:ind w:firstLine="708" w:firstLineChars="253"/>
        <w:rPr>
          <w:rFonts w:hint="eastAsia" w:ascii="仿宋_GB2312" w:eastAsia="仿宋_GB2312"/>
          <w:sz w:val="28"/>
          <w:szCs w:val="28"/>
          <w:highlight w:val="none"/>
        </w:rPr>
      </w:pPr>
      <w:r>
        <w:rPr>
          <w:rFonts w:hint="eastAsia" w:ascii="仿宋_GB2312" w:eastAsia="仿宋_GB2312"/>
          <w:sz w:val="28"/>
          <w:szCs w:val="28"/>
          <w:highlight w:val="none"/>
        </w:rPr>
        <w:t>2025年度区财政批复项目支出</w:t>
      </w:r>
      <w:r>
        <w:rPr>
          <w:rFonts w:ascii="仿宋_GB2312" w:eastAsia="仿宋_GB2312"/>
          <w:sz w:val="28"/>
          <w:szCs w:val="28"/>
          <w:highlight w:val="none"/>
        </w:rPr>
        <w:t>预算项目</w:t>
      </w:r>
      <w:r>
        <w:rPr>
          <w:rFonts w:hint="eastAsia" w:ascii="仿宋_GB2312" w:eastAsia="仿宋_GB2312"/>
          <w:sz w:val="28"/>
          <w:szCs w:val="28"/>
          <w:highlight w:val="none"/>
          <w:lang w:val="en-US" w:eastAsia="zh-CN"/>
        </w:rPr>
        <w:t>36</w:t>
      </w:r>
      <w:r>
        <w:rPr>
          <w:rFonts w:hint="eastAsia" w:ascii="仿宋_GB2312" w:eastAsia="仿宋_GB2312"/>
          <w:sz w:val="28"/>
          <w:szCs w:val="28"/>
          <w:highlight w:val="none"/>
        </w:rPr>
        <w:t>个，涉及金额</w:t>
      </w:r>
      <w:r>
        <w:rPr>
          <w:rFonts w:hint="eastAsia" w:ascii="仿宋_GB2312" w:eastAsia="仿宋_GB2312"/>
          <w:sz w:val="28"/>
          <w:szCs w:val="28"/>
          <w:highlight w:val="none"/>
          <w:lang w:val="en-US" w:eastAsia="zh-CN"/>
        </w:rPr>
        <w:t>134,668,309.11</w:t>
      </w:r>
      <w:r>
        <w:rPr>
          <w:rFonts w:hint="eastAsia" w:ascii="仿宋_GB2312" w:eastAsia="仿宋_GB2312"/>
          <w:sz w:val="28"/>
          <w:szCs w:val="28"/>
          <w:highlight w:val="none"/>
        </w:rPr>
        <w:t>元。本次</w:t>
      </w:r>
      <w:r>
        <w:rPr>
          <w:rFonts w:ascii="仿宋_GB2312" w:eastAsia="仿宋_GB2312"/>
          <w:sz w:val="28"/>
          <w:szCs w:val="28"/>
          <w:highlight w:val="none"/>
        </w:rPr>
        <w:t>实施</w:t>
      </w:r>
      <w:r>
        <w:rPr>
          <w:rFonts w:hint="eastAsia" w:ascii="仿宋_GB2312" w:eastAsia="仿宋_GB2312"/>
          <w:sz w:val="28"/>
          <w:szCs w:val="28"/>
          <w:highlight w:val="none"/>
        </w:rPr>
        <w:t>绩效自评项目</w:t>
      </w:r>
      <w:r>
        <w:rPr>
          <w:rFonts w:hint="eastAsia" w:ascii="仿宋_GB2312" w:eastAsia="仿宋_GB2312"/>
          <w:sz w:val="28"/>
          <w:szCs w:val="28"/>
          <w:highlight w:val="none"/>
          <w:lang w:val="en-US" w:eastAsia="zh-CN"/>
        </w:rPr>
        <w:t>36</w:t>
      </w:r>
      <w:r>
        <w:rPr>
          <w:rFonts w:hint="eastAsia" w:ascii="仿宋_GB2312" w:eastAsia="仿宋_GB2312"/>
          <w:sz w:val="28"/>
          <w:szCs w:val="28"/>
          <w:highlight w:val="none"/>
        </w:rPr>
        <w:t>个，涉及金额</w:t>
      </w:r>
      <w:r>
        <w:rPr>
          <w:rFonts w:hint="eastAsia" w:ascii="仿宋_GB2312" w:eastAsia="仿宋_GB2312"/>
          <w:sz w:val="28"/>
          <w:szCs w:val="28"/>
          <w:highlight w:val="none"/>
          <w:lang w:val="en-US" w:eastAsia="zh-CN"/>
        </w:rPr>
        <w:t>134,668,309.11</w:t>
      </w:r>
      <w:r>
        <w:rPr>
          <w:rFonts w:hint="eastAsia" w:ascii="仿宋_GB2312" w:eastAsia="仿宋_GB2312"/>
          <w:sz w:val="28"/>
          <w:szCs w:val="28"/>
          <w:highlight w:val="none"/>
        </w:rPr>
        <w:t>元。评价得分在90分（含90分）以上的</w:t>
      </w:r>
      <w:r>
        <w:rPr>
          <w:rFonts w:hint="eastAsia" w:ascii="仿宋_GB2312" w:eastAsia="仿宋_GB2312"/>
          <w:sz w:val="28"/>
          <w:szCs w:val="28"/>
          <w:highlight w:val="none"/>
          <w:lang w:val="en-US" w:eastAsia="zh-CN"/>
        </w:rPr>
        <w:t>36</w:t>
      </w:r>
      <w:r>
        <w:rPr>
          <w:rFonts w:hint="eastAsia" w:ascii="仿宋_GB2312" w:eastAsia="仿宋_GB2312"/>
          <w:sz w:val="28"/>
          <w:szCs w:val="28"/>
          <w:highlight w:val="none"/>
        </w:rPr>
        <w:t>个，评价得分在80-90分（含80分）的</w:t>
      </w:r>
      <w:r>
        <w:rPr>
          <w:rFonts w:hint="eastAsia" w:ascii="仿宋_GB2312" w:eastAsia="仿宋_GB2312"/>
          <w:sz w:val="28"/>
          <w:szCs w:val="28"/>
          <w:highlight w:val="none"/>
          <w:lang w:val="en-US" w:eastAsia="zh-CN"/>
        </w:rPr>
        <w:t>0</w:t>
      </w:r>
      <w:r>
        <w:rPr>
          <w:rFonts w:hint="eastAsia" w:ascii="仿宋_GB2312" w:eastAsia="仿宋_GB2312"/>
          <w:sz w:val="28"/>
          <w:szCs w:val="28"/>
          <w:highlight w:val="none"/>
        </w:rPr>
        <w:t>个，评价得分在60-80分（含60分）的</w:t>
      </w:r>
      <w:r>
        <w:rPr>
          <w:rFonts w:hint="eastAsia" w:ascii="仿宋_GB2312" w:eastAsia="仿宋_GB2312"/>
          <w:sz w:val="28"/>
          <w:szCs w:val="28"/>
          <w:highlight w:val="none"/>
          <w:lang w:val="en-US" w:eastAsia="zh-CN"/>
        </w:rPr>
        <w:t>0</w:t>
      </w:r>
      <w:r>
        <w:rPr>
          <w:rFonts w:hint="eastAsia" w:ascii="仿宋_GB2312" w:eastAsia="仿宋_GB2312"/>
          <w:sz w:val="28"/>
          <w:szCs w:val="28"/>
          <w:highlight w:val="none"/>
        </w:rPr>
        <w:t>个，评价得分在60分以下的</w:t>
      </w:r>
      <w:r>
        <w:rPr>
          <w:rFonts w:hint="eastAsia" w:ascii="仿宋_GB2312" w:eastAsia="仿宋_GB2312"/>
          <w:sz w:val="28"/>
          <w:szCs w:val="28"/>
          <w:highlight w:val="none"/>
          <w:lang w:val="en-US" w:eastAsia="zh-CN"/>
        </w:rPr>
        <w:t>0</w:t>
      </w:r>
      <w:r>
        <w:rPr>
          <w:rFonts w:hint="eastAsia" w:ascii="仿宋_GB2312" w:eastAsia="仿宋_GB2312"/>
          <w:sz w:val="28"/>
          <w:szCs w:val="28"/>
          <w:highlight w:val="none"/>
        </w:rPr>
        <w:t>个。</w:t>
      </w:r>
    </w:p>
    <w:p>
      <w:pPr>
        <w:spacing w:line="580" w:lineRule="exact"/>
        <w:ind w:firstLine="809" w:firstLineChars="253"/>
        <w:rPr>
          <w:rFonts w:hint="eastAsia" w:ascii="楷体_GB2312" w:hAnsi="仿宋" w:eastAsia="楷体_GB2312"/>
          <w:b/>
          <w:sz w:val="32"/>
          <w:szCs w:val="32"/>
        </w:rPr>
      </w:pPr>
      <w:r>
        <w:rPr>
          <w:rFonts w:hint="eastAsia" w:ascii="楷体_GB2312" w:hAnsi="仿宋" w:eastAsia="楷体_GB2312"/>
          <w:b/>
          <w:sz w:val="32"/>
          <w:szCs w:val="32"/>
        </w:rPr>
        <w:t>（二）重点支出项目绩效自评报告</w:t>
      </w:r>
    </w:p>
    <w:p>
      <w:pPr>
        <w:spacing w:line="580" w:lineRule="exact"/>
        <w:ind w:firstLine="560" w:firstLineChars="200"/>
        <w:outlineLvl w:val="0"/>
        <w:rPr>
          <w:rFonts w:hint="eastAsia" w:ascii="仿宋_GB2312" w:hAnsi="Calibri" w:eastAsia="仿宋_GB2312"/>
          <w:sz w:val="28"/>
          <w:szCs w:val="28"/>
        </w:rPr>
      </w:pPr>
      <w:r>
        <w:rPr>
          <w:rFonts w:hint="eastAsia" w:ascii="仿宋_GB2312" w:eastAsia="仿宋_GB2312"/>
          <w:sz w:val="28"/>
          <w:szCs w:val="28"/>
        </w:rPr>
        <w:t>请参考《关于开展2025年度项目支出绩效自评工作的通知》（门财绩效[2026]72号）要求，将本部门撰写的《重点支出项目绩效自评报告》电子版汇总到1个文件夹中，作为部门决算草案的附件1，并随决算全部公开。</w:t>
      </w:r>
    </w:p>
    <w:p>
      <w:pPr>
        <w:spacing w:line="580" w:lineRule="exact"/>
        <w:ind w:firstLine="640"/>
        <w:rPr>
          <w:rFonts w:hint="eastAsia" w:ascii="楷体_GB2312" w:hAnsi="仿宋" w:eastAsia="楷体_GB2312"/>
          <w:b/>
          <w:sz w:val="32"/>
          <w:szCs w:val="32"/>
        </w:rPr>
      </w:pPr>
      <w:r>
        <w:rPr>
          <w:rFonts w:hint="eastAsia" w:ascii="楷体_GB2312" w:hAnsi="仿宋" w:eastAsia="楷体_GB2312"/>
          <w:b/>
          <w:sz w:val="32"/>
          <w:szCs w:val="32"/>
        </w:rPr>
        <w:t>（三）项目支出绩效自评表</w:t>
      </w:r>
    </w:p>
    <w:p>
      <w:pPr>
        <w:spacing w:line="580" w:lineRule="exact"/>
        <w:ind w:firstLine="560" w:firstLineChars="200"/>
        <w:outlineLvl w:val="0"/>
        <w:rPr>
          <w:rFonts w:hint="eastAsia" w:ascii="仿宋_GB2312" w:hAnsi="Calibri" w:eastAsia="仿宋_GB2312"/>
          <w:sz w:val="28"/>
          <w:szCs w:val="28"/>
        </w:rPr>
      </w:pPr>
      <w:r>
        <w:rPr>
          <w:rFonts w:hint="eastAsia" w:ascii="仿宋_GB2312" w:eastAsia="仿宋_GB2312"/>
          <w:sz w:val="28"/>
          <w:szCs w:val="28"/>
        </w:rPr>
        <w:t>请参考《关于开展2025年度项目支出绩效自评工作的通知》（门财绩效[2026]72号）</w:t>
      </w:r>
      <w:r>
        <w:rPr>
          <w:rFonts w:hint="eastAsia" w:ascii="仿宋_GB2312" w:eastAsia="仿宋_GB2312"/>
          <w:b/>
          <w:sz w:val="28"/>
          <w:szCs w:val="28"/>
        </w:rPr>
        <w:t>及决算公开培训要求</w:t>
      </w:r>
      <w:r>
        <w:rPr>
          <w:rFonts w:hint="eastAsia" w:ascii="仿宋_GB2312" w:eastAsia="仿宋_GB2312"/>
          <w:sz w:val="28"/>
          <w:szCs w:val="28"/>
        </w:rPr>
        <w:t>，将本部门本单位拟公开的《项目支出绩效自评表》电子版汇总到1个文件夹中，作为部门决算草案的附件2，并随决算全部公开。</w:t>
      </w:r>
    </w:p>
    <w:p>
      <w:pPr>
        <w:spacing w:line="580" w:lineRule="exact"/>
        <w:ind w:firstLine="640" w:firstLineChars="200"/>
        <w:outlineLvl w:val="0"/>
        <w:rPr>
          <w:rFonts w:hint="eastAsia" w:ascii="仿宋_GB2312" w:eastAsia="仿宋_GB2312"/>
          <w:b/>
          <w:sz w:val="32"/>
          <w:szCs w:val="32"/>
        </w:rPr>
      </w:pPr>
      <w:r>
        <w:rPr>
          <w:rFonts w:hint="eastAsia" w:ascii="仿宋_GB2312" w:eastAsia="仿宋_GB2312"/>
          <w:b/>
          <w:sz w:val="32"/>
          <w:szCs w:val="32"/>
        </w:rPr>
        <w:t>（注：一级预算部门“一、二”均公开；二级预算单位仅公开“二（三）”。）</w:t>
      </w:r>
    </w:p>
    <w:p>
      <w:pPr>
        <w:spacing w:line="580" w:lineRule="exact"/>
        <w:ind w:firstLine="700" w:firstLineChars="250"/>
        <w:rPr>
          <w:rFonts w:hint="eastAsia" w:ascii="仿宋_GB2312" w:eastAsia="仿宋_GB2312"/>
          <w:sz w:val="28"/>
          <w:szCs w:val="28"/>
        </w:rPr>
      </w:pPr>
      <w:r>
        <w:rPr>
          <w:rFonts w:hint="eastAsia" w:ascii="仿宋_GB2312" w:eastAsia="仿宋_GB2312"/>
          <w:sz w:val="28"/>
          <w:szCs w:val="28"/>
        </w:rPr>
        <w:t>附件：1.重点支出项目绩效自评报告</w:t>
      </w:r>
    </w:p>
    <w:p>
      <w:pPr>
        <w:spacing w:line="580" w:lineRule="exact"/>
        <w:ind w:firstLine="1540" w:firstLineChars="550"/>
        <w:rPr>
          <w:rFonts w:hint="eastAsia" w:ascii="仿宋_GB2312" w:eastAsia="仿宋_GB2312"/>
          <w:sz w:val="28"/>
          <w:szCs w:val="28"/>
        </w:rPr>
      </w:pPr>
      <w:r>
        <w:rPr>
          <w:rFonts w:hint="eastAsia" w:ascii="仿宋_GB2312" w:eastAsia="仿宋_GB2312"/>
          <w:sz w:val="28"/>
          <w:szCs w:val="28"/>
        </w:rPr>
        <w:t>2.项目支出绩效自评表</w:t>
      </w:r>
    </w:p>
    <w:sectPr>
      <w:footerReference r:id="rId4" w:type="default"/>
      <w:footerReference r:id="rId5" w:type="even"/>
      <w:pgSz w:w="16838" w:h="11906" w:orient="landscape"/>
      <w:pgMar w:top="1134" w:right="1134" w:bottom="1134" w:left="1134"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Droid Sans">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rPr>
        <w:rStyle w:val="13"/>
      </w:rPr>
      <w:t>3</w:t>
    </w:r>
    <w:r>
      <w:fldChar w:fldCharType="end"/>
    </w:r>
  </w:p>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rPr>
        <w:rStyle w:val="13"/>
      </w:rPr>
      <w:t>16</w:t>
    </w:r>
    <w:r>
      <w:fldChar w:fldCharType="end"/>
    </w:r>
  </w:p>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rPr>
        <w:rStyle w:val="13"/>
      </w:rPr>
      <w:t>15</w:t>
    </w:r>
    <w:r>
      <w:fldChar w:fldCharType="end"/>
    </w:r>
  </w:p>
  <w:p>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ZmNWE4NzRhMTczNjJlZDE5ZTE5YTczN2QxMzcyMjAifQ=="/>
  </w:docVars>
  <w:rsids>
    <w:rsidRoot w:val="00100246"/>
    <w:rsid w:val="00003B03"/>
    <w:rsid w:val="000040E6"/>
    <w:rsid w:val="00011D72"/>
    <w:rsid w:val="0002352D"/>
    <w:rsid w:val="00027CD5"/>
    <w:rsid w:val="00031B8E"/>
    <w:rsid w:val="00033EC1"/>
    <w:rsid w:val="00034224"/>
    <w:rsid w:val="00040275"/>
    <w:rsid w:val="0004719C"/>
    <w:rsid w:val="00047F6E"/>
    <w:rsid w:val="00051B00"/>
    <w:rsid w:val="000601B1"/>
    <w:rsid w:val="00063034"/>
    <w:rsid w:val="00066E19"/>
    <w:rsid w:val="0006752F"/>
    <w:rsid w:val="00071797"/>
    <w:rsid w:val="00071860"/>
    <w:rsid w:val="0007258E"/>
    <w:rsid w:val="00077A9E"/>
    <w:rsid w:val="00077F4A"/>
    <w:rsid w:val="00077FE5"/>
    <w:rsid w:val="00080447"/>
    <w:rsid w:val="00085663"/>
    <w:rsid w:val="00095948"/>
    <w:rsid w:val="00095C26"/>
    <w:rsid w:val="00096504"/>
    <w:rsid w:val="00096B86"/>
    <w:rsid w:val="000A1770"/>
    <w:rsid w:val="000A283C"/>
    <w:rsid w:val="000B15B7"/>
    <w:rsid w:val="000B70F1"/>
    <w:rsid w:val="000C4611"/>
    <w:rsid w:val="000D1B61"/>
    <w:rsid w:val="000D6854"/>
    <w:rsid w:val="000E0B26"/>
    <w:rsid w:val="000E3291"/>
    <w:rsid w:val="000F08FE"/>
    <w:rsid w:val="000F208B"/>
    <w:rsid w:val="000F2A48"/>
    <w:rsid w:val="000F49BE"/>
    <w:rsid w:val="00100246"/>
    <w:rsid w:val="0010682D"/>
    <w:rsid w:val="001073C6"/>
    <w:rsid w:val="00107DB5"/>
    <w:rsid w:val="00113613"/>
    <w:rsid w:val="0011483D"/>
    <w:rsid w:val="00115724"/>
    <w:rsid w:val="00130995"/>
    <w:rsid w:val="00131FF9"/>
    <w:rsid w:val="00132320"/>
    <w:rsid w:val="00135B6A"/>
    <w:rsid w:val="001369A7"/>
    <w:rsid w:val="001428C5"/>
    <w:rsid w:val="001503D8"/>
    <w:rsid w:val="00157540"/>
    <w:rsid w:val="0017111F"/>
    <w:rsid w:val="00173CF6"/>
    <w:rsid w:val="00180DAD"/>
    <w:rsid w:val="0018370E"/>
    <w:rsid w:val="001852E1"/>
    <w:rsid w:val="00191568"/>
    <w:rsid w:val="001A4277"/>
    <w:rsid w:val="001A7D2E"/>
    <w:rsid w:val="001B1DF9"/>
    <w:rsid w:val="001B1E93"/>
    <w:rsid w:val="001B375E"/>
    <w:rsid w:val="001B4A46"/>
    <w:rsid w:val="001B5E87"/>
    <w:rsid w:val="001B5E91"/>
    <w:rsid w:val="001B69BF"/>
    <w:rsid w:val="001B7988"/>
    <w:rsid w:val="001D78D9"/>
    <w:rsid w:val="001E0556"/>
    <w:rsid w:val="001E2355"/>
    <w:rsid w:val="001E2379"/>
    <w:rsid w:val="001E29A9"/>
    <w:rsid w:val="001F5857"/>
    <w:rsid w:val="00206EC3"/>
    <w:rsid w:val="0021047C"/>
    <w:rsid w:val="00211E4E"/>
    <w:rsid w:val="00213D1C"/>
    <w:rsid w:val="00214C3A"/>
    <w:rsid w:val="00217517"/>
    <w:rsid w:val="00222628"/>
    <w:rsid w:val="002253CB"/>
    <w:rsid w:val="002267A6"/>
    <w:rsid w:val="002326DE"/>
    <w:rsid w:val="00234314"/>
    <w:rsid w:val="00241724"/>
    <w:rsid w:val="0024390C"/>
    <w:rsid w:val="002441F4"/>
    <w:rsid w:val="00244204"/>
    <w:rsid w:val="002448A4"/>
    <w:rsid w:val="00245A0A"/>
    <w:rsid w:val="00246C42"/>
    <w:rsid w:val="002515CC"/>
    <w:rsid w:val="00253EC4"/>
    <w:rsid w:val="00254515"/>
    <w:rsid w:val="0026479D"/>
    <w:rsid w:val="002673C4"/>
    <w:rsid w:val="0027112B"/>
    <w:rsid w:val="00271C3F"/>
    <w:rsid w:val="00272460"/>
    <w:rsid w:val="00273070"/>
    <w:rsid w:val="0027394A"/>
    <w:rsid w:val="00274D50"/>
    <w:rsid w:val="002760D5"/>
    <w:rsid w:val="00276289"/>
    <w:rsid w:val="0028081D"/>
    <w:rsid w:val="0028458C"/>
    <w:rsid w:val="002911BD"/>
    <w:rsid w:val="00291C98"/>
    <w:rsid w:val="00294DE9"/>
    <w:rsid w:val="002A1488"/>
    <w:rsid w:val="002A4C2B"/>
    <w:rsid w:val="002B19D0"/>
    <w:rsid w:val="002B3682"/>
    <w:rsid w:val="002B5464"/>
    <w:rsid w:val="002C0443"/>
    <w:rsid w:val="002C12FB"/>
    <w:rsid w:val="002C24BC"/>
    <w:rsid w:val="002D03C6"/>
    <w:rsid w:val="002D0FDF"/>
    <w:rsid w:val="002D3955"/>
    <w:rsid w:val="002D68A9"/>
    <w:rsid w:val="002E06AE"/>
    <w:rsid w:val="002E4B75"/>
    <w:rsid w:val="002E68DD"/>
    <w:rsid w:val="002F17C2"/>
    <w:rsid w:val="002F32EE"/>
    <w:rsid w:val="002F4054"/>
    <w:rsid w:val="002F5574"/>
    <w:rsid w:val="00301D20"/>
    <w:rsid w:val="00302B19"/>
    <w:rsid w:val="00303428"/>
    <w:rsid w:val="003053C4"/>
    <w:rsid w:val="003058A3"/>
    <w:rsid w:val="00307204"/>
    <w:rsid w:val="00307DA5"/>
    <w:rsid w:val="0031169D"/>
    <w:rsid w:val="0031170D"/>
    <w:rsid w:val="00313E14"/>
    <w:rsid w:val="003167DD"/>
    <w:rsid w:val="00320C8B"/>
    <w:rsid w:val="00321BD8"/>
    <w:rsid w:val="00325687"/>
    <w:rsid w:val="00332C14"/>
    <w:rsid w:val="00335079"/>
    <w:rsid w:val="003352CE"/>
    <w:rsid w:val="00341D8E"/>
    <w:rsid w:val="003502B9"/>
    <w:rsid w:val="00351B8F"/>
    <w:rsid w:val="00353226"/>
    <w:rsid w:val="00353717"/>
    <w:rsid w:val="00354630"/>
    <w:rsid w:val="00365A24"/>
    <w:rsid w:val="003712DB"/>
    <w:rsid w:val="00373DDC"/>
    <w:rsid w:val="00382A86"/>
    <w:rsid w:val="00383BCC"/>
    <w:rsid w:val="00385243"/>
    <w:rsid w:val="003925D4"/>
    <w:rsid w:val="0039318C"/>
    <w:rsid w:val="00393366"/>
    <w:rsid w:val="003937DC"/>
    <w:rsid w:val="00393D75"/>
    <w:rsid w:val="003A2F2D"/>
    <w:rsid w:val="003A43AC"/>
    <w:rsid w:val="003A4EB6"/>
    <w:rsid w:val="003A7AE9"/>
    <w:rsid w:val="003A7BC5"/>
    <w:rsid w:val="003A7FF5"/>
    <w:rsid w:val="003B0352"/>
    <w:rsid w:val="003B4437"/>
    <w:rsid w:val="003B48C4"/>
    <w:rsid w:val="003B5E20"/>
    <w:rsid w:val="003B6DAD"/>
    <w:rsid w:val="003B735F"/>
    <w:rsid w:val="003C030C"/>
    <w:rsid w:val="003C55FC"/>
    <w:rsid w:val="003D0EC3"/>
    <w:rsid w:val="003D7274"/>
    <w:rsid w:val="003E4D82"/>
    <w:rsid w:val="003E5BC1"/>
    <w:rsid w:val="003F0D1B"/>
    <w:rsid w:val="003F1DD6"/>
    <w:rsid w:val="00401087"/>
    <w:rsid w:val="00402E26"/>
    <w:rsid w:val="00405701"/>
    <w:rsid w:val="004110BC"/>
    <w:rsid w:val="0041271F"/>
    <w:rsid w:val="0041688E"/>
    <w:rsid w:val="004170EF"/>
    <w:rsid w:val="0042093C"/>
    <w:rsid w:val="004233DD"/>
    <w:rsid w:val="00424405"/>
    <w:rsid w:val="00425B25"/>
    <w:rsid w:val="00425D24"/>
    <w:rsid w:val="00426A4D"/>
    <w:rsid w:val="00427687"/>
    <w:rsid w:val="00433231"/>
    <w:rsid w:val="004334CA"/>
    <w:rsid w:val="0043506A"/>
    <w:rsid w:val="00435830"/>
    <w:rsid w:val="0043619C"/>
    <w:rsid w:val="0044475D"/>
    <w:rsid w:val="00444D1E"/>
    <w:rsid w:val="0044571A"/>
    <w:rsid w:val="0044705D"/>
    <w:rsid w:val="0045090E"/>
    <w:rsid w:val="00453E36"/>
    <w:rsid w:val="00457286"/>
    <w:rsid w:val="00461FA5"/>
    <w:rsid w:val="00463566"/>
    <w:rsid w:val="00464182"/>
    <w:rsid w:val="00471C52"/>
    <w:rsid w:val="0047460C"/>
    <w:rsid w:val="00474FF2"/>
    <w:rsid w:val="00480098"/>
    <w:rsid w:val="00484A93"/>
    <w:rsid w:val="00485E12"/>
    <w:rsid w:val="004865DA"/>
    <w:rsid w:val="0048779C"/>
    <w:rsid w:val="00487AB7"/>
    <w:rsid w:val="00487ED0"/>
    <w:rsid w:val="00491D09"/>
    <w:rsid w:val="0049682C"/>
    <w:rsid w:val="004A168E"/>
    <w:rsid w:val="004A4EC7"/>
    <w:rsid w:val="004B0003"/>
    <w:rsid w:val="004C020A"/>
    <w:rsid w:val="004C03A3"/>
    <w:rsid w:val="004C44B8"/>
    <w:rsid w:val="004C7629"/>
    <w:rsid w:val="004D0D5D"/>
    <w:rsid w:val="004E27DD"/>
    <w:rsid w:val="004E3350"/>
    <w:rsid w:val="004E5292"/>
    <w:rsid w:val="004F2C5B"/>
    <w:rsid w:val="004F641B"/>
    <w:rsid w:val="004F71F3"/>
    <w:rsid w:val="005052FA"/>
    <w:rsid w:val="005069E1"/>
    <w:rsid w:val="00507E59"/>
    <w:rsid w:val="005122B5"/>
    <w:rsid w:val="0052381C"/>
    <w:rsid w:val="005346B3"/>
    <w:rsid w:val="0054051C"/>
    <w:rsid w:val="00546A84"/>
    <w:rsid w:val="00547BE2"/>
    <w:rsid w:val="0055353D"/>
    <w:rsid w:val="0056187C"/>
    <w:rsid w:val="00576B03"/>
    <w:rsid w:val="00581E1A"/>
    <w:rsid w:val="00591655"/>
    <w:rsid w:val="00591BEC"/>
    <w:rsid w:val="005940EA"/>
    <w:rsid w:val="00594448"/>
    <w:rsid w:val="005A1D6F"/>
    <w:rsid w:val="005A4D82"/>
    <w:rsid w:val="005A52A6"/>
    <w:rsid w:val="005B0DEC"/>
    <w:rsid w:val="005B368E"/>
    <w:rsid w:val="005B6E69"/>
    <w:rsid w:val="005C0015"/>
    <w:rsid w:val="005C1E82"/>
    <w:rsid w:val="005C2BCE"/>
    <w:rsid w:val="005C2CA5"/>
    <w:rsid w:val="005C7062"/>
    <w:rsid w:val="005C7788"/>
    <w:rsid w:val="005D10B9"/>
    <w:rsid w:val="005D18DA"/>
    <w:rsid w:val="005E00DC"/>
    <w:rsid w:val="005E3BBC"/>
    <w:rsid w:val="005E3EC6"/>
    <w:rsid w:val="005E4E07"/>
    <w:rsid w:val="005E4E46"/>
    <w:rsid w:val="005E5275"/>
    <w:rsid w:val="005E7DC8"/>
    <w:rsid w:val="005E7EC9"/>
    <w:rsid w:val="005F7087"/>
    <w:rsid w:val="00611BE4"/>
    <w:rsid w:val="0061219B"/>
    <w:rsid w:val="00621419"/>
    <w:rsid w:val="00626446"/>
    <w:rsid w:val="00626BE8"/>
    <w:rsid w:val="00631827"/>
    <w:rsid w:val="00632804"/>
    <w:rsid w:val="006376DA"/>
    <w:rsid w:val="006459DA"/>
    <w:rsid w:val="006502E8"/>
    <w:rsid w:val="00654A2B"/>
    <w:rsid w:val="0065675C"/>
    <w:rsid w:val="0065793F"/>
    <w:rsid w:val="0066263B"/>
    <w:rsid w:val="0066713A"/>
    <w:rsid w:val="0067195C"/>
    <w:rsid w:val="006724F7"/>
    <w:rsid w:val="0067511A"/>
    <w:rsid w:val="0067539B"/>
    <w:rsid w:val="00675543"/>
    <w:rsid w:val="00677396"/>
    <w:rsid w:val="00677AD9"/>
    <w:rsid w:val="00681970"/>
    <w:rsid w:val="00690641"/>
    <w:rsid w:val="00690D88"/>
    <w:rsid w:val="00691844"/>
    <w:rsid w:val="00693DDF"/>
    <w:rsid w:val="00696F9E"/>
    <w:rsid w:val="006A374A"/>
    <w:rsid w:val="006A505E"/>
    <w:rsid w:val="006A513E"/>
    <w:rsid w:val="006A5265"/>
    <w:rsid w:val="006B0CB9"/>
    <w:rsid w:val="006B2609"/>
    <w:rsid w:val="006B2750"/>
    <w:rsid w:val="006B3678"/>
    <w:rsid w:val="006B7390"/>
    <w:rsid w:val="006C0084"/>
    <w:rsid w:val="006C107D"/>
    <w:rsid w:val="006C3600"/>
    <w:rsid w:val="006C4534"/>
    <w:rsid w:val="006C5205"/>
    <w:rsid w:val="006C75F6"/>
    <w:rsid w:val="006D3F53"/>
    <w:rsid w:val="006D60AF"/>
    <w:rsid w:val="006E4722"/>
    <w:rsid w:val="00701651"/>
    <w:rsid w:val="007049BF"/>
    <w:rsid w:val="00704E79"/>
    <w:rsid w:val="00707A26"/>
    <w:rsid w:val="0071120F"/>
    <w:rsid w:val="00716380"/>
    <w:rsid w:val="00722165"/>
    <w:rsid w:val="00724B1C"/>
    <w:rsid w:val="007428F0"/>
    <w:rsid w:val="007512EF"/>
    <w:rsid w:val="007551AC"/>
    <w:rsid w:val="0076101C"/>
    <w:rsid w:val="00763D87"/>
    <w:rsid w:val="007670B2"/>
    <w:rsid w:val="00771795"/>
    <w:rsid w:val="00774925"/>
    <w:rsid w:val="0079279F"/>
    <w:rsid w:val="00793E69"/>
    <w:rsid w:val="007A063C"/>
    <w:rsid w:val="007A16B0"/>
    <w:rsid w:val="007A19EA"/>
    <w:rsid w:val="007A6092"/>
    <w:rsid w:val="007A60B7"/>
    <w:rsid w:val="007A64A6"/>
    <w:rsid w:val="007A6EE1"/>
    <w:rsid w:val="007A7C89"/>
    <w:rsid w:val="007B1487"/>
    <w:rsid w:val="007B2A43"/>
    <w:rsid w:val="007B326F"/>
    <w:rsid w:val="007B6A58"/>
    <w:rsid w:val="007B6C06"/>
    <w:rsid w:val="007B7B78"/>
    <w:rsid w:val="007C32B1"/>
    <w:rsid w:val="007C7A22"/>
    <w:rsid w:val="007C7C62"/>
    <w:rsid w:val="007D1076"/>
    <w:rsid w:val="007D12B7"/>
    <w:rsid w:val="007D2A49"/>
    <w:rsid w:val="007D5E38"/>
    <w:rsid w:val="007D7AC4"/>
    <w:rsid w:val="007E0340"/>
    <w:rsid w:val="007E1D4A"/>
    <w:rsid w:val="007E53C0"/>
    <w:rsid w:val="007E7703"/>
    <w:rsid w:val="007F4558"/>
    <w:rsid w:val="007F64DF"/>
    <w:rsid w:val="008050EF"/>
    <w:rsid w:val="0080652C"/>
    <w:rsid w:val="0080715F"/>
    <w:rsid w:val="008113D6"/>
    <w:rsid w:val="00812BA7"/>
    <w:rsid w:val="00813A87"/>
    <w:rsid w:val="00813F63"/>
    <w:rsid w:val="00815926"/>
    <w:rsid w:val="00815F57"/>
    <w:rsid w:val="0081760B"/>
    <w:rsid w:val="008218AC"/>
    <w:rsid w:val="00825359"/>
    <w:rsid w:val="00825E13"/>
    <w:rsid w:val="00826F07"/>
    <w:rsid w:val="008337CB"/>
    <w:rsid w:val="00834A3C"/>
    <w:rsid w:val="008360A0"/>
    <w:rsid w:val="00837658"/>
    <w:rsid w:val="00837CD4"/>
    <w:rsid w:val="00837F78"/>
    <w:rsid w:val="008400EE"/>
    <w:rsid w:val="00840791"/>
    <w:rsid w:val="00845576"/>
    <w:rsid w:val="00850708"/>
    <w:rsid w:val="00851024"/>
    <w:rsid w:val="008526D7"/>
    <w:rsid w:val="0086238C"/>
    <w:rsid w:val="008655DC"/>
    <w:rsid w:val="0086732D"/>
    <w:rsid w:val="00870183"/>
    <w:rsid w:val="00875726"/>
    <w:rsid w:val="00877F10"/>
    <w:rsid w:val="0088225D"/>
    <w:rsid w:val="00882F8D"/>
    <w:rsid w:val="00884FB0"/>
    <w:rsid w:val="008853A5"/>
    <w:rsid w:val="008944DA"/>
    <w:rsid w:val="00894D78"/>
    <w:rsid w:val="008A6A18"/>
    <w:rsid w:val="008B033F"/>
    <w:rsid w:val="008B4003"/>
    <w:rsid w:val="008B7443"/>
    <w:rsid w:val="008C179E"/>
    <w:rsid w:val="008C2379"/>
    <w:rsid w:val="008C4FF7"/>
    <w:rsid w:val="008C5C4C"/>
    <w:rsid w:val="008C7056"/>
    <w:rsid w:val="008C706D"/>
    <w:rsid w:val="008D3145"/>
    <w:rsid w:val="008E1A54"/>
    <w:rsid w:val="008E1F95"/>
    <w:rsid w:val="008E36B6"/>
    <w:rsid w:val="008E4267"/>
    <w:rsid w:val="008E4847"/>
    <w:rsid w:val="008E5FF1"/>
    <w:rsid w:val="008E63D2"/>
    <w:rsid w:val="008E6E14"/>
    <w:rsid w:val="008F1528"/>
    <w:rsid w:val="008F1AE5"/>
    <w:rsid w:val="008F55D9"/>
    <w:rsid w:val="009057DE"/>
    <w:rsid w:val="00905F97"/>
    <w:rsid w:val="00906FA3"/>
    <w:rsid w:val="0091239D"/>
    <w:rsid w:val="00912825"/>
    <w:rsid w:val="009129B8"/>
    <w:rsid w:val="00912B99"/>
    <w:rsid w:val="00912C78"/>
    <w:rsid w:val="00927892"/>
    <w:rsid w:val="009319B9"/>
    <w:rsid w:val="009351E9"/>
    <w:rsid w:val="00937862"/>
    <w:rsid w:val="00942279"/>
    <w:rsid w:val="009524EB"/>
    <w:rsid w:val="00962013"/>
    <w:rsid w:val="00963942"/>
    <w:rsid w:val="0096716C"/>
    <w:rsid w:val="009672B2"/>
    <w:rsid w:val="00971C66"/>
    <w:rsid w:val="00972363"/>
    <w:rsid w:val="0098419C"/>
    <w:rsid w:val="009843EF"/>
    <w:rsid w:val="009867F2"/>
    <w:rsid w:val="00991347"/>
    <w:rsid w:val="00996018"/>
    <w:rsid w:val="0099738E"/>
    <w:rsid w:val="009A493E"/>
    <w:rsid w:val="009A531F"/>
    <w:rsid w:val="009A6931"/>
    <w:rsid w:val="009B1F9A"/>
    <w:rsid w:val="009B1FA9"/>
    <w:rsid w:val="009B349F"/>
    <w:rsid w:val="009B4293"/>
    <w:rsid w:val="009B6715"/>
    <w:rsid w:val="009C7B74"/>
    <w:rsid w:val="009D0BE2"/>
    <w:rsid w:val="009D114E"/>
    <w:rsid w:val="009D210F"/>
    <w:rsid w:val="009D309C"/>
    <w:rsid w:val="009D37B1"/>
    <w:rsid w:val="009D4717"/>
    <w:rsid w:val="009D694D"/>
    <w:rsid w:val="009E264E"/>
    <w:rsid w:val="009F0C98"/>
    <w:rsid w:val="009F0F81"/>
    <w:rsid w:val="009F2543"/>
    <w:rsid w:val="009F256D"/>
    <w:rsid w:val="009F341E"/>
    <w:rsid w:val="009F57CE"/>
    <w:rsid w:val="00A117CA"/>
    <w:rsid w:val="00A12225"/>
    <w:rsid w:val="00A14C18"/>
    <w:rsid w:val="00A25898"/>
    <w:rsid w:val="00A3071D"/>
    <w:rsid w:val="00A3182E"/>
    <w:rsid w:val="00A31A89"/>
    <w:rsid w:val="00A32F06"/>
    <w:rsid w:val="00A34934"/>
    <w:rsid w:val="00A34EFE"/>
    <w:rsid w:val="00A36546"/>
    <w:rsid w:val="00A4069C"/>
    <w:rsid w:val="00A413B5"/>
    <w:rsid w:val="00A429CB"/>
    <w:rsid w:val="00A44E87"/>
    <w:rsid w:val="00A5063C"/>
    <w:rsid w:val="00A52749"/>
    <w:rsid w:val="00A5422E"/>
    <w:rsid w:val="00A56EC1"/>
    <w:rsid w:val="00A6350C"/>
    <w:rsid w:val="00A6370B"/>
    <w:rsid w:val="00A63A73"/>
    <w:rsid w:val="00A6655C"/>
    <w:rsid w:val="00A66CBB"/>
    <w:rsid w:val="00A6704E"/>
    <w:rsid w:val="00A67EA4"/>
    <w:rsid w:val="00A773FF"/>
    <w:rsid w:val="00A83AA1"/>
    <w:rsid w:val="00A906F4"/>
    <w:rsid w:val="00A9343A"/>
    <w:rsid w:val="00A9706C"/>
    <w:rsid w:val="00A97B34"/>
    <w:rsid w:val="00AA1B5C"/>
    <w:rsid w:val="00AA7A27"/>
    <w:rsid w:val="00AB3FB0"/>
    <w:rsid w:val="00AB465D"/>
    <w:rsid w:val="00AB713D"/>
    <w:rsid w:val="00AC114C"/>
    <w:rsid w:val="00AC1478"/>
    <w:rsid w:val="00AC6C2D"/>
    <w:rsid w:val="00AC6E17"/>
    <w:rsid w:val="00AD2FF3"/>
    <w:rsid w:val="00AD7764"/>
    <w:rsid w:val="00AD7FE2"/>
    <w:rsid w:val="00AE1284"/>
    <w:rsid w:val="00AE1B18"/>
    <w:rsid w:val="00AE7339"/>
    <w:rsid w:val="00AF1B0B"/>
    <w:rsid w:val="00AF242C"/>
    <w:rsid w:val="00AF3CC4"/>
    <w:rsid w:val="00B05903"/>
    <w:rsid w:val="00B12C7A"/>
    <w:rsid w:val="00B12E10"/>
    <w:rsid w:val="00B22BC3"/>
    <w:rsid w:val="00B25865"/>
    <w:rsid w:val="00B272B6"/>
    <w:rsid w:val="00B2771B"/>
    <w:rsid w:val="00B336E9"/>
    <w:rsid w:val="00B33AE5"/>
    <w:rsid w:val="00B35BE5"/>
    <w:rsid w:val="00B46965"/>
    <w:rsid w:val="00B54ED0"/>
    <w:rsid w:val="00B55D47"/>
    <w:rsid w:val="00B6204E"/>
    <w:rsid w:val="00B649EC"/>
    <w:rsid w:val="00B728DD"/>
    <w:rsid w:val="00B72D43"/>
    <w:rsid w:val="00B74121"/>
    <w:rsid w:val="00B80ABA"/>
    <w:rsid w:val="00B859FF"/>
    <w:rsid w:val="00B85C1B"/>
    <w:rsid w:val="00B85FF0"/>
    <w:rsid w:val="00B86150"/>
    <w:rsid w:val="00B878F9"/>
    <w:rsid w:val="00B9044A"/>
    <w:rsid w:val="00B960F3"/>
    <w:rsid w:val="00B96A31"/>
    <w:rsid w:val="00BA05E6"/>
    <w:rsid w:val="00BA51B0"/>
    <w:rsid w:val="00BA6319"/>
    <w:rsid w:val="00BC03B0"/>
    <w:rsid w:val="00BC06A3"/>
    <w:rsid w:val="00BC0CEA"/>
    <w:rsid w:val="00BC2220"/>
    <w:rsid w:val="00BC26B9"/>
    <w:rsid w:val="00BC26FA"/>
    <w:rsid w:val="00BC4E01"/>
    <w:rsid w:val="00BC73F6"/>
    <w:rsid w:val="00BD1177"/>
    <w:rsid w:val="00BD1374"/>
    <w:rsid w:val="00BD3531"/>
    <w:rsid w:val="00BD4E35"/>
    <w:rsid w:val="00BE34CA"/>
    <w:rsid w:val="00BF116A"/>
    <w:rsid w:val="00C0623C"/>
    <w:rsid w:val="00C06A07"/>
    <w:rsid w:val="00C132B6"/>
    <w:rsid w:val="00C21A6C"/>
    <w:rsid w:val="00C24A10"/>
    <w:rsid w:val="00C27003"/>
    <w:rsid w:val="00C27597"/>
    <w:rsid w:val="00C32BD4"/>
    <w:rsid w:val="00C33E48"/>
    <w:rsid w:val="00C3618B"/>
    <w:rsid w:val="00C403FB"/>
    <w:rsid w:val="00C4316E"/>
    <w:rsid w:val="00C441A2"/>
    <w:rsid w:val="00C5076B"/>
    <w:rsid w:val="00C512D4"/>
    <w:rsid w:val="00C51CF4"/>
    <w:rsid w:val="00C531E2"/>
    <w:rsid w:val="00C53204"/>
    <w:rsid w:val="00C57E34"/>
    <w:rsid w:val="00C64659"/>
    <w:rsid w:val="00C662E9"/>
    <w:rsid w:val="00C66C2D"/>
    <w:rsid w:val="00C7190B"/>
    <w:rsid w:val="00C76852"/>
    <w:rsid w:val="00C77210"/>
    <w:rsid w:val="00C777FA"/>
    <w:rsid w:val="00C77989"/>
    <w:rsid w:val="00C811F4"/>
    <w:rsid w:val="00C81E51"/>
    <w:rsid w:val="00C87B73"/>
    <w:rsid w:val="00C92444"/>
    <w:rsid w:val="00C92FBB"/>
    <w:rsid w:val="00C93327"/>
    <w:rsid w:val="00C97B4D"/>
    <w:rsid w:val="00CA5602"/>
    <w:rsid w:val="00CA5CA9"/>
    <w:rsid w:val="00CA78E2"/>
    <w:rsid w:val="00CB1BBE"/>
    <w:rsid w:val="00CB65DB"/>
    <w:rsid w:val="00CB6BD9"/>
    <w:rsid w:val="00CC293A"/>
    <w:rsid w:val="00CE19F6"/>
    <w:rsid w:val="00CE6B76"/>
    <w:rsid w:val="00CF366B"/>
    <w:rsid w:val="00CF5D9D"/>
    <w:rsid w:val="00CF606C"/>
    <w:rsid w:val="00CF7423"/>
    <w:rsid w:val="00D001F5"/>
    <w:rsid w:val="00D03E80"/>
    <w:rsid w:val="00D1505F"/>
    <w:rsid w:val="00D15B9F"/>
    <w:rsid w:val="00D15DD6"/>
    <w:rsid w:val="00D25548"/>
    <w:rsid w:val="00D2601F"/>
    <w:rsid w:val="00D27759"/>
    <w:rsid w:val="00D30028"/>
    <w:rsid w:val="00D325D3"/>
    <w:rsid w:val="00D408D6"/>
    <w:rsid w:val="00D511DD"/>
    <w:rsid w:val="00D55C2A"/>
    <w:rsid w:val="00D571C1"/>
    <w:rsid w:val="00D602F4"/>
    <w:rsid w:val="00D6457E"/>
    <w:rsid w:val="00D742E2"/>
    <w:rsid w:val="00D7580E"/>
    <w:rsid w:val="00D87DAF"/>
    <w:rsid w:val="00D9446D"/>
    <w:rsid w:val="00DA2994"/>
    <w:rsid w:val="00DB08E8"/>
    <w:rsid w:val="00DB0DED"/>
    <w:rsid w:val="00DB3073"/>
    <w:rsid w:val="00DB3BA9"/>
    <w:rsid w:val="00DB50FE"/>
    <w:rsid w:val="00DB5EDA"/>
    <w:rsid w:val="00DC2349"/>
    <w:rsid w:val="00DC3026"/>
    <w:rsid w:val="00DD1EDB"/>
    <w:rsid w:val="00DD57AA"/>
    <w:rsid w:val="00DE1578"/>
    <w:rsid w:val="00DE7F67"/>
    <w:rsid w:val="00DF0529"/>
    <w:rsid w:val="00DF09EF"/>
    <w:rsid w:val="00DF0D0F"/>
    <w:rsid w:val="00DF13D6"/>
    <w:rsid w:val="00DF27D6"/>
    <w:rsid w:val="00DF2BEA"/>
    <w:rsid w:val="00DF4488"/>
    <w:rsid w:val="00DF5B98"/>
    <w:rsid w:val="00DF6FA8"/>
    <w:rsid w:val="00DF701E"/>
    <w:rsid w:val="00DF7BE5"/>
    <w:rsid w:val="00E00D49"/>
    <w:rsid w:val="00E019A8"/>
    <w:rsid w:val="00E03A46"/>
    <w:rsid w:val="00E03C6D"/>
    <w:rsid w:val="00E0476F"/>
    <w:rsid w:val="00E04899"/>
    <w:rsid w:val="00E0796F"/>
    <w:rsid w:val="00E10948"/>
    <w:rsid w:val="00E24371"/>
    <w:rsid w:val="00E243AB"/>
    <w:rsid w:val="00E26641"/>
    <w:rsid w:val="00E2778F"/>
    <w:rsid w:val="00E278B0"/>
    <w:rsid w:val="00E33023"/>
    <w:rsid w:val="00E331F3"/>
    <w:rsid w:val="00E3498D"/>
    <w:rsid w:val="00E42425"/>
    <w:rsid w:val="00E43E55"/>
    <w:rsid w:val="00E4554E"/>
    <w:rsid w:val="00E46D22"/>
    <w:rsid w:val="00E4768F"/>
    <w:rsid w:val="00E53C0E"/>
    <w:rsid w:val="00E54F7E"/>
    <w:rsid w:val="00E560CE"/>
    <w:rsid w:val="00E5674E"/>
    <w:rsid w:val="00E63783"/>
    <w:rsid w:val="00E650E2"/>
    <w:rsid w:val="00E75CAD"/>
    <w:rsid w:val="00E76922"/>
    <w:rsid w:val="00E8595B"/>
    <w:rsid w:val="00E915EC"/>
    <w:rsid w:val="00EA11B1"/>
    <w:rsid w:val="00EA2224"/>
    <w:rsid w:val="00EA7194"/>
    <w:rsid w:val="00EB1329"/>
    <w:rsid w:val="00EB2987"/>
    <w:rsid w:val="00EB2D75"/>
    <w:rsid w:val="00EB34BE"/>
    <w:rsid w:val="00EB571A"/>
    <w:rsid w:val="00EC2804"/>
    <w:rsid w:val="00EC6117"/>
    <w:rsid w:val="00EC6138"/>
    <w:rsid w:val="00ED1DCF"/>
    <w:rsid w:val="00ED43C9"/>
    <w:rsid w:val="00EE2C60"/>
    <w:rsid w:val="00EE2E58"/>
    <w:rsid w:val="00EE487A"/>
    <w:rsid w:val="00EE734C"/>
    <w:rsid w:val="00EF6907"/>
    <w:rsid w:val="00EF6D91"/>
    <w:rsid w:val="00F01F54"/>
    <w:rsid w:val="00F04D4D"/>
    <w:rsid w:val="00F11DD8"/>
    <w:rsid w:val="00F12745"/>
    <w:rsid w:val="00F13766"/>
    <w:rsid w:val="00F20A77"/>
    <w:rsid w:val="00F22C60"/>
    <w:rsid w:val="00F231A4"/>
    <w:rsid w:val="00F23252"/>
    <w:rsid w:val="00F27B2A"/>
    <w:rsid w:val="00F31762"/>
    <w:rsid w:val="00F345D3"/>
    <w:rsid w:val="00F356ED"/>
    <w:rsid w:val="00F359B5"/>
    <w:rsid w:val="00F4144F"/>
    <w:rsid w:val="00F433F3"/>
    <w:rsid w:val="00F47F64"/>
    <w:rsid w:val="00F522D9"/>
    <w:rsid w:val="00F52F54"/>
    <w:rsid w:val="00F53584"/>
    <w:rsid w:val="00F61B24"/>
    <w:rsid w:val="00F62DE5"/>
    <w:rsid w:val="00F63F8A"/>
    <w:rsid w:val="00F6514E"/>
    <w:rsid w:val="00F703DC"/>
    <w:rsid w:val="00F71D06"/>
    <w:rsid w:val="00F73B46"/>
    <w:rsid w:val="00F73D01"/>
    <w:rsid w:val="00F7642B"/>
    <w:rsid w:val="00F76A43"/>
    <w:rsid w:val="00F80334"/>
    <w:rsid w:val="00F8139D"/>
    <w:rsid w:val="00F83DF9"/>
    <w:rsid w:val="00F85DA0"/>
    <w:rsid w:val="00F930AF"/>
    <w:rsid w:val="00F9352C"/>
    <w:rsid w:val="00F975B0"/>
    <w:rsid w:val="00FA15F1"/>
    <w:rsid w:val="00FA19F5"/>
    <w:rsid w:val="00FA4A69"/>
    <w:rsid w:val="00FA649A"/>
    <w:rsid w:val="00FB1248"/>
    <w:rsid w:val="00FB208D"/>
    <w:rsid w:val="00FB3CF4"/>
    <w:rsid w:val="00FB4A27"/>
    <w:rsid w:val="00FB4A49"/>
    <w:rsid w:val="00FB69B3"/>
    <w:rsid w:val="00FC6FBE"/>
    <w:rsid w:val="00FD1162"/>
    <w:rsid w:val="00FD2232"/>
    <w:rsid w:val="00FD4AE7"/>
    <w:rsid w:val="00FD65A9"/>
    <w:rsid w:val="00FD7508"/>
    <w:rsid w:val="00FE1E51"/>
    <w:rsid w:val="00FE2496"/>
    <w:rsid w:val="00FE6A2B"/>
    <w:rsid w:val="00FF0275"/>
    <w:rsid w:val="00FF07B3"/>
    <w:rsid w:val="00FF1E37"/>
    <w:rsid w:val="02F120AB"/>
    <w:rsid w:val="032B5196"/>
    <w:rsid w:val="041F054D"/>
    <w:rsid w:val="04C3537C"/>
    <w:rsid w:val="079004AC"/>
    <w:rsid w:val="0A02431C"/>
    <w:rsid w:val="0AF05C59"/>
    <w:rsid w:val="0B184A6E"/>
    <w:rsid w:val="0BA148CA"/>
    <w:rsid w:val="0C1165C4"/>
    <w:rsid w:val="0C1A784C"/>
    <w:rsid w:val="0D6D544B"/>
    <w:rsid w:val="0DD136FE"/>
    <w:rsid w:val="0F895414"/>
    <w:rsid w:val="0F8E2C57"/>
    <w:rsid w:val="1059665E"/>
    <w:rsid w:val="10AC13BA"/>
    <w:rsid w:val="10AF4E71"/>
    <w:rsid w:val="11980797"/>
    <w:rsid w:val="125D1C34"/>
    <w:rsid w:val="12DC4CE8"/>
    <w:rsid w:val="13CA32C6"/>
    <w:rsid w:val="145A6C1B"/>
    <w:rsid w:val="14B73493"/>
    <w:rsid w:val="167A2FF9"/>
    <w:rsid w:val="17E05399"/>
    <w:rsid w:val="18581C69"/>
    <w:rsid w:val="186D28E5"/>
    <w:rsid w:val="1AEC0734"/>
    <w:rsid w:val="1B9B708F"/>
    <w:rsid w:val="1BB54CEE"/>
    <w:rsid w:val="1C203C3A"/>
    <w:rsid w:val="1DEF20B0"/>
    <w:rsid w:val="1FDB75C6"/>
    <w:rsid w:val="20184BB4"/>
    <w:rsid w:val="214243FA"/>
    <w:rsid w:val="21A65F2F"/>
    <w:rsid w:val="21AD613C"/>
    <w:rsid w:val="22467189"/>
    <w:rsid w:val="22F62969"/>
    <w:rsid w:val="230D71E7"/>
    <w:rsid w:val="251D2338"/>
    <w:rsid w:val="257A14F5"/>
    <w:rsid w:val="27196C26"/>
    <w:rsid w:val="296D07FE"/>
    <w:rsid w:val="29DB19A1"/>
    <w:rsid w:val="29EF086F"/>
    <w:rsid w:val="2A014A0F"/>
    <w:rsid w:val="2A070FB7"/>
    <w:rsid w:val="2D111490"/>
    <w:rsid w:val="2E304F81"/>
    <w:rsid w:val="2EFFE297"/>
    <w:rsid w:val="2F16271E"/>
    <w:rsid w:val="2F7E3ACA"/>
    <w:rsid w:val="2FA4764B"/>
    <w:rsid w:val="301437CA"/>
    <w:rsid w:val="307F62BE"/>
    <w:rsid w:val="30A752A2"/>
    <w:rsid w:val="31F42769"/>
    <w:rsid w:val="32465D3B"/>
    <w:rsid w:val="32791381"/>
    <w:rsid w:val="346A286F"/>
    <w:rsid w:val="349D1F0A"/>
    <w:rsid w:val="34DD0473"/>
    <w:rsid w:val="354F4482"/>
    <w:rsid w:val="35E6106E"/>
    <w:rsid w:val="39F91D75"/>
    <w:rsid w:val="3B1F1C54"/>
    <w:rsid w:val="3C181CA7"/>
    <w:rsid w:val="3C684897"/>
    <w:rsid w:val="3CDB601C"/>
    <w:rsid w:val="3D412CBB"/>
    <w:rsid w:val="3DE713D4"/>
    <w:rsid w:val="41C6204F"/>
    <w:rsid w:val="41F63994"/>
    <w:rsid w:val="422F44A2"/>
    <w:rsid w:val="433E495C"/>
    <w:rsid w:val="438751EB"/>
    <w:rsid w:val="4389125B"/>
    <w:rsid w:val="46963997"/>
    <w:rsid w:val="47024B89"/>
    <w:rsid w:val="489F2FD7"/>
    <w:rsid w:val="498D1081"/>
    <w:rsid w:val="4A003601"/>
    <w:rsid w:val="4ABA2A22"/>
    <w:rsid w:val="4AC27CB3"/>
    <w:rsid w:val="4B105AC6"/>
    <w:rsid w:val="4B352E7B"/>
    <w:rsid w:val="4BF72BEF"/>
    <w:rsid w:val="4FA90297"/>
    <w:rsid w:val="4FC41A43"/>
    <w:rsid w:val="51DB3C59"/>
    <w:rsid w:val="529C2335"/>
    <w:rsid w:val="52AB4326"/>
    <w:rsid w:val="53B316E5"/>
    <w:rsid w:val="53EA3EF5"/>
    <w:rsid w:val="549F610D"/>
    <w:rsid w:val="550C0952"/>
    <w:rsid w:val="552339CF"/>
    <w:rsid w:val="552503C0"/>
    <w:rsid w:val="55762E42"/>
    <w:rsid w:val="57A7B272"/>
    <w:rsid w:val="58470068"/>
    <w:rsid w:val="58747CAC"/>
    <w:rsid w:val="58CB7AB4"/>
    <w:rsid w:val="59154BEF"/>
    <w:rsid w:val="596C2A61"/>
    <w:rsid w:val="5A0B08C1"/>
    <w:rsid w:val="5A17002A"/>
    <w:rsid w:val="5A1720F9"/>
    <w:rsid w:val="5A4B041A"/>
    <w:rsid w:val="5B2335F4"/>
    <w:rsid w:val="5B5718E4"/>
    <w:rsid w:val="5B915C0F"/>
    <w:rsid w:val="5B9C37C2"/>
    <w:rsid w:val="5BA7C654"/>
    <w:rsid w:val="5E58208B"/>
    <w:rsid w:val="60A54109"/>
    <w:rsid w:val="61D01CDF"/>
    <w:rsid w:val="64AA3DFB"/>
    <w:rsid w:val="64C0607C"/>
    <w:rsid w:val="65756C86"/>
    <w:rsid w:val="66A02823"/>
    <w:rsid w:val="66C93D30"/>
    <w:rsid w:val="674D385B"/>
    <w:rsid w:val="676F09E1"/>
    <w:rsid w:val="68573C08"/>
    <w:rsid w:val="686F74D7"/>
    <w:rsid w:val="69A13177"/>
    <w:rsid w:val="69E414FA"/>
    <w:rsid w:val="6A236245"/>
    <w:rsid w:val="6C84264F"/>
    <w:rsid w:val="6F9E21B4"/>
    <w:rsid w:val="6FA348AB"/>
    <w:rsid w:val="708244C1"/>
    <w:rsid w:val="71793A80"/>
    <w:rsid w:val="72F946F9"/>
    <w:rsid w:val="73375A36"/>
    <w:rsid w:val="7357290B"/>
    <w:rsid w:val="74B75BCF"/>
    <w:rsid w:val="75792310"/>
    <w:rsid w:val="769A1114"/>
    <w:rsid w:val="77957D31"/>
    <w:rsid w:val="798524E4"/>
    <w:rsid w:val="79B37228"/>
    <w:rsid w:val="7A3B5B1E"/>
    <w:rsid w:val="7A7F1C49"/>
    <w:rsid w:val="7A915C4C"/>
    <w:rsid w:val="7ADC6278"/>
    <w:rsid w:val="7B5B7AE6"/>
    <w:rsid w:val="7B7B6628"/>
    <w:rsid w:val="7BA7071E"/>
    <w:rsid w:val="7BDF6DA8"/>
    <w:rsid w:val="7BDF7589"/>
    <w:rsid w:val="7C7EDC1A"/>
    <w:rsid w:val="7CCED98D"/>
    <w:rsid w:val="7D08410F"/>
    <w:rsid w:val="7D2759BE"/>
    <w:rsid w:val="7DA71A0B"/>
    <w:rsid w:val="7DB96DED"/>
    <w:rsid w:val="7DD3AD81"/>
    <w:rsid w:val="7E505BFE"/>
    <w:rsid w:val="7E7C2E97"/>
    <w:rsid w:val="7F7FE70F"/>
    <w:rsid w:val="7FFF772F"/>
    <w:rsid w:val="95F35EF6"/>
    <w:rsid w:val="9BFFD860"/>
    <w:rsid w:val="AC5F73DE"/>
    <w:rsid w:val="B5DDD2C8"/>
    <w:rsid w:val="B9DFABD9"/>
    <w:rsid w:val="BC0D83FC"/>
    <w:rsid w:val="BF3BDEFB"/>
    <w:rsid w:val="C75F6086"/>
    <w:rsid w:val="C7F7ED2D"/>
    <w:rsid w:val="CFAF854E"/>
    <w:rsid w:val="D8D7928E"/>
    <w:rsid w:val="D8FE3136"/>
    <w:rsid w:val="DDDE60B7"/>
    <w:rsid w:val="DE9F6A22"/>
    <w:rsid w:val="DF4FCE6A"/>
    <w:rsid w:val="E4FED278"/>
    <w:rsid w:val="EDAA365C"/>
    <w:rsid w:val="EDADFC12"/>
    <w:rsid w:val="F2FD229B"/>
    <w:rsid w:val="F7F709E9"/>
    <w:rsid w:val="F7FF3690"/>
    <w:rsid w:val="F9BD3900"/>
    <w:rsid w:val="FC8B9876"/>
    <w:rsid w:val="FEDFF218"/>
    <w:rsid w:val="FEDFFF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100" w:beforeAutospacing="1" w:after="100" w:afterAutospacing="1"/>
      <w:outlineLvl w:val="1"/>
    </w:pPr>
    <w:rPr>
      <w:rFonts w:ascii="Cambria" w:hAnsi="Cambria" w:eastAsia="黑体"/>
      <w:b/>
      <w:bCs/>
      <w:kern w:val="0"/>
      <w:sz w:val="36"/>
      <w:szCs w:val="32"/>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ind w:firstLine="200" w:firstLineChars="200"/>
    </w:pPr>
  </w:style>
  <w:style w:type="paragraph" w:styleId="4">
    <w:name w:val="Body Text Indent"/>
    <w:basedOn w:val="1"/>
    <w:qFormat/>
    <w:uiPriority w:val="0"/>
    <w:pPr>
      <w:ind w:firstLine="645"/>
    </w:pPr>
    <w:rPr>
      <w:rFonts w:ascii="仿宋_GB2312" w:hAnsi="Calibri" w:eastAsia="仿宋_GB2312"/>
      <w:sz w:val="32"/>
      <w:szCs w:val="32"/>
    </w:rPr>
  </w:style>
  <w:style w:type="paragraph" w:styleId="5">
    <w:name w:val="Date"/>
    <w:basedOn w:val="1"/>
    <w:next w:val="1"/>
    <w:qFormat/>
    <w:uiPriority w:val="0"/>
    <w:pPr>
      <w:ind w:left="100" w:leftChars="2500"/>
    </w:pPr>
  </w:style>
  <w:style w:type="paragraph" w:styleId="6">
    <w:name w:val="Balloon Text"/>
    <w:basedOn w:val="1"/>
    <w:semiHidden/>
    <w:qFormat/>
    <w:uiPriority w:val="0"/>
    <w:rPr>
      <w:sz w:val="18"/>
      <w:szCs w:val="18"/>
    </w:rPr>
  </w:style>
  <w:style w:type="paragraph" w:styleId="7">
    <w:name w:val="footer"/>
    <w:basedOn w:val="1"/>
    <w:link w:val="14"/>
    <w:qFormat/>
    <w:uiPriority w:val="0"/>
    <w:pPr>
      <w:tabs>
        <w:tab w:val="center" w:pos="4153"/>
        <w:tab w:val="right" w:pos="8306"/>
      </w:tabs>
      <w:snapToGrid w:val="0"/>
      <w:jc w:val="left"/>
    </w:pPr>
    <w:rPr>
      <w:sz w:val="18"/>
      <w:szCs w:val="18"/>
    </w:rPr>
  </w:style>
  <w:style w:type="paragraph" w:styleId="8">
    <w:name w:val="header"/>
    <w:basedOn w:val="1"/>
    <w:link w:val="15"/>
    <w:qFormat/>
    <w:uiPriority w:val="0"/>
    <w:pPr>
      <w:pBdr>
        <w:bottom w:val="single" w:color="auto" w:sz="6" w:space="1"/>
      </w:pBdr>
      <w:tabs>
        <w:tab w:val="center" w:pos="4153"/>
        <w:tab w:val="right" w:pos="8306"/>
      </w:tabs>
      <w:snapToGrid w:val="0"/>
      <w:jc w:val="center"/>
    </w:pPr>
    <w:rPr>
      <w:rFonts w:ascii="Calibri" w:hAnsi="Calibri"/>
      <w:sz w:val="18"/>
      <w:szCs w:val="18"/>
    </w:rPr>
  </w:style>
  <w:style w:type="paragraph" w:styleId="9">
    <w:name w:val="Normal (Web)"/>
    <w:basedOn w:val="1"/>
    <w:unhideWhenUsed/>
    <w:qFormat/>
    <w:uiPriority w:val="0"/>
    <w:pPr>
      <w:spacing w:before="100" w:beforeAutospacing="1" w:after="100" w:afterAutospacing="1"/>
      <w:ind w:right="238"/>
      <w:jc w:val="left"/>
    </w:pPr>
    <w:rPr>
      <w:b/>
      <w:kern w:val="0"/>
      <w:sz w:val="24"/>
      <w:szCs w:val="20"/>
    </w:rPr>
  </w:style>
  <w:style w:type="character" w:styleId="12">
    <w:name w:val="Strong"/>
    <w:qFormat/>
    <w:uiPriority w:val="0"/>
    <w:rPr>
      <w:b/>
    </w:rPr>
  </w:style>
  <w:style w:type="character" w:styleId="13">
    <w:name w:val="page number"/>
    <w:qFormat/>
    <w:uiPriority w:val="0"/>
  </w:style>
  <w:style w:type="character" w:customStyle="1" w:styleId="14">
    <w:name w:val="页脚 Char"/>
    <w:link w:val="7"/>
    <w:qFormat/>
    <w:uiPriority w:val="0"/>
    <w:rPr>
      <w:rFonts w:eastAsia="宋体"/>
      <w:kern w:val="2"/>
      <w:sz w:val="18"/>
      <w:szCs w:val="18"/>
      <w:lang w:val="en-US" w:eastAsia="zh-CN" w:bidi="ar-SA"/>
    </w:rPr>
  </w:style>
  <w:style w:type="character" w:customStyle="1" w:styleId="15">
    <w:name w:val="页眉 Char"/>
    <w:link w:val="8"/>
    <w:qFormat/>
    <w:uiPriority w:val="0"/>
    <w:rPr>
      <w:rFonts w:ascii="Calibri" w:hAnsi="Calibri" w:eastAsia="宋体"/>
      <w:kern w:val="2"/>
      <w:sz w:val="18"/>
      <w:szCs w:val="18"/>
      <w:lang w:val="en-US" w:eastAsia="zh-CN" w:bidi="ar-SA"/>
    </w:rPr>
  </w:style>
  <w:style w:type="paragraph" w:customStyle="1" w:styleId="16">
    <w:name w:val="Char Char Char Char Char Char Char"/>
    <w:basedOn w:val="1"/>
    <w:qFormat/>
    <w:uiPriority w:val="0"/>
    <w:rPr>
      <w:rFonts w:ascii="Tahoma" w:hAnsi="Tahoma"/>
      <w:sz w:val="24"/>
      <w:szCs w:val="20"/>
    </w:rPr>
  </w:style>
  <w:style w:type="paragraph" w:customStyle="1" w:styleId="17">
    <w:name w:val="Char1 Char Char Char"/>
    <w:basedOn w:val="1"/>
    <w:qFormat/>
    <w:uiPriority w:val="0"/>
    <w:pPr>
      <w:widowControl/>
      <w:spacing w:after="160" w:line="240" w:lineRule="exact"/>
      <w:jc w:val="left"/>
    </w:pPr>
    <w:rPr>
      <w:szCs w:val="20"/>
    </w:rPr>
  </w:style>
  <w:style w:type="paragraph" w:customStyle="1" w:styleId="18">
    <w:name w:val="Char"/>
    <w:basedOn w:val="1"/>
    <w:qFormat/>
    <w:uiPriority w:val="0"/>
    <w:rPr>
      <w:rFonts w:ascii="Tahoma" w:hAnsi="Tahoma"/>
      <w:sz w:val="24"/>
      <w:szCs w:val="20"/>
    </w:rPr>
  </w:style>
  <w:style w:type="paragraph" w:customStyle="1" w:styleId="19">
    <w:name w:val="Char Char3 Char Char"/>
    <w:basedOn w:val="1"/>
    <w:qFormat/>
    <w:uiPriority w:val="0"/>
    <w:rPr>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hart" Target="charts/chart2.xml"/><Relationship Id="rId7" Type="http://schemas.openxmlformats.org/officeDocument/2006/relationships/chart" Target="charts/chart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收入</c:v>
                </c:pt>
              </c:strCache>
            </c:strRef>
          </c:tx>
          <c:explosion val="0"/>
          <c:dPt>
            <c:idx val="0"/>
            <c:bubble3D val="0"/>
          </c:dPt>
          <c:dPt>
            <c:idx val="1"/>
            <c:bubble3D val="0"/>
          </c:dPt>
          <c:dPt>
            <c:idx val="2"/>
            <c:bubble3D val="0"/>
          </c:dPt>
          <c:dPt>
            <c:idx val="3"/>
            <c:bubble3D val="0"/>
          </c:dPt>
          <c:dPt>
            <c:idx val="4"/>
            <c:bubble3D val="0"/>
          </c:dPt>
          <c:dPt>
            <c:idx val="5"/>
            <c:bubble3D val="0"/>
          </c:dPt>
          <c:dLbls>
            <c:numFmt formatCode="0.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ext>
            </c:extLst>
          </c:dLbls>
          <c:cat>
            <c:strRef>
              <c:f>Sheet1!$A$2:$A$7</c:f>
              <c:strCache>
                <c:ptCount val="6"/>
                <c:pt idx="0">
                  <c:v>财政拨款收入</c:v>
                </c:pt>
                <c:pt idx="1">
                  <c:v>上级补助收入</c:v>
                </c:pt>
                <c:pt idx="2">
                  <c:v>事业收入</c:v>
                </c:pt>
                <c:pt idx="3">
                  <c:v>经营收入</c:v>
                </c:pt>
                <c:pt idx="4">
                  <c:v>附属单位上缴</c:v>
                </c:pt>
                <c:pt idx="5">
                  <c:v>其他收入</c:v>
                </c:pt>
              </c:strCache>
            </c:strRef>
          </c:cat>
          <c:val>
            <c:numRef>
              <c:f>Sheet1!$B$2:$B$7</c:f>
              <c:numCache>
                <c:formatCode>General</c:formatCode>
                <c:ptCount val="6"/>
                <c:pt idx="0">
                  <c:v>15976.1</c:v>
                </c:pt>
                <c:pt idx="1">
                  <c:v>0</c:v>
                </c:pt>
                <c:pt idx="2">
                  <c:v>0</c:v>
                </c:pt>
                <c:pt idx="3">
                  <c:v>0</c:v>
                </c:pt>
                <c:pt idx="4">
                  <c:v>0</c:v>
                </c:pt>
                <c:pt idx="5">
                  <c:v>0</c:v>
                </c:pt>
              </c:numCache>
            </c:numRef>
          </c:val>
        </c:ser>
        <c:dLbls>
          <c:showLegendKey val="0"/>
          <c:showVal val="1"/>
          <c:showCatName val="0"/>
          <c:showSerName val="0"/>
          <c:showPercent val="0"/>
          <c:showBubbleSize val="0"/>
          <c:showLeaderLines val="1"/>
        </c:dLbls>
        <c:firstSliceAng val="0"/>
      </c:pieChart>
    </c:plotArea>
    <c:legend>
      <c:legendPos val="r"/>
      <c:layout/>
      <c:overlay val="0"/>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legend>
    <c:plotVisOnly val="1"/>
    <c:dispBlanksAs val="gap"/>
    <c:showDLblsOverMax val="0"/>
  </c:chart>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Sheet0!$B$1</c:f>
              <c:strCache>
                <c:ptCount val="1"/>
                <c:pt idx="0">
                  <c:v>支出</c:v>
                </c:pt>
              </c:strCache>
            </c:strRef>
          </c:tx>
          <c:explosion val="0"/>
          <c:dPt>
            <c:idx val="0"/>
            <c:bubble3D val="0"/>
            <c:spPr>
              <a:solidFill>
                <a:srgbClr val="4F81BD"/>
              </a:solidFill>
              <a:ln w="19050">
                <a:solidFill>
                  <a:srgbClr val="FFFFFF"/>
                </a:solidFill>
              </a:ln>
              <a:effectLst/>
            </c:spPr>
          </c:dPt>
          <c:dPt>
            <c:idx val="1"/>
            <c:bubble3D val="0"/>
            <c:spPr>
              <a:solidFill>
                <a:srgbClr val="C0504D"/>
              </a:solidFill>
              <a:ln w="19050">
                <a:solidFill>
                  <a:srgbClr val="FFFFFF"/>
                </a:solidFill>
              </a:ln>
              <a:effectLst/>
            </c:spPr>
          </c:dPt>
          <c:dPt>
            <c:idx val="2"/>
            <c:bubble3D val="0"/>
            <c:spPr>
              <a:solidFill>
                <a:srgbClr val="9BBB59"/>
              </a:solidFill>
              <a:ln w="19050">
                <a:solidFill>
                  <a:srgbClr val="FFFFFF"/>
                </a:solidFill>
              </a:ln>
              <a:effectLst/>
            </c:spPr>
          </c:dPt>
          <c:dPt>
            <c:idx val="3"/>
            <c:bubble3D val="0"/>
            <c:spPr>
              <a:solidFill>
                <a:srgbClr val="8064A2"/>
              </a:solidFill>
              <a:ln w="19050">
                <a:solidFill>
                  <a:srgbClr val="FFFFFF"/>
                </a:solidFill>
              </a:ln>
              <a:effectLst/>
            </c:spPr>
          </c:dPt>
          <c:dPt>
            <c:idx val="4"/>
            <c:bubble3D val="0"/>
            <c:spPr>
              <a:solidFill>
                <a:srgbClr val="4BACC6"/>
              </a:solidFill>
              <a:ln w="19050">
                <a:solidFill>
                  <a:srgbClr val="FFFFFF"/>
                </a:solidFill>
              </a:ln>
              <a:effectLst/>
            </c:spPr>
          </c:dPt>
          <c:dLbls>
            <c:dLbl>
              <c:idx val="2"/>
              <c:layout>
                <c:manualLayout>
                  <c:x val="-0.03900372940115"/>
                  <c:y val="0.0328271436107878"/>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dLbl>
              <c:idx val="4"/>
              <c:layout>
                <c:manualLayout>
                  <c:x val="0.0389887693586102"/>
                  <c:y val="0.0105112295100623"/>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numFmt formatCode="0.00%" sourceLinked="0"/>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rgbClr val="A6A6A6">
                          <a:lumMod val="35000"/>
                          <a:lumOff val="65000"/>
                        </a:srgbClr>
                      </a:solidFill>
                      <a:prstDash val="solid"/>
                      <a:round/>
                    </a:ln>
                    <a:effectLst/>
                  </c:spPr>
                </c15:leaderLines>
              </c:ext>
            </c:extLst>
          </c:dLbls>
          <c:cat>
            <c:strRef>
              <c:f>Sheet0!$A$2:$A$6</c:f>
              <c:strCache>
                <c:ptCount val="5"/>
                <c:pt idx="0">
                  <c:v>基本支出</c:v>
                </c:pt>
                <c:pt idx="1">
                  <c:v>项目支出</c:v>
                </c:pt>
                <c:pt idx="2">
                  <c:v>上缴上级支出</c:v>
                </c:pt>
                <c:pt idx="3">
                  <c:v>经营支出</c:v>
                </c:pt>
                <c:pt idx="4">
                  <c:v>对附属单位补助支出</c:v>
                </c:pt>
              </c:strCache>
            </c:strRef>
          </c:cat>
          <c:val>
            <c:numRef>
              <c:f>Sheet0!$B$2:$B$6</c:f>
              <c:numCache>
                <c:formatCode>General</c:formatCode>
                <c:ptCount val="5"/>
                <c:pt idx="0">
                  <c:v>2509.27</c:v>
                </c:pt>
                <c:pt idx="1">
                  <c:v>13466.83</c:v>
                </c:pt>
                <c:pt idx="2">
                  <c:v>0</c:v>
                </c:pt>
                <c:pt idx="3">
                  <c:v>0</c:v>
                </c:pt>
                <c:pt idx="4">
                  <c:v>0</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b"/>
      <c:legendEntry>
        <c:idx val="0"/>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Entry>
      <c:legendEntry>
        <c:idx val="1"/>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Entry>
      <c:legendEntry>
        <c:idx val="2"/>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Entry>
      <c:legendEntry>
        <c:idx val="3"/>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Entry>
      <c:legendEntry>
        <c:idx val="4"/>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
    <c:plotVisOnly val="1"/>
    <c:dispBlanksAs val="gap"/>
    <c:showDLblsOverMax val="0"/>
  </c:chart>
  <c:spPr>
    <a:ln w="9525" cap="flat" cmpd="sng" algn="ctr">
      <a:solidFill>
        <a:srgbClr val="D9D9D9">
          <a:lumMod val="15000"/>
          <a:lumOff val="85000"/>
        </a:srgbClr>
      </a:solidFill>
      <a:prstDash val="solid"/>
      <a:round/>
    </a:ln>
    <a:effectLst/>
  </c:spPr>
  <c:txPr>
    <a:bodyPr/>
    <a:lstStyle/>
    <a:p>
      <a:pPr>
        <a:defRPr lang="zh-CN"/>
      </a:pPr>
    </a:p>
  </c:txPr>
  <c:externalData r:id="rId1">
    <c:autoUpdate val="0"/>
  </c:externalData>
</c:chartSpac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21</Pages>
  <Words>5143</Words>
  <Characters>6159</Characters>
  <Lines>47</Lines>
  <Paragraphs>13</Paragraphs>
  <TotalTime>0</TotalTime>
  <ScaleCrop>false</ScaleCrop>
  <LinksUpToDate>false</LinksUpToDate>
  <CharactersWithSpaces>6178</CharactersWithSpaces>
  <Application>WPS Office_11.8.2.11019_F1E327BC-269C-435d-A152-05C5408002CA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2017-07-11T15:16:00Z</dcterms:created>
  <dc:creator>常程</dc:creator>
  <cp:lastModifiedBy>Lenovo-t</cp:lastModifiedBy>
  <cp:lastPrinted>2020-08-07T11:39:00Z</cp:lastPrinted>
  <dcterms:modified xsi:type="dcterms:W3CDTF">2026-08-21T08:13:25Z</dcterms:modified>
  <dc:title>北京市财政局关于做好向市人大常委会报送2015年度市级部门决算（草案）</dc:title>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A2CC81CFB6F94E838DE1C69784F78918_13</vt:lpwstr>
  </property>
  <property fmtid="{D5CDD505-2E9C-101B-9397-08002B2CF9AE}" pid="4" name="KSOTemplateDocerSaveRecord">
    <vt:lpwstr>eyJoZGlkIjoiNTc1ZjNhNjk4ZjVlZGNmOWZlN2M2MGRmZTBhNWM2ZWQiLCJ1c2VySWQiOiIzMjg4MTM5OTYifQ==</vt:lpwstr>
  </property>
</Properties>
</file>