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eastAsia="仿宋_GB2312"/>
          <w:b/>
          <w:sz w:val="32"/>
          <w:szCs w:val="32"/>
        </w:rPr>
      </w:pPr>
    </w:p>
    <w:p>
      <w:pPr>
        <w:jc w:val="center"/>
        <w:rPr>
          <w:rFonts w:ascii="黑体" w:eastAsia="黑体"/>
          <w:sz w:val="72"/>
          <w:szCs w:val="72"/>
        </w:rPr>
      </w:pPr>
    </w:p>
    <w:p>
      <w:pPr>
        <w:jc w:val="center"/>
        <w:rPr>
          <w:rFonts w:ascii="黑体" w:eastAsia="黑体"/>
          <w:sz w:val="72"/>
          <w:szCs w:val="72"/>
        </w:rPr>
      </w:pPr>
    </w:p>
    <w:p>
      <w:pPr>
        <w:jc w:val="center"/>
        <w:rPr>
          <w:rFonts w:ascii="黑体" w:eastAsia="黑体"/>
          <w:sz w:val="72"/>
          <w:szCs w:val="72"/>
        </w:rPr>
      </w:pPr>
    </w:p>
    <w:p>
      <w:pPr>
        <w:jc w:val="center"/>
        <w:rPr>
          <w:rFonts w:ascii="黑体" w:eastAsia="黑体"/>
          <w:sz w:val="72"/>
          <w:szCs w:val="72"/>
        </w:rPr>
      </w:pPr>
    </w:p>
    <w:p>
      <w:pPr>
        <w:jc w:val="center"/>
        <w:rPr>
          <w:rFonts w:hint="eastAsia" w:ascii="黑体" w:eastAsia="黑体"/>
          <w:sz w:val="72"/>
          <w:szCs w:val="72"/>
          <w:lang w:eastAsia="zh-CN"/>
        </w:rPr>
      </w:pPr>
      <w:r>
        <w:rPr>
          <w:rFonts w:hint="eastAsia" w:ascii="黑体" w:eastAsia="黑体"/>
          <w:sz w:val="72"/>
          <w:szCs w:val="72"/>
        </w:rPr>
        <w:t>2025年度</w:t>
      </w:r>
      <w:r>
        <w:rPr>
          <w:rFonts w:hint="eastAsia" w:ascii="黑体" w:eastAsia="黑体"/>
          <w:sz w:val="72"/>
          <w:szCs w:val="72"/>
          <w:lang w:eastAsia="zh-CN"/>
        </w:rPr>
        <w:t>北京市门头沟区应急管理事务</w:t>
      </w:r>
    </w:p>
    <w:p>
      <w:pPr>
        <w:jc w:val="center"/>
        <w:rPr>
          <w:rFonts w:hint="eastAsia" w:ascii="黑体" w:eastAsia="黑体"/>
          <w:sz w:val="72"/>
          <w:szCs w:val="72"/>
          <w:lang w:eastAsia="zh-CN"/>
        </w:rPr>
      </w:pPr>
      <w:r>
        <w:rPr>
          <w:rFonts w:hint="eastAsia" w:ascii="黑体" w:eastAsia="黑体"/>
          <w:sz w:val="72"/>
          <w:szCs w:val="72"/>
          <w:lang w:eastAsia="zh-CN"/>
        </w:rPr>
        <w:t>中心单位</w:t>
      </w:r>
      <w:r>
        <w:rPr>
          <w:rFonts w:hint="eastAsia" w:ascii="黑体" w:eastAsia="黑体"/>
          <w:sz w:val="72"/>
          <w:szCs w:val="72"/>
        </w:rPr>
        <w:t>决算</w:t>
      </w:r>
      <w:r>
        <w:rPr>
          <w:rFonts w:hint="eastAsia" w:ascii="黑体" w:eastAsia="黑体"/>
          <w:sz w:val="72"/>
          <w:szCs w:val="72"/>
          <w:lang w:eastAsia="zh-CN"/>
        </w:rPr>
        <w:t>公开说明</w:t>
      </w:r>
    </w:p>
    <w:p>
      <w:pPr>
        <w:jc w:val="center"/>
        <w:rPr>
          <w:rFonts w:ascii="黑体" w:eastAsia="黑体"/>
          <w:sz w:val="52"/>
          <w:szCs w:val="52"/>
        </w:rPr>
      </w:pPr>
    </w:p>
    <w:p>
      <w:pPr>
        <w:jc w:val="center"/>
        <w:rPr>
          <w:rFonts w:ascii="黑体" w:eastAsia="黑体"/>
          <w:sz w:val="52"/>
          <w:szCs w:val="52"/>
        </w:rPr>
      </w:pPr>
    </w:p>
    <w:p>
      <w:pPr>
        <w:jc w:val="both"/>
        <w:rPr>
          <w:rFonts w:ascii="黑体" w:eastAsia="黑体"/>
          <w:sz w:val="52"/>
          <w:szCs w:val="52"/>
        </w:rPr>
      </w:pPr>
    </w:p>
    <w:p>
      <w:pPr>
        <w:jc w:val="center"/>
        <w:rPr>
          <w:rFonts w:ascii="黑体" w:eastAsia="黑体"/>
          <w:sz w:val="32"/>
          <w:szCs w:val="32"/>
        </w:rPr>
      </w:pPr>
    </w:p>
    <w:p>
      <w:pPr>
        <w:spacing w:line="500" w:lineRule="exact"/>
        <w:ind w:firstLine="645"/>
        <w:jc w:val="center"/>
        <w:rPr>
          <w:rFonts w:ascii="宋体" w:hAnsi="宋体" w:cs="宋体"/>
          <w:b/>
          <w:bCs/>
          <w:kern w:val="0"/>
          <w:sz w:val="44"/>
          <w:szCs w:val="36"/>
        </w:rPr>
      </w:pPr>
      <w:r>
        <w:rPr>
          <w:rFonts w:hint="eastAsia" w:ascii="宋体" w:hAnsi="宋体" w:cs="宋体"/>
          <w:b/>
          <w:bCs/>
          <w:kern w:val="0"/>
          <w:sz w:val="44"/>
          <w:szCs w:val="36"/>
        </w:rPr>
        <w:t>目    录</w:t>
      </w:r>
    </w:p>
    <w:p>
      <w:pPr>
        <w:spacing w:line="500" w:lineRule="exact"/>
        <w:ind w:firstLine="645"/>
        <w:jc w:val="center"/>
        <w:rPr>
          <w:rFonts w:ascii="宋体" w:hAnsi="宋体" w:cs="宋体"/>
          <w:b/>
          <w:bCs/>
          <w:kern w:val="0"/>
          <w:sz w:val="36"/>
          <w:szCs w:val="36"/>
        </w:rPr>
      </w:pPr>
    </w:p>
    <w:p>
      <w:pPr>
        <w:tabs>
          <w:tab w:val="center" w:pos="6979"/>
        </w:tabs>
        <w:spacing w:line="500" w:lineRule="exact"/>
        <w:ind w:firstLine="1600" w:firstLineChars="400"/>
        <w:jc w:val="left"/>
        <w:rPr>
          <w:rFonts w:ascii="宋体" w:hAnsi="宋体" w:cs="宋体"/>
          <w:bCs/>
          <w:spacing w:val="40"/>
          <w:kern w:val="0"/>
          <w:sz w:val="32"/>
          <w:szCs w:val="32"/>
        </w:rPr>
      </w:pPr>
      <w:r>
        <w:rPr>
          <w:rFonts w:hint="eastAsia" w:ascii="宋体" w:hAnsi="宋体" w:cs="宋体"/>
          <w:bCs/>
          <w:spacing w:val="40"/>
          <w:kern w:val="0"/>
          <w:sz w:val="32"/>
          <w:szCs w:val="32"/>
        </w:rPr>
        <w:t>第一部分 2025年度</w:t>
      </w:r>
      <w:r>
        <w:rPr>
          <w:rFonts w:hint="eastAsia" w:ascii="宋体" w:hAnsi="宋体" w:cs="宋体"/>
          <w:bCs/>
          <w:spacing w:val="40"/>
          <w:kern w:val="0"/>
          <w:sz w:val="32"/>
          <w:szCs w:val="32"/>
          <w:lang w:eastAsia="zh-CN"/>
        </w:rPr>
        <w:t>单位</w:t>
      </w:r>
      <w:r>
        <w:rPr>
          <w:rFonts w:hint="eastAsia" w:ascii="宋体" w:hAnsi="宋体" w:cs="宋体"/>
          <w:bCs/>
          <w:spacing w:val="40"/>
          <w:kern w:val="0"/>
          <w:sz w:val="32"/>
          <w:szCs w:val="32"/>
        </w:rPr>
        <w:t>决算报表</w:t>
      </w:r>
    </w:p>
    <w:p>
      <w:pPr>
        <w:tabs>
          <w:tab w:val="center" w:pos="6979"/>
        </w:tabs>
        <w:spacing w:line="500" w:lineRule="exact"/>
        <w:ind w:firstLine="2400" w:firstLineChars="600"/>
        <w:jc w:val="left"/>
        <w:rPr>
          <w:rFonts w:ascii="仿宋_GB2312" w:hAnsi="仿宋" w:eastAsia="仿宋_GB2312"/>
          <w:spacing w:val="40"/>
          <w:sz w:val="32"/>
          <w:szCs w:val="32"/>
        </w:rPr>
      </w:pPr>
      <w:r>
        <w:rPr>
          <w:rFonts w:hint="eastAsia" w:ascii="仿宋_GB2312" w:hAnsi="仿宋" w:eastAsia="仿宋_GB2312" w:cs="宋体"/>
          <w:bCs/>
          <w:spacing w:val="40"/>
          <w:kern w:val="0"/>
          <w:sz w:val="32"/>
          <w:szCs w:val="32"/>
        </w:rPr>
        <w:t>一、收入支出决算总表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二、收入决算表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三、支出决算表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四、财政拨款收入支出决算总表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五、一般公共预算财政拨款支出决算表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六、一般公共预算财政拨款</w:t>
      </w:r>
      <w:r>
        <w:rPr>
          <w:rFonts w:ascii="仿宋_GB2312" w:hAnsi="仿宋" w:eastAsia="仿宋_GB2312" w:cs="宋体"/>
          <w:bCs/>
          <w:spacing w:val="40"/>
          <w:kern w:val="0"/>
          <w:sz w:val="32"/>
          <w:szCs w:val="32"/>
        </w:rPr>
        <w:t>基本支出决算表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七</w:t>
      </w:r>
      <w:r>
        <w:rPr>
          <w:rFonts w:ascii="仿宋_GB2312" w:hAnsi="仿宋" w:eastAsia="仿宋_GB2312" w:cs="宋体"/>
          <w:bCs/>
          <w:spacing w:val="40"/>
          <w:kern w:val="0"/>
          <w:sz w:val="32"/>
          <w:szCs w:val="32"/>
        </w:rPr>
        <w:t>、</w:t>
      </w:r>
      <w:r>
        <w:rPr>
          <w:rFonts w:hint="eastAsia" w:ascii="仿宋_GB2312" w:hAnsi="仿宋" w:eastAsia="仿宋_GB2312" w:cs="宋体"/>
          <w:bCs/>
          <w:spacing w:val="40"/>
          <w:kern w:val="0"/>
          <w:sz w:val="32"/>
          <w:szCs w:val="32"/>
        </w:rPr>
        <w:t>政府性基金预算财政拨款收入支出决算表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八、</w:t>
      </w:r>
      <w:r>
        <w:rPr>
          <w:rFonts w:ascii="仿宋_GB2312" w:hAnsi="仿宋" w:eastAsia="仿宋_GB2312" w:cs="宋体"/>
          <w:bCs/>
          <w:spacing w:val="40"/>
          <w:kern w:val="0"/>
          <w:sz w:val="32"/>
          <w:szCs w:val="32"/>
        </w:rPr>
        <w:t>政府性基金</w:t>
      </w:r>
      <w:r>
        <w:rPr>
          <w:rFonts w:hint="eastAsia" w:ascii="仿宋_GB2312" w:hAnsi="仿宋" w:eastAsia="仿宋_GB2312" w:cs="宋体"/>
          <w:bCs/>
          <w:spacing w:val="40"/>
          <w:kern w:val="0"/>
          <w:sz w:val="32"/>
          <w:szCs w:val="32"/>
        </w:rPr>
        <w:t>预算</w:t>
      </w:r>
      <w:r>
        <w:rPr>
          <w:rFonts w:ascii="仿宋_GB2312" w:hAnsi="仿宋" w:eastAsia="仿宋_GB2312" w:cs="宋体"/>
          <w:bCs/>
          <w:spacing w:val="40"/>
          <w:kern w:val="0"/>
          <w:sz w:val="32"/>
          <w:szCs w:val="32"/>
        </w:rPr>
        <w:t>财政拨款基本支出决算表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九、国有资本经营预算财政拨款支出决算表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十、财政拨款“三公”经费支出决算表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十一、政府采购情况表</w:t>
      </w:r>
    </w:p>
    <w:p>
      <w:pPr>
        <w:tabs>
          <w:tab w:val="center" w:pos="6979"/>
        </w:tabs>
        <w:spacing w:line="500" w:lineRule="exact"/>
        <w:ind w:firstLine="1600" w:firstLineChars="400"/>
        <w:jc w:val="left"/>
        <w:rPr>
          <w:rFonts w:ascii="宋体" w:hAnsi="宋体" w:cs="宋体"/>
          <w:bCs/>
          <w:spacing w:val="40"/>
          <w:kern w:val="0"/>
          <w:sz w:val="32"/>
          <w:szCs w:val="32"/>
        </w:rPr>
      </w:pPr>
      <w:r>
        <w:rPr>
          <w:rFonts w:hint="eastAsia" w:ascii="宋体" w:hAnsi="宋体" w:cs="宋体"/>
          <w:bCs/>
          <w:spacing w:val="40"/>
          <w:kern w:val="0"/>
          <w:sz w:val="32"/>
          <w:szCs w:val="32"/>
        </w:rPr>
        <w:t xml:space="preserve">第二部分 </w:t>
      </w:r>
      <w:r>
        <w:rPr>
          <w:rFonts w:hint="eastAsia" w:ascii="宋体" w:hAnsi="宋体"/>
          <w:spacing w:val="40"/>
          <w:sz w:val="32"/>
          <w:szCs w:val="32"/>
        </w:rPr>
        <w:t>2025年度</w:t>
      </w:r>
      <w:r>
        <w:rPr>
          <w:rFonts w:hint="eastAsia" w:ascii="宋体" w:hAnsi="宋体" w:cs="宋体"/>
          <w:bCs/>
          <w:spacing w:val="40"/>
          <w:kern w:val="0"/>
          <w:sz w:val="32"/>
          <w:szCs w:val="32"/>
          <w:lang w:eastAsia="zh-CN"/>
        </w:rPr>
        <w:t>单位</w:t>
      </w:r>
      <w:r>
        <w:rPr>
          <w:rFonts w:hint="eastAsia" w:ascii="宋体" w:hAnsi="宋体"/>
          <w:spacing w:val="40"/>
          <w:sz w:val="32"/>
          <w:szCs w:val="32"/>
        </w:rPr>
        <w:t>决算说明</w:t>
      </w:r>
    </w:p>
    <w:p>
      <w:pPr>
        <w:tabs>
          <w:tab w:val="center" w:pos="6979"/>
        </w:tabs>
        <w:spacing w:line="500" w:lineRule="exact"/>
        <w:ind w:firstLine="1600" w:firstLineChars="400"/>
        <w:jc w:val="left"/>
        <w:rPr>
          <w:rFonts w:ascii="宋体" w:hAnsi="宋体" w:cs="宋体"/>
          <w:spacing w:val="40"/>
          <w:kern w:val="0"/>
          <w:sz w:val="32"/>
          <w:szCs w:val="32"/>
        </w:rPr>
      </w:pPr>
      <w:r>
        <w:rPr>
          <w:rFonts w:hint="eastAsia" w:ascii="宋体" w:hAnsi="宋体" w:cs="宋体"/>
          <w:bCs/>
          <w:spacing w:val="40"/>
          <w:kern w:val="0"/>
          <w:sz w:val="32"/>
          <w:szCs w:val="32"/>
        </w:rPr>
        <w:t xml:space="preserve">第三部分 </w:t>
      </w:r>
      <w:r>
        <w:rPr>
          <w:rFonts w:hint="eastAsia" w:ascii="宋体" w:hAnsi="宋体"/>
          <w:spacing w:val="40"/>
          <w:sz w:val="32"/>
          <w:szCs w:val="32"/>
        </w:rPr>
        <w:t>2025年度</w:t>
      </w:r>
      <w:r>
        <w:rPr>
          <w:rFonts w:hint="eastAsia" w:ascii="宋体" w:hAnsi="宋体" w:cs="宋体"/>
          <w:spacing w:val="40"/>
          <w:kern w:val="0"/>
          <w:sz w:val="32"/>
          <w:szCs w:val="32"/>
        </w:rPr>
        <w:t>其他重要事项的情况说明</w:t>
      </w:r>
    </w:p>
    <w:p>
      <w:pPr>
        <w:tabs>
          <w:tab w:val="center" w:pos="6979"/>
        </w:tabs>
        <w:spacing w:line="500" w:lineRule="exact"/>
        <w:ind w:firstLine="1600" w:firstLineChars="400"/>
        <w:jc w:val="left"/>
        <w:rPr>
          <w:rFonts w:ascii="宋体" w:hAnsi="宋体" w:cs="宋体"/>
          <w:spacing w:val="40"/>
          <w:kern w:val="0"/>
          <w:sz w:val="36"/>
          <w:szCs w:val="32"/>
        </w:rPr>
      </w:pPr>
      <w:r>
        <w:rPr>
          <w:rFonts w:hint="eastAsia" w:ascii="宋体" w:hAnsi="宋体" w:cs="宋体"/>
          <w:spacing w:val="40"/>
          <w:kern w:val="0"/>
          <w:sz w:val="32"/>
          <w:szCs w:val="32"/>
        </w:rPr>
        <w:t>第四部分 2025年度</w:t>
      </w:r>
      <w:r>
        <w:rPr>
          <w:rFonts w:hint="eastAsia" w:ascii="宋体" w:hAnsi="宋体" w:cs="宋体"/>
          <w:bCs/>
          <w:spacing w:val="40"/>
          <w:kern w:val="0"/>
          <w:sz w:val="32"/>
          <w:szCs w:val="32"/>
          <w:lang w:eastAsia="zh-CN"/>
        </w:rPr>
        <w:t>单位</w:t>
      </w:r>
      <w:r>
        <w:rPr>
          <w:rFonts w:hint="eastAsia" w:ascii="宋体" w:hAnsi="宋体" w:cs="宋体"/>
          <w:spacing w:val="40"/>
          <w:kern w:val="0"/>
          <w:sz w:val="32"/>
          <w:szCs w:val="32"/>
        </w:rPr>
        <w:t>绩效评价情况</w:t>
      </w: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r>
        <w:rPr>
          <w:rFonts w:hint="eastAsia" w:ascii="宋体" w:hAnsi="宋体" w:cs="宋体"/>
          <w:b/>
          <w:bCs/>
          <w:spacing w:val="40"/>
          <w:kern w:val="0"/>
          <w:sz w:val="44"/>
          <w:szCs w:val="44"/>
        </w:rPr>
        <w:t>第一部分 2025年度</w:t>
      </w:r>
      <w:r>
        <w:rPr>
          <w:rFonts w:hint="eastAsia" w:ascii="宋体" w:hAnsi="宋体" w:cs="宋体"/>
          <w:b/>
          <w:bCs/>
          <w:spacing w:val="40"/>
          <w:kern w:val="0"/>
          <w:sz w:val="44"/>
          <w:szCs w:val="44"/>
          <w:lang w:eastAsia="zh-CN"/>
        </w:rPr>
        <w:t>单位</w:t>
      </w:r>
      <w:r>
        <w:rPr>
          <w:rFonts w:hint="eastAsia" w:ascii="宋体" w:hAnsi="宋体" w:cs="宋体"/>
          <w:b/>
          <w:bCs/>
          <w:spacing w:val="40"/>
          <w:kern w:val="0"/>
          <w:sz w:val="44"/>
          <w:szCs w:val="44"/>
        </w:rPr>
        <w:t>决算报表</w:t>
      </w:r>
    </w:p>
    <w:p>
      <w:pPr>
        <w:pStyle w:val="2"/>
        <w:rPr>
          <w:b w:val="0"/>
          <w:bCs w:val="0"/>
        </w:rPr>
        <w:sectPr>
          <w:footerReference r:id="rId3" w:type="default"/>
          <w:pgSz w:w="16838" w:h="11906" w:orient="landscape"/>
          <w:pgMar w:top="1134" w:right="1134" w:bottom="1134" w:left="1134" w:header="851" w:footer="992" w:gutter="0"/>
          <w:cols w:space="720" w:num="1"/>
          <w:docGrid w:type="linesAndChars" w:linePitch="312" w:charSpace="0"/>
        </w:sectPr>
      </w:pPr>
      <w:r>
        <w:rPr>
          <w:rFonts w:hint="eastAsia" w:ascii="仿宋_GB2312" w:eastAsia="仿宋_GB2312"/>
          <w:sz w:val="28"/>
          <w:szCs w:val="28"/>
        </w:rPr>
        <w:t xml:space="preserve">   </w:t>
      </w:r>
      <w:r>
        <w:rPr>
          <w:rFonts w:hint="eastAsia" w:ascii="仿宋_GB2312" w:eastAsia="仿宋_GB2312"/>
          <w:b w:val="0"/>
          <w:bCs w:val="0"/>
          <w:sz w:val="28"/>
          <w:szCs w:val="28"/>
        </w:rPr>
        <w:t>报表详见附件。</w:t>
      </w:r>
    </w:p>
    <w:p>
      <w:pPr>
        <w:tabs>
          <w:tab w:val="center" w:pos="6979"/>
        </w:tabs>
        <w:spacing w:before="156" w:beforeLines="50" w:after="156" w:afterLines="50"/>
        <w:jc w:val="center"/>
        <w:rPr>
          <w:rFonts w:ascii="宋体" w:hAnsi="宋体"/>
          <w:b/>
          <w:sz w:val="32"/>
          <w:szCs w:val="32"/>
        </w:rPr>
      </w:pPr>
      <w:r>
        <w:rPr>
          <w:rFonts w:hint="eastAsia" w:ascii="宋体" w:hAnsi="宋体" w:cs="宋体"/>
          <w:b/>
          <w:bCs/>
          <w:spacing w:val="40"/>
          <w:kern w:val="0"/>
          <w:sz w:val="32"/>
          <w:szCs w:val="32"/>
        </w:rPr>
        <w:t xml:space="preserve">第二部分 </w:t>
      </w:r>
      <w:r>
        <w:rPr>
          <w:rFonts w:hint="eastAsia" w:ascii="宋体" w:hAnsi="宋体"/>
          <w:b/>
          <w:spacing w:val="40"/>
          <w:sz w:val="32"/>
          <w:szCs w:val="32"/>
        </w:rPr>
        <w:t>2025年度</w:t>
      </w:r>
      <w:r>
        <w:rPr>
          <w:rFonts w:hint="eastAsia" w:ascii="宋体" w:hAnsi="宋体"/>
          <w:b/>
          <w:spacing w:val="40"/>
          <w:sz w:val="32"/>
          <w:szCs w:val="32"/>
          <w:lang w:eastAsia="zh-CN"/>
        </w:rPr>
        <w:t>单位</w:t>
      </w:r>
      <w:r>
        <w:rPr>
          <w:rFonts w:hint="eastAsia" w:ascii="宋体" w:hAnsi="宋体"/>
          <w:b/>
          <w:spacing w:val="40"/>
          <w:sz w:val="32"/>
          <w:szCs w:val="32"/>
        </w:rPr>
        <w:t>决算说明</w:t>
      </w:r>
    </w:p>
    <w:p>
      <w:pPr>
        <w:tabs>
          <w:tab w:val="center" w:pos="6979"/>
        </w:tabs>
        <w:spacing w:line="580" w:lineRule="exact"/>
        <w:ind w:firstLine="548" w:firstLineChars="196"/>
        <w:rPr>
          <w:rFonts w:ascii="黑体" w:eastAsia="黑体"/>
          <w:b/>
          <w:sz w:val="28"/>
          <w:szCs w:val="28"/>
        </w:rPr>
      </w:pPr>
      <w:r>
        <w:rPr>
          <w:rFonts w:hint="eastAsia" w:ascii="黑体" w:eastAsia="黑体"/>
          <w:b/>
          <w:sz w:val="28"/>
          <w:szCs w:val="28"/>
        </w:rPr>
        <w:t>一、</w:t>
      </w:r>
      <w:r>
        <w:rPr>
          <w:rFonts w:hint="eastAsia" w:ascii="黑体" w:eastAsia="黑体"/>
          <w:b/>
          <w:sz w:val="28"/>
          <w:szCs w:val="28"/>
          <w:lang w:eastAsia="zh-CN"/>
        </w:rPr>
        <w:t>单位</w:t>
      </w:r>
      <w:r>
        <w:rPr>
          <w:rFonts w:hint="eastAsia" w:ascii="黑体" w:eastAsia="黑体"/>
          <w:b/>
          <w:sz w:val="28"/>
          <w:szCs w:val="28"/>
        </w:rPr>
        <w:t>基本情况</w:t>
      </w:r>
    </w:p>
    <w:p>
      <w:pPr>
        <w:tabs>
          <w:tab w:val="center" w:pos="6979"/>
        </w:tabs>
        <w:spacing w:line="520" w:lineRule="exact"/>
        <w:ind w:firstLine="560" w:firstLineChars="200"/>
        <w:rPr>
          <w:rFonts w:hint="eastAsia" w:ascii="仿宋_GB2312" w:hAnsi="Calibri" w:eastAsia="仿宋_GB2312" w:cs="Times New Roman"/>
          <w:sz w:val="28"/>
          <w:szCs w:val="32"/>
          <w:highlight w:val="none"/>
          <w:lang w:val="en-US" w:eastAsia="zh-CN"/>
        </w:rPr>
      </w:pPr>
      <w:r>
        <w:rPr>
          <w:rFonts w:hint="eastAsia" w:ascii="仿宋_GB2312" w:eastAsia="仿宋_GB2312" w:cs="Times New Roman"/>
          <w:sz w:val="28"/>
          <w:szCs w:val="28"/>
          <w:lang w:eastAsia="zh-CN"/>
        </w:rPr>
        <w:t>（一）单位性质、职责等情况</w:t>
      </w:r>
    </w:p>
    <w:p>
      <w:pPr>
        <w:tabs>
          <w:tab w:val="center" w:pos="6979"/>
        </w:tabs>
        <w:spacing w:line="520" w:lineRule="exact"/>
        <w:ind w:firstLine="560" w:firstLineChars="200"/>
        <w:rPr>
          <w:rFonts w:hint="eastAsia" w:ascii="仿宋_GB2312" w:hAnsi="Calibri" w:eastAsia="仿宋_GB2312" w:cs="Times New Roman"/>
          <w:sz w:val="28"/>
          <w:szCs w:val="32"/>
          <w:highlight w:val="none"/>
          <w:lang w:val="en-US" w:eastAsia="zh-CN"/>
        </w:rPr>
      </w:pPr>
      <w:r>
        <w:rPr>
          <w:rFonts w:hint="eastAsia" w:ascii="仿宋_GB2312" w:hAnsi="Calibri" w:eastAsia="仿宋_GB2312" w:cs="Times New Roman"/>
          <w:sz w:val="28"/>
          <w:szCs w:val="32"/>
          <w:highlight w:val="none"/>
          <w:lang w:val="en-US" w:eastAsia="zh-CN"/>
        </w:rPr>
        <w:t>我单位为财政全额拨款事业单位，主要职责为：负责我区森林消防综合应急救援队伍管理等应急管理相关事务性工作，参与有关突发事件应急救援和应急值班值守服务保障等辅助性工作，完成</w:t>
      </w:r>
      <w:r>
        <w:rPr>
          <w:rFonts w:hint="eastAsia" w:ascii="仿宋_GB2312" w:eastAsia="仿宋_GB2312" w:cs="Times New Roman"/>
          <w:sz w:val="28"/>
          <w:szCs w:val="32"/>
          <w:highlight w:val="none"/>
          <w:lang w:val="en-US" w:eastAsia="zh-CN"/>
        </w:rPr>
        <w:t>区</w:t>
      </w:r>
      <w:r>
        <w:rPr>
          <w:rFonts w:hint="eastAsia" w:ascii="仿宋_GB2312" w:hAnsi="Calibri" w:eastAsia="仿宋_GB2312" w:cs="Times New Roman"/>
          <w:sz w:val="28"/>
          <w:szCs w:val="32"/>
          <w:highlight w:val="none"/>
          <w:lang w:val="en-US" w:eastAsia="zh-CN"/>
        </w:rPr>
        <w:t>应急局交办的其他任务。</w:t>
      </w:r>
    </w:p>
    <w:p>
      <w:pPr>
        <w:autoSpaceDE w:val="0"/>
        <w:autoSpaceDN w:val="0"/>
        <w:adjustRightInd w:val="0"/>
        <w:spacing w:line="580" w:lineRule="exact"/>
        <w:ind w:firstLine="560" w:firstLineChars="200"/>
        <w:jc w:val="left"/>
        <w:rPr>
          <w:rFonts w:hint="eastAsia" w:ascii="仿宋_GB2312" w:eastAsia="仿宋_GB2312" w:cs="Times New Roman"/>
          <w:sz w:val="28"/>
          <w:szCs w:val="28"/>
          <w:lang w:eastAsia="zh-CN"/>
        </w:rPr>
      </w:pPr>
      <w:r>
        <w:rPr>
          <w:rFonts w:hint="eastAsia" w:ascii="仿宋_GB2312" w:eastAsia="仿宋_GB2312" w:cs="Times New Roman"/>
          <w:sz w:val="28"/>
          <w:szCs w:val="28"/>
          <w:lang w:eastAsia="zh-CN"/>
        </w:rPr>
        <w:t>（二）机构设置情况</w:t>
      </w:r>
    </w:p>
    <w:p>
      <w:pPr>
        <w:tabs>
          <w:tab w:val="center" w:pos="6979"/>
        </w:tabs>
        <w:spacing w:line="580" w:lineRule="exact"/>
        <w:ind w:firstLine="700" w:firstLineChars="250"/>
        <w:rPr>
          <w:rFonts w:ascii="仿宋_GB2312" w:eastAsia="仿宋_GB2312"/>
          <w:sz w:val="28"/>
          <w:szCs w:val="28"/>
        </w:rPr>
      </w:pPr>
      <w:r>
        <w:rPr>
          <w:rFonts w:hint="eastAsia" w:ascii="仿宋_GB2312" w:eastAsia="仿宋_GB2312"/>
          <w:sz w:val="28"/>
          <w:szCs w:val="28"/>
          <w:lang w:eastAsia="zh-CN"/>
        </w:rPr>
        <w:t>我单位为区应急管理局正科级下属事业单位。</w:t>
      </w:r>
    </w:p>
    <w:p>
      <w:pPr>
        <w:tabs>
          <w:tab w:val="center" w:pos="6979"/>
        </w:tabs>
        <w:spacing w:line="580" w:lineRule="exact"/>
        <w:rPr>
          <w:rFonts w:ascii="黑体" w:eastAsia="黑体"/>
          <w:b/>
          <w:sz w:val="28"/>
          <w:szCs w:val="28"/>
        </w:rPr>
      </w:pPr>
      <w:r>
        <w:rPr>
          <w:rFonts w:hint="eastAsia" w:ascii="仿宋_GB2312" w:eastAsia="仿宋_GB2312"/>
          <w:b/>
          <w:sz w:val="32"/>
          <w:szCs w:val="32"/>
        </w:rPr>
        <w:t xml:space="preserve">   </w:t>
      </w:r>
      <w:r>
        <w:rPr>
          <w:rFonts w:hint="eastAsia" w:ascii="黑体" w:eastAsia="黑体"/>
          <w:b/>
          <w:sz w:val="28"/>
          <w:szCs w:val="28"/>
        </w:rPr>
        <w:t>二、收入支出决算总体情况说明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2025年度收、</w:t>
      </w:r>
      <w:r>
        <w:rPr>
          <w:rFonts w:ascii="仿宋_GB2312" w:eastAsia="仿宋_GB2312"/>
          <w:sz w:val="28"/>
          <w:szCs w:val="28"/>
        </w:rPr>
        <w:t>支</w:t>
      </w:r>
      <w:r>
        <w:rPr>
          <w:rFonts w:hint="eastAsia" w:ascii="仿宋_GB2312" w:eastAsia="仿宋_GB2312"/>
          <w:sz w:val="28"/>
          <w:szCs w:val="28"/>
        </w:rPr>
        <w:t>总计</w:t>
      </w:r>
      <w:r>
        <w:rPr>
          <w:rFonts w:ascii="仿宋_GB2312" w:eastAsia="仿宋_GB2312"/>
          <w:sz w:val="28"/>
          <w:szCs w:val="28"/>
        </w:rPr>
        <w:t>34</w:t>
      </w:r>
      <w:r>
        <w:rPr>
          <w:rFonts w:hint="eastAsia" w:ascii="仿宋_GB2312" w:eastAsia="仿宋_GB2312"/>
          <w:sz w:val="28"/>
          <w:szCs w:val="28"/>
          <w:lang w:val="en-US" w:eastAsia="zh-CN"/>
        </w:rPr>
        <w:t>,</w:t>
      </w:r>
      <w:r>
        <w:rPr>
          <w:rFonts w:ascii="仿宋_GB2312" w:eastAsia="仿宋_GB2312"/>
          <w:sz w:val="28"/>
          <w:szCs w:val="28"/>
        </w:rPr>
        <w:t>575</w:t>
      </w:r>
      <w:r>
        <w:rPr>
          <w:rFonts w:hint="eastAsia" w:ascii="仿宋_GB2312" w:eastAsia="仿宋_GB2312"/>
          <w:sz w:val="28"/>
          <w:szCs w:val="28"/>
          <w:lang w:val="en-US" w:eastAsia="zh-CN"/>
        </w:rPr>
        <w:t>,</w:t>
      </w:r>
      <w:r>
        <w:rPr>
          <w:rFonts w:ascii="仿宋_GB2312" w:eastAsia="仿宋_GB2312"/>
          <w:sz w:val="28"/>
          <w:szCs w:val="28"/>
        </w:rPr>
        <w:t>055.75</w:t>
      </w:r>
      <w:r>
        <w:rPr>
          <w:rFonts w:hint="eastAsia" w:ascii="仿宋_GB2312" w:eastAsia="仿宋_GB2312"/>
          <w:sz w:val="28"/>
          <w:szCs w:val="28"/>
        </w:rPr>
        <w:t>元，</w:t>
      </w:r>
      <w:r>
        <w:rPr>
          <w:rFonts w:ascii="仿宋_GB2312" w:eastAsia="仿宋_GB2312"/>
          <w:sz w:val="28"/>
          <w:szCs w:val="28"/>
        </w:rPr>
        <w:t>比上年</w:t>
      </w:r>
      <w:r>
        <w:rPr>
          <w:rFonts w:hint="eastAsia" w:ascii="仿宋_GB2312" w:eastAsia="仿宋_GB2312"/>
          <w:sz w:val="28"/>
          <w:szCs w:val="28"/>
        </w:rPr>
        <w:t>减少</w:t>
      </w:r>
      <w:r>
        <w:rPr>
          <w:rFonts w:hint="eastAsia" w:ascii="仿宋_GB2312" w:eastAsia="仿宋_GB2312"/>
          <w:sz w:val="28"/>
          <w:szCs w:val="28"/>
          <w:lang w:val="en-US" w:eastAsia="zh-CN"/>
        </w:rPr>
        <w:t>1,364,858.78</w:t>
      </w:r>
      <w:r>
        <w:rPr>
          <w:rFonts w:hint="eastAsia" w:ascii="仿宋_GB2312" w:eastAsia="仿宋_GB2312"/>
          <w:sz w:val="28"/>
          <w:szCs w:val="28"/>
        </w:rPr>
        <w:t>元，下降</w:t>
      </w:r>
      <w:r>
        <w:rPr>
          <w:rFonts w:hint="eastAsia" w:ascii="仿宋_GB2312" w:eastAsia="仿宋_GB2312"/>
          <w:sz w:val="28"/>
          <w:szCs w:val="28"/>
          <w:lang w:val="en-US" w:eastAsia="zh-CN"/>
        </w:rPr>
        <w:t>3.8</w:t>
      </w:r>
      <w:r>
        <w:rPr>
          <w:rFonts w:hint="eastAsia" w:ascii="仿宋_GB2312" w:eastAsia="仿宋_GB2312"/>
          <w:sz w:val="28"/>
          <w:szCs w:val="28"/>
        </w:rPr>
        <w:t>%。</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（一</w:t>
      </w:r>
      <w:r>
        <w:rPr>
          <w:rFonts w:ascii="仿宋_GB2312" w:eastAsia="仿宋_GB2312"/>
          <w:sz w:val="28"/>
          <w:szCs w:val="28"/>
        </w:rPr>
        <w:t>）</w:t>
      </w:r>
      <w:r>
        <w:rPr>
          <w:rFonts w:hint="eastAsia" w:ascii="仿宋_GB2312" w:eastAsia="仿宋_GB2312"/>
          <w:sz w:val="28"/>
          <w:szCs w:val="28"/>
        </w:rPr>
        <w:t>收入决算</w:t>
      </w:r>
      <w:r>
        <w:rPr>
          <w:rFonts w:ascii="仿宋_GB2312" w:eastAsia="仿宋_GB2312"/>
          <w:sz w:val="28"/>
          <w:szCs w:val="28"/>
        </w:rPr>
        <w:t>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2025年度本年收入合计</w:t>
      </w:r>
      <w:r>
        <w:rPr>
          <w:rFonts w:ascii="仿宋_GB2312" w:eastAsia="仿宋_GB2312"/>
          <w:sz w:val="28"/>
          <w:szCs w:val="28"/>
        </w:rPr>
        <w:t>34</w:t>
      </w:r>
      <w:r>
        <w:rPr>
          <w:rFonts w:hint="eastAsia" w:ascii="仿宋_GB2312" w:eastAsia="仿宋_GB2312"/>
          <w:sz w:val="28"/>
          <w:szCs w:val="28"/>
          <w:lang w:val="en-US" w:eastAsia="zh-CN"/>
        </w:rPr>
        <w:t>,</w:t>
      </w:r>
      <w:r>
        <w:rPr>
          <w:rFonts w:ascii="仿宋_GB2312" w:eastAsia="仿宋_GB2312"/>
          <w:sz w:val="28"/>
          <w:szCs w:val="28"/>
        </w:rPr>
        <w:t>575</w:t>
      </w:r>
      <w:r>
        <w:rPr>
          <w:rFonts w:hint="eastAsia" w:ascii="仿宋_GB2312" w:eastAsia="仿宋_GB2312"/>
          <w:sz w:val="28"/>
          <w:szCs w:val="28"/>
          <w:lang w:val="en-US" w:eastAsia="zh-CN"/>
        </w:rPr>
        <w:t>,</w:t>
      </w:r>
      <w:r>
        <w:rPr>
          <w:rFonts w:ascii="仿宋_GB2312" w:eastAsia="仿宋_GB2312"/>
          <w:sz w:val="28"/>
          <w:szCs w:val="28"/>
        </w:rPr>
        <w:t>055.75</w:t>
      </w:r>
      <w:r>
        <w:rPr>
          <w:rFonts w:hint="eastAsia" w:ascii="仿宋_GB2312" w:eastAsia="仿宋_GB2312"/>
          <w:sz w:val="28"/>
          <w:szCs w:val="28"/>
        </w:rPr>
        <w:t>元，</w:t>
      </w:r>
      <w:r>
        <w:rPr>
          <w:rFonts w:ascii="仿宋_GB2312" w:eastAsia="仿宋_GB2312"/>
          <w:sz w:val="28"/>
          <w:szCs w:val="28"/>
        </w:rPr>
        <w:t>比上年</w:t>
      </w:r>
      <w:r>
        <w:rPr>
          <w:rFonts w:hint="eastAsia" w:ascii="仿宋_GB2312" w:eastAsia="仿宋_GB2312"/>
          <w:sz w:val="28"/>
          <w:szCs w:val="28"/>
        </w:rPr>
        <w:t>减少</w:t>
      </w:r>
      <w:r>
        <w:rPr>
          <w:rFonts w:hint="eastAsia" w:ascii="仿宋_GB2312" w:eastAsia="仿宋_GB2312"/>
          <w:sz w:val="28"/>
          <w:szCs w:val="28"/>
          <w:lang w:val="en-US" w:eastAsia="zh-CN"/>
        </w:rPr>
        <w:t>1,364,858.78</w:t>
      </w:r>
      <w:r>
        <w:rPr>
          <w:rFonts w:hint="eastAsia" w:ascii="仿宋_GB2312" w:eastAsia="仿宋_GB2312"/>
          <w:sz w:val="28"/>
          <w:szCs w:val="28"/>
        </w:rPr>
        <w:t>元，下降</w:t>
      </w:r>
      <w:r>
        <w:rPr>
          <w:rFonts w:hint="eastAsia" w:ascii="仿宋_GB2312" w:eastAsia="仿宋_GB2312"/>
          <w:sz w:val="28"/>
          <w:szCs w:val="28"/>
          <w:lang w:val="en-US" w:eastAsia="zh-CN"/>
        </w:rPr>
        <w:t>3.8</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1.财政拨款收入</w:t>
      </w:r>
      <w:r>
        <w:rPr>
          <w:rFonts w:ascii="仿宋_GB2312" w:eastAsia="仿宋_GB2312"/>
          <w:sz w:val="28"/>
          <w:szCs w:val="28"/>
        </w:rPr>
        <w:t>34</w:t>
      </w:r>
      <w:r>
        <w:rPr>
          <w:rFonts w:hint="eastAsia" w:ascii="仿宋_GB2312" w:eastAsia="仿宋_GB2312"/>
          <w:sz w:val="28"/>
          <w:szCs w:val="28"/>
          <w:lang w:val="en-US" w:eastAsia="zh-CN"/>
        </w:rPr>
        <w:t>,</w:t>
      </w:r>
      <w:r>
        <w:rPr>
          <w:rFonts w:ascii="仿宋_GB2312" w:eastAsia="仿宋_GB2312"/>
          <w:sz w:val="28"/>
          <w:szCs w:val="28"/>
        </w:rPr>
        <w:t>575</w:t>
      </w:r>
      <w:r>
        <w:rPr>
          <w:rFonts w:hint="eastAsia" w:ascii="仿宋_GB2312" w:eastAsia="仿宋_GB2312"/>
          <w:sz w:val="28"/>
          <w:szCs w:val="28"/>
          <w:lang w:val="en-US" w:eastAsia="zh-CN"/>
        </w:rPr>
        <w:t>,</w:t>
      </w:r>
      <w:r>
        <w:rPr>
          <w:rFonts w:ascii="仿宋_GB2312" w:eastAsia="仿宋_GB2312"/>
          <w:sz w:val="28"/>
          <w:szCs w:val="28"/>
        </w:rPr>
        <w:t>055.75</w:t>
      </w:r>
      <w:r>
        <w:rPr>
          <w:rFonts w:hint="eastAsia" w:ascii="仿宋_GB2312" w:eastAsia="仿宋_GB2312"/>
          <w:sz w:val="28"/>
          <w:szCs w:val="28"/>
        </w:rPr>
        <w:t>元，占收入合计的100</w:t>
      </w:r>
      <w:r>
        <w:rPr>
          <w:rFonts w:hint="eastAsia" w:ascii="仿宋_GB2312" w:eastAsia="仿宋_GB2312"/>
          <w:sz w:val="28"/>
          <w:szCs w:val="28"/>
          <w:lang w:val="en-US" w:eastAsia="zh-CN"/>
        </w:rPr>
        <w:t>.0</w:t>
      </w:r>
      <w:r>
        <w:rPr>
          <w:rFonts w:hint="eastAsia" w:ascii="仿宋_GB2312" w:eastAsia="仿宋_GB2312"/>
          <w:sz w:val="28"/>
          <w:szCs w:val="28"/>
        </w:rPr>
        <w:t>%。其中：一般公共预算财政拨款收入</w:t>
      </w:r>
      <w:r>
        <w:rPr>
          <w:rFonts w:ascii="仿宋_GB2312" w:eastAsia="仿宋_GB2312"/>
          <w:sz w:val="28"/>
          <w:szCs w:val="28"/>
        </w:rPr>
        <w:t>34</w:t>
      </w:r>
      <w:r>
        <w:rPr>
          <w:rFonts w:hint="eastAsia" w:ascii="仿宋_GB2312" w:eastAsia="仿宋_GB2312"/>
          <w:sz w:val="28"/>
          <w:szCs w:val="28"/>
          <w:lang w:val="en-US" w:eastAsia="zh-CN"/>
        </w:rPr>
        <w:t>,</w:t>
      </w:r>
      <w:r>
        <w:rPr>
          <w:rFonts w:ascii="仿宋_GB2312" w:eastAsia="仿宋_GB2312"/>
          <w:sz w:val="28"/>
          <w:szCs w:val="28"/>
        </w:rPr>
        <w:t>575</w:t>
      </w:r>
      <w:r>
        <w:rPr>
          <w:rFonts w:hint="eastAsia" w:ascii="仿宋_GB2312" w:eastAsia="仿宋_GB2312"/>
          <w:sz w:val="28"/>
          <w:szCs w:val="28"/>
          <w:lang w:val="en-US" w:eastAsia="zh-CN"/>
        </w:rPr>
        <w:t>,</w:t>
      </w:r>
      <w:r>
        <w:rPr>
          <w:rFonts w:ascii="仿宋_GB2312" w:eastAsia="仿宋_GB2312"/>
          <w:sz w:val="28"/>
          <w:szCs w:val="28"/>
        </w:rPr>
        <w:t>055.75</w:t>
      </w:r>
      <w:r>
        <w:rPr>
          <w:rFonts w:hint="eastAsia" w:ascii="仿宋_GB2312" w:eastAsia="仿宋_GB2312"/>
          <w:sz w:val="28"/>
          <w:szCs w:val="28"/>
        </w:rPr>
        <w:t>元，占收入合计的100</w:t>
      </w:r>
      <w:r>
        <w:rPr>
          <w:rFonts w:hint="eastAsia" w:ascii="仿宋_GB2312" w:eastAsia="仿宋_GB2312"/>
          <w:sz w:val="28"/>
          <w:szCs w:val="28"/>
          <w:lang w:val="en-US" w:eastAsia="zh-CN"/>
        </w:rPr>
        <w:t>.0</w:t>
      </w:r>
      <w:r>
        <w:rPr>
          <w:rFonts w:hint="eastAsia" w:ascii="仿宋_GB2312" w:eastAsia="仿宋_GB2312"/>
          <w:sz w:val="28"/>
          <w:szCs w:val="28"/>
        </w:rPr>
        <w:t>%；政府性基金预算财政拨款收入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%；国有资本经营预算财政拨款收入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2.上级补助收入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3.事业收入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4.经营收入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5.附属单位上缴收入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6.其他收入</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元，占收入合计的0</w:t>
      </w:r>
      <w:r>
        <w:rPr>
          <w:rFonts w:hint="eastAsia" w:ascii="仿宋_GB2312" w:eastAsia="仿宋_GB2312"/>
          <w:sz w:val="28"/>
          <w:szCs w:val="28"/>
          <w:lang w:val="en-US" w:eastAsia="zh-CN"/>
        </w:rPr>
        <w:t>.0</w:t>
      </w:r>
      <w:r>
        <w:rPr>
          <w:rFonts w:hint="eastAsia" w:ascii="仿宋_GB2312" w:eastAsia="仿宋_GB2312"/>
          <w:sz w:val="28"/>
          <w:szCs w:val="28"/>
        </w:rPr>
        <w:t>%。</w:t>
      </w:r>
    </w:p>
    <w:p>
      <w:pPr>
        <w:pStyle w:val="2"/>
        <w:jc w:val="center"/>
      </w:pPr>
      <w:r>
        <w:rPr>
          <w:rFonts w:hint="eastAsia" w:ascii="仿宋_GB2312" w:eastAsia="仿宋_GB2312"/>
          <w:color w:val="000000"/>
          <w:sz w:val="32"/>
        </w:rPr>
        <w:t>图1：收入决算</w:t>
      </w:r>
    </w:p>
    <w:p>
      <w:pPr>
        <w:pStyle w:val="3"/>
        <w:ind w:firstLine="420"/>
        <w:jc w:val="center"/>
      </w:pPr>
      <w:r>
        <w:drawing>
          <wp:inline distT="0" distB="0" distL="0" distR="0">
            <wp:extent cx="4036695" cy="2328545"/>
            <wp:effectExtent l="0" t="0" r="20955" b="14605"/>
            <wp:docPr id="3" name="图表 3" title="{{pieChar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（二</w:t>
      </w:r>
      <w:r>
        <w:rPr>
          <w:rFonts w:ascii="仿宋_GB2312" w:eastAsia="仿宋_GB2312"/>
          <w:sz w:val="28"/>
          <w:szCs w:val="28"/>
        </w:rPr>
        <w:t>）</w:t>
      </w:r>
      <w:r>
        <w:rPr>
          <w:rFonts w:hint="eastAsia" w:ascii="仿宋_GB2312" w:eastAsia="仿宋_GB2312"/>
          <w:sz w:val="28"/>
          <w:szCs w:val="28"/>
        </w:rPr>
        <w:t>支出决算</w:t>
      </w:r>
      <w:r>
        <w:rPr>
          <w:rFonts w:ascii="仿宋_GB2312" w:eastAsia="仿宋_GB2312"/>
          <w:sz w:val="28"/>
          <w:szCs w:val="28"/>
        </w:rPr>
        <w:t>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2025年度本年支出合计</w:t>
      </w:r>
      <w:r>
        <w:rPr>
          <w:rFonts w:ascii="仿宋_GB2312" w:eastAsia="仿宋_GB2312"/>
          <w:sz w:val="28"/>
          <w:szCs w:val="28"/>
        </w:rPr>
        <w:t>34</w:t>
      </w:r>
      <w:r>
        <w:rPr>
          <w:rFonts w:hint="eastAsia" w:ascii="仿宋_GB2312" w:eastAsia="仿宋_GB2312"/>
          <w:sz w:val="28"/>
          <w:szCs w:val="28"/>
          <w:lang w:val="en-US" w:eastAsia="zh-CN"/>
        </w:rPr>
        <w:t>,</w:t>
      </w:r>
      <w:r>
        <w:rPr>
          <w:rFonts w:ascii="仿宋_GB2312" w:eastAsia="仿宋_GB2312"/>
          <w:sz w:val="28"/>
          <w:szCs w:val="28"/>
        </w:rPr>
        <w:t>575</w:t>
      </w:r>
      <w:r>
        <w:rPr>
          <w:rFonts w:hint="eastAsia" w:ascii="仿宋_GB2312" w:eastAsia="仿宋_GB2312"/>
          <w:sz w:val="28"/>
          <w:szCs w:val="28"/>
          <w:lang w:val="en-US" w:eastAsia="zh-CN"/>
        </w:rPr>
        <w:t>,</w:t>
      </w:r>
      <w:r>
        <w:rPr>
          <w:rFonts w:ascii="仿宋_GB2312" w:eastAsia="仿宋_GB2312"/>
          <w:sz w:val="28"/>
          <w:szCs w:val="28"/>
        </w:rPr>
        <w:t>055.75</w:t>
      </w:r>
      <w:r>
        <w:rPr>
          <w:rFonts w:hint="eastAsia" w:ascii="仿宋_GB2312" w:eastAsia="仿宋_GB2312"/>
          <w:sz w:val="28"/>
          <w:szCs w:val="28"/>
        </w:rPr>
        <w:t>元，</w:t>
      </w:r>
      <w:r>
        <w:rPr>
          <w:rFonts w:ascii="仿宋_GB2312" w:eastAsia="仿宋_GB2312"/>
          <w:sz w:val="28"/>
          <w:szCs w:val="28"/>
        </w:rPr>
        <w:t>比上年</w:t>
      </w:r>
      <w:r>
        <w:rPr>
          <w:rFonts w:hint="eastAsia" w:ascii="仿宋_GB2312" w:eastAsia="仿宋_GB2312"/>
          <w:sz w:val="28"/>
          <w:szCs w:val="28"/>
        </w:rPr>
        <w:t>减少</w:t>
      </w:r>
      <w:r>
        <w:rPr>
          <w:rFonts w:hint="eastAsia" w:ascii="仿宋_GB2312" w:eastAsia="仿宋_GB2312"/>
          <w:sz w:val="28"/>
          <w:szCs w:val="28"/>
          <w:lang w:val="en-US" w:eastAsia="zh-CN"/>
        </w:rPr>
        <w:t>1,364,858.78</w:t>
      </w:r>
      <w:r>
        <w:rPr>
          <w:rFonts w:hint="eastAsia" w:ascii="仿宋_GB2312" w:eastAsia="仿宋_GB2312"/>
          <w:sz w:val="28"/>
          <w:szCs w:val="28"/>
        </w:rPr>
        <w:t>元，下降</w:t>
      </w:r>
      <w:r>
        <w:rPr>
          <w:rFonts w:hint="eastAsia" w:ascii="仿宋_GB2312" w:eastAsia="仿宋_GB2312"/>
          <w:sz w:val="28"/>
          <w:szCs w:val="28"/>
          <w:lang w:val="en-US" w:eastAsia="zh-CN"/>
        </w:rPr>
        <w:t>3.8</w:t>
      </w:r>
      <w:r>
        <w:rPr>
          <w:rFonts w:hint="eastAsia" w:ascii="仿宋_GB2312" w:eastAsia="仿宋_GB2312"/>
          <w:sz w:val="28"/>
          <w:szCs w:val="28"/>
        </w:rPr>
        <w:t>%，其中：基本支出</w:t>
      </w:r>
      <w:r>
        <w:rPr>
          <w:rFonts w:ascii="仿宋_GB2312" w:eastAsia="仿宋_GB2312"/>
          <w:sz w:val="28"/>
          <w:szCs w:val="28"/>
        </w:rPr>
        <w:t>4</w:t>
      </w:r>
      <w:r>
        <w:rPr>
          <w:rFonts w:hint="eastAsia" w:ascii="仿宋_GB2312" w:eastAsia="仿宋_GB2312"/>
          <w:sz w:val="28"/>
          <w:szCs w:val="28"/>
          <w:lang w:val="en-US" w:eastAsia="zh-CN"/>
        </w:rPr>
        <w:t>,</w:t>
      </w:r>
      <w:r>
        <w:rPr>
          <w:rFonts w:ascii="仿宋_GB2312" w:eastAsia="仿宋_GB2312"/>
          <w:sz w:val="28"/>
          <w:szCs w:val="28"/>
        </w:rPr>
        <w:t>860</w:t>
      </w:r>
      <w:r>
        <w:rPr>
          <w:rFonts w:hint="eastAsia" w:ascii="仿宋_GB2312" w:eastAsia="仿宋_GB2312"/>
          <w:sz w:val="28"/>
          <w:szCs w:val="28"/>
          <w:lang w:val="en-US" w:eastAsia="zh-CN"/>
        </w:rPr>
        <w:t>,</w:t>
      </w:r>
      <w:r>
        <w:rPr>
          <w:rFonts w:ascii="仿宋_GB2312" w:eastAsia="仿宋_GB2312"/>
          <w:sz w:val="28"/>
          <w:szCs w:val="28"/>
        </w:rPr>
        <w:t>983.19</w:t>
      </w:r>
      <w:r>
        <w:rPr>
          <w:rFonts w:hint="eastAsia" w:ascii="仿宋_GB2312" w:eastAsia="仿宋_GB2312"/>
          <w:sz w:val="28"/>
          <w:szCs w:val="28"/>
        </w:rPr>
        <w:t>元，占支出合计的14.</w:t>
      </w:r>
      <w:r>
        <w:rPr>
          <w:rFonts w:hint="eastAsia" w:ascii="仿宋_GB2312" w:eastAsia="仿宋_GB2312"/>
          <w:sz w:val="28"/>
          <w:szCs w:val="28"/>
          <w:lang w:val="en-US" w:eastAsia="zh-CN"/>
        </w:rPr>
        <w:t>1</w:t>
      </w:r>
      <w:r>
        <w:rPr>
          <w:rFonts w:hint="eastAsia" w:ascii="仿宋_GB2312" w:eastAsia="仿宋_GB2312"/>
          <w:sz w:val="28"/>
          <w:szCs w:val="28"/>
        </w:rPr>
        <w:t>%；项目支出</w:t>
      </w:r>
      <w:r>
        <w:rPr>
          <w:rFonts w:ascii="仿宋_GB2312" w:eastAsia="仿宋_GB2312"/>
          <w:sz w:val="28"/>
          <w:szCs w:val="28"/>
        </w:rPr>
        <w:t>29</w:t>
      </w:r>
      <w:r>
        <w:rPr>
          <w:rFonts w:hint="eastAsia" w:ascii="仿宋_GB2312" w:eastAsia="仿宋_GB2312"/>
          <w:sz w:val="28"/>
          <w:szCs w:val="28"/>
          <w:lang w:val="en-US" w:eastAsia="zh-CN"/>
        </w:rPr>
        <w:t>,</w:t>
      </w:r>
      <w:r>
        <w:rPr>
          <w:rFonts w:ascii="仿宋_GB2312" w:eastAsia="仿宋_GB2312"/>
          <w:sz w:val="28"/>
          <w:szCs w:val="28"/>
        </w:rPr>
        <w:t>714</w:t>
      </w:r>
      <w:r>
        <w:rPr>
          <w:rFonts w:hint="eastAsia" w:ascii="仿宋_GB2312" w:eastAsia="仿宋_GB2312"/>
          <w:sz w:val="28"/>
          <w:szCs w:val="28"/>
          <w:lang w:val="en-US" w:eastAsia="zh-CN"/>
        </w:rPr>
        <w:t>,</w:t>
      </w:r>
      <w:r>
        <w:rPr>
          <w:rFonts w:ascii="仿宋_GB2312" w:eastAsia="仿宋_GB2312"/>
          <w:sz w:val="28"/>
          <w:szCs w:val="28"/>
        </w:rPr>
        <w:t>072.56</w:t>
      </w:r>
      <w:r>
        <w:rPr>
          <w:rFonts w:hint="eastAsia" w:ascii="仿宋_GB2312" w:eastAsia="仿宋_GB2312"/>
          <w:sz w:val="28"/>
          <w:szCs w:val="28"/>
        </w:rPr>
        <w:t>元，占支出合计的85.9%;上缴上级支出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%；经营支出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%；对附属单位补助支出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元，占支出合计的0</w:t>
      </w:r>
      <w:r>
        <w:rPr>
          <w:rFonts w:hint="eastAsia" w:ascii="仿宋_GB2312" w:eastAsia="仿宋_GB2312"/>
          <w:sz w:val="28"/>
          <w:szCs w:val="28"/>
          <w:lang w:val="en-US" w:eastAsia="zh-CN"/>
        </w:rPr>
        <w:t>.0</w:t>
      </w:r>
      <w:r>
        <w:rPr>
          <w:rFonts w:hint="eastAsia" w:ascii="仿宋_GB2312" w:eastAsia="仿宋_GB2312"/>
          <w:sz w:val="28"/>
          <w:szCs w:val="28"/>
        </w:rPr>
        <w:t>%。</w:t>
      </w:r>
    </w:p>
    <w:p>
      <w:pPr>
        <w:pStyle w:val="2"/>
        <w:ind w:firstLine="5772" w:firstLineChars="1804"/>
        <w:rPr>
          <w:rFonts w:ascii="仿宋_GB2312" w:eastAsia="仿宋_GB2312"/>
          <w:color w:val="000000"/>
          <w:sz w:val="32"/>
        </w:rPr>
      </w:pPr>
      <w:r>
        <w:rPr>
          <w:rFonts w:hint="eastAsia" w:ascii="仿宋_GB2312" w:eastAsia="仿宋_GB2312"/>
          <w:color w:val="000000"/>
          <w:sz w:val="32"/>
        </w:rPr>
        <w:t>图2：支出决算</w:t>
      </w:r>
    </w:p>
    <w:p>
      <w:pPr>
        <w:jc w:val="center"/>
        <w:rPr>
          <w:rFonts w:ascii="黑体" w:eastAsia="黑体"/>
          <w:b/>
          <w:sz w:val="28"/>
          <w:szCs w:val="28"/>
        </w:rPr>
      </w:pPr>
      <w:r>
        <w:drawing>
          <wp:inline distT="0" distB="0" distL="114300" distR="114300">
            <wp:extent cx="4572000" cy="2743200"/>
            <wp:effectExtent l="4445" t="4445" r="14605" b="14605"/>
            <wp:docPr id="1" name="图表 3" title="{{pieChart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tabs>
          <w:tab w:val="center" w:pos="6979"/>
        </w:tabs>
        <w:spacing w:line="580" w:lineRule="exact"/>
        <w:ind w:firstLine="548" w:firstLineChars="196"/>
        <w:rPr>
          <w:rFonts w:ascii="黑体" w:eastAsia="黑体"/>
          <w:b/>
          <w:sz w:val="28"/>
          <w:szCs w:val="28"/>
        </w:rPr>
      </w:pPr>
      <w:r>
        <w:rPr>
          <w:rFonts w:hint="eastAsia" w:ascii="黑体" w:eastAsia="黑体"/>
          <w:b/>
          <w:sz w:val="28"/>
          <w:szCs w:val="28"/>
        </w:rPr>
        <w:t>三</w:t>
      </w:r>
      <w:r>
        <w:rPr>
          <w:rFonts w:ascii="黑体" w:eastAsia="黑体"/>
          <w:b/>
          <w:sz w:val="28"/>
          <w:szCs w:val="28"/>
        </w:rPr>
        <w:t>、财政拨款</w:t>
      </w:r>
      <w:r>
        <w:rPr>
          <w:rFonts w:hint="eastAsia" w:ascii="黑体" w:eastAsia="黑体"/>
          <w:b/>
          <w:sz w:val="28"/>
          <w:szCs w:val="28"/>
        </w:rPr>
        <w:t>收入支出决算</w:t>
      </w:r>
      <w:r>
        <w:rPr>
          <w:rFonts w:ascii="黑体" w:eastAsia="黑体"/>
          <w:b/>
          <w:sz w:val="28"/>
          <w:szCs w:val="28"/>
        </w:rPr>
        <w:t>总体情况说明</w:t>
      </w:r>
    </w:p>
    <w:p>
      <w:pPr>
        <w:tabs>
          <w:tab w:val="center" w:pos="6979"/>
        </w:tabs>
        <w:spacing w:line="580" w:lineRule="exact"/>
        <w:ind w:firstLine="570"/>
        <w:rPr>
          <w:rFonts w:ascii="仿宋_GB2312" w:eastAsia="仿宋_GB2312"/>
          <w:sz w:val="28"/>
          <w:szCs w:val="28"/>
        </w:rPr>
      </w:pPr>
      <w:r>
        <w:rPr>
          <w:rFonts w:hint="eastAsia" w:ascii="仿宋_GB2312" w:eastAsia="仿宋_GB2312"/>
          <w:sz w:val="28"/>
          <w:szCs w:val="28"/>
        </w:rPr>
        <w:t>2025年度财政拨款收、</w:t>
      </w:r>
      <w:r>
        <w:rPr>
          <w:rFonts w:ascii="仿宋_GB2312" w:eastAsia="仿宋_GB2312"/>
          <w:sz w:val="28"/>
          <w:szCs w:val="28"/>
        </w:rPr>
        <w:t>支</w:t>
      </w:r>
      <w:r>
        <w:rPr>
          <w:rFonts w:hint="eastAsia" w:ascii="仿宋_GB2312" w:eastAsia="仿宋_GB2312"/>
          <w:sz w:val="28"/>
          <w:szCs w:val="28"/>
        </w:rPr>
        <w:t>总计</w:t>
      </w:r>
      <w:r>
        <w:rPr>
          <w:rFonts w:ascii="仿宋_GB2312" w:eastAsia="仿宋_GB2312"/>
          <w:sz w:val="28"/>
          <w:szCs w:val="28"/>
        </w:rPr>
        <w:t>34</w:t>
      </w:r>
      <w:r>
        <w:rPr>
          <w:rFonts w:hint="eastAsia" w:ascii="仿宋_GB2312" w:eastAsia="仿宋_GB2312"/>
          <w:sz w:val="28"/>
          <w:szCs w:val="28"/>
          <w:lang w:val="en-US" w:eastAsia="zh-CN"/>
        </w:rPr>
        <w:t>,</w:t>
      </w:r>
      <w:r>
        <w:rPr>
          <w:rFonts w:ascii="仿宋_GB2312" w:eastAsia="仿宋_GB2312"/>
          <w:sz w:val="28"/>
          <w:szCs w:val="28"/>
        </w:rPr>
        <w:t>575</w:t>
      </w:r>
      <w:r>
        <w:rPr>
          <w:rFonts w:hint="eastAsia" w:ascii="仿宋_GB2312" w:eastAsia="仿宋_GB2312"/>
          <w:sz w:val="28"/>
          <w:szCs w:val="28"/>
          <w:lang w:val="en-US" w:eastAsia="zh-CN"/>
        </w:rPr>
        <w:t>,</w:t>
      </w:r>
      <w:r>
        <w:rPr>
          <w:rFonts w:ascii="仿宋_GB2312" w:eastAsia="仿宋_GB2312"/>
          <w:sz w:val="28"/>
          <w:szCs w:val="28"/>
        </w:rPr>
        <w:t>055.75</w:t>
      </w:r>
      <w:r>
        <w:rPr>
          <w:rFonts w:hint="eastAsia" w:ascii="仿宋_GB2312" w:eastAsia="仿宋_GB2312"/>
          <w:sz w:val="28"/>
          <w:szCs w:val="28"/>
        </w:rPr>
        <w:t>元，</w:t>
      </w:r>
      <w:r>
        <w:rPr>
          <w:rFonts w:ascii="仿宋_GB2312" w:eastAsia="仿宋_GB2312"/>
          <w:sz w:val="28"/>
          <w:szCs w:val="28"/>
        </w:rPr>
        <w:t>比上年</w:t>
      </w:r>
      <w:r>
        <w:rPr>
          <w:rFonts w:hint="eastAsia" w:ascii="仿宋_GB2312" w:eastAsia="仿宋_GB2312"/>
          <w:sz w:val="28"/>
          <w:szCs w:val="28"/>
        </w:rPr>
        <w:t>减少</w:t>
      </w:r>
      <w:r>
        <w:rPr>
          <w:rFonts w:hint="eastAsia" w:ascii="仿宋_GB2312" w:eastAsia="仿宋_GB2312"/>
          <w:sz w:val="28"/>
          <w:szCs w:val="28"/>
          <w:lang w:val="en-US" w:eastAsia="zh-CN"/>
        </w:rPr>
        <w:t>1,364,858.78</w:t>
      </w:r>
      <w:r>
        <w:rPr>
          <w:rFonts w:hint="eastAsia" w:ascii="仿宋_GB2312" w:eastAsia="仿宋_GB2312"/>
          <w:sz w:val="28"/>
          <w:szCs w:val="28"/>
        </w:rPr>
        <w:t>元，下降</w:t>
      </w:r>
      <w:r>
        <w:rPr>
          <w:rFonts w:hint="eastAsia" w:ascii="仿宋_GB2312" w:eastAsia="仿宋_GB2312"/>
          <w:sz w:val="28"/>
          <w:szCs w:val="28"/>
          <w:lang w:val="en-US" w:eastAsia="zh-CN"/>
        </w:rPr>
        <w:t>3.8</w:t>
      </w:r>
      <w:r>
        <w:rPr>
          <w:rFonts w:hint="eastAsia" w:ascii="仿宋_GB2312" w:eastAsia="仿宋_GB2312"/>
          <w:sz w:val="28"/>
          <w:szCs w:val="28"/>
        </w:rPr>
        <w:t>%。主要原因：</w:t>
      </w:r>
      <w:r>
        <w:rPr>
          <w:rFonts w:hint="eastAsia" w:ascii="仿宋_GB2312" w:eastAsia="仿宋_GB2312"/>
          <w:sz w:val="28"/>
          <w:szCs w:val="28"/>
          <w:lang w:eastAsia="zh-CN"/>
        </w:rPr>
        <w:t>事务中心人员流动较大，人员工资总额支出比上年减少。</w:t>
      </w:r>
    </w:p>
    <w:p>
      <w:pPr>
        <w:tabs>
          <w:tab w:val="center" w:pos="6979"/>
        </w:tabs>
        <w:spacing w:line="580" w:lineRule="exact"/>
        <w:ind w:firstLine="548" w:firstLineChars="196"/>
        <w:rPr>
          <w:rFonts w:ascii="黑体" w:eastAsia="黑体"/>
          <w:b/>
          <w:sz w:val="28"/>
          <w:szCs w:val="28"/>
        </w:rPr>
      </w:pPr>
      <w:r>
        <w:rPr>
          <w:rFonts w:hint="eastAsia" w:ascii="黑体" w:eastAsia="黑体"/>
          <w:b/>
          <w:sz w:val="28"/>
          <w:szCs w:val="28"/>
        </w:rPr>
        <w:t>四、一般公共预算财政拨款支出决算情况说明</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（一）一般公共预算财政拨款支出决算总体情况</w:t>
      </w:r>
    </w:p>
    <w:p>
      <w:pPr>
        <w:tabs>
          <w:tab w:val="center" w:pos="6979"/>
        </w:tabs>
        <w:spacing w:line="580" w:lineRule="exact"/>
        <w:ind w:firstLine="560" w:firstLineChars="200"/>
        <w:rPr>
          <w:rFonts w:ascii="仿宋_GB2312" w:eastAsia="仿宋_GB2312"/>
          <w:sz w:val="28"/>
          <w:szCs w:val="28"/>
        </w:rPr>
      </w:pPr>
      <w:r>
        <w:rPr>
          <w:rFonts w:hint="eastAsia" w:ascii="仿宋_GB2312" w:eastAsia="仿宋_GB2312"/>
          <w:sz w:val="28"/>
          <w:szCs w:val="28"/>
        </w:rPr>
        <w:t>2025年度一般公共预算财政拨款支出</w:t>
      </w:r>
      <w:r>
        <w:rPr>
          <w:rFonts w:ascii="仿宋_GB2312" w:eastAsia="仿宋_GB2312"/>
          <w:sz w:val="28"/>
          <w:szCs w:val="28"/>
        </w:rPr>
        <w:t>34</w:t>
      </w:r>
      <w:r>
        <w:rPr>
          <w:rFonts w:hint="eastAsia" w:ascii="仿宋_GB2312" w:eastAsia="仿宋_GB2312"/>
          <w:sz w:val="28"/>
          <w:szCs w:val="28"/>
          <w:lang w:val="en-US" w:eastAsia="zh-CN"/>
        </w:rPr>
        <w:t>,</w:t>
      </w:r>
      <w:r>
        <w:rPr>
          <w:rFonts w:ascii="仿宋_GB2312" w:eastAsia="仿宋_GB2312"/>
          <w:sz w:val="28"/>
          <w:szCs w:val="28"/>
        </w:rPr>
        <w:t>575</w:t>
      </w:r>
      <w:r>
        <w:rPr>
          <w:rFonts w:hint="eastAsia" w:ascii="仿宋_GB2312" w:eastAsia="仿宋_GB2312"/>
          <w:sz w:val="28"/>
          <w:szCs w:val="28"/>
          <w:lang w:val="en-US" w:eastAsia="zh-CN"/>
        </w:rPr>
        <w:t>,</w:t>
      </w:r>
      <w:r>
        <w:rPr>
          <w:rFonts w:ascii="仿宋_GB2312" w:eastAsia="仿宋_GB2312"/>
          <w:sz w:val="28"/>
          <w:szCs w:val="28"/>
        </w:rPr>
        <w:t>055.75</w:t>
      </w:r>
      <w:r>
        <w:rPr>
          <w:rFonts w:hint="eastAsia" w:ascii="仿宋_GB2312" w:eastAsia="仿宋_GB2312"/>
          <w:sz w:val="28"/>
          <w:szCs w:val="28"/>
        </w:rPr>
        <w:t>元，主要用于以下方面（按大类）：</w:t>
      </w:r>
      <w:r>
        <w:rPr>
          <w:rFonts w:hint="eastAsia" w:ascii="仿宋_GB2312" w:eastAsia="仿宋_GB2312"/>
          <w:sz w:val="28"/>
          <w:szCs w:val="28"/>
          <w:lang w:eastAsia="zh-CN"/>
        </w:rPr>
        <w:t>社会保障和就业支出</w:t>
      </w:r>
      <w:r>
        <w:rPr>
          <w:rFonts w:hint="eastAsia" w:ascii="仿宋_GB2312" w:eastAsia="仿宋_GB2312"/>
          <w:sz w:val="28"/>
          <w:szCs w:val="28"/>
          <w:lang w:val="en-US" w:eastAsia="zh-CN"/>
        </w:rPr>
        <w:t>78,543.00</w:t>
      </w:r>
      <w:r>
        <w:rPr>
          <w:rFonts w:hint="eastAsia" w:ascii="仿宋_GB2312" w:eastAsia="仿宋_GB2312"/>
          <w:sz w:val="28"/>
          <w:szCs w:val="28"/>
        </w:rPr>
        <w:t>元，占本年财政拨款支出</w:t>
      </w:r>
      <w:r>
        <w:rPr>
          <w:rFonts w:hint="eastAsia" w:ascii="仿宋_GB2312" w:eastAsia="仿宋_GB2312"/>
          <w:sz w:val="28"/>
          <w:szCs w:val="28"/>
          <w:lang w:val="en-US" w:eastAsia="zh-CN"/>
        </w:rPr>
        <w:t>0.2</w:t>
      </w:r>
      <w:r>
        <w:rPr>
          <w:rFonts w:hint="eastAsia" w:ascii="仿宋_GB2312" w:eastAsia="仿宋_GB2312"/>
          <w:sz w:val="28"/>
          <w:szCs w:val="28"/>
        </w:rPr>
        <w:t xml:space="preserve">%； </w:t>
      </w:r>
      <w:r>
        <w:rPr>
          <w:rFonts w:hint="eastAsia" w:ascii="仿宋_GB2312" w:eastAsia="仿宋_GB2312"/>
          <w:sz w:val="28"/>
          <w:szCs w:val="28"/>
          <w:lang w:eastAsia="zh-CN"/>
        </w:rPr>
        <w:t>灾害防治及应急管理支出</w:t>
      </w:r>
      <w:r>
        <w:rPr>
          <w:rFonts w:hint="eastAsia" w:ascii="仿宋_GB2312" w:eastAsia="仿宋_GB2312"/>
          <w:sz w:val="28"/>
          <w:szCs w:val="28"/>
          <w:lang w:val="en-US" w:eastAsia="zh-CN"/>
        </w:rPr>
        <w:t>34,496,512.75</w:t>
      </w:r>
      <w:r>
        <w:rPr>
          <w:rFonts w:hint="eastAsia" w:ascii="仿宋_GB2312" w:eastAsia="仿宋_GB2312"/>
          <w:sz w:val="28"/>
          <w:szCs w:val="28"/>
        </w:rPr>
        <w:t>元，占本年财政拨款支出</w:t>
      </w:r>
      <w:r>
        <w:rPr>
          <w:rFonts w:hint="eastAsia" w:ascii="仿宋_GB2312" w:eastAsia="仿宋_GB2312"/>
          <w:sz w:val="28"/>
          <w:szCs w:val="28"/>
          <w:lang w:val="en-US" w:eastAsia="zh-CN"/>
        </w:rPr>
        <w:t>99.8</w:t>
      </w:r>
      <w:r>
        <w:rPr>
          <w:rFonts w:hint="eastAsia" w:ascii="仿宋_GB2312" w:eastAsia="仿宋_GB2312"/>
          <w:sz w:val="28"/>
          <w:szCs w:val="28"/>
        </w:rPr>
        <w:t>%。</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（二）一般公共预算财政拨款支出决算具体情况</w:t>
      </w:r>
    </w:p>
    <w:p>
      <w:pPr>
        <w:autoSpaceDE w:val="0"/>
        <w:autoSpaceDN w:val="0"/>
        <w:adjustRightInd w:val="0"/>
        <w:spacing w:line="580" w:lineRule="exact"/>
        <w:ind w:firstLine="560" w:firstLineChars="200"/>
        <w:jc w:val="left"/>
        <w:rPr>
          <w:rFonts w:ascii="仿宋_GB2312" w:eastAsia="仿宋_GB2312"/>
          <w:sz w:val="28"/>
          <w:szCs w:val="28"/>
        </w:rPr>
      </w:pPr>
      <w:r>
        <w:rPr>
          <w:rFonts w:hint="eastAsia" w:ascii="仿宋_GB2312" w:eastAsia="仿宋_GB2312"/>
          <w:sz w:val="28"/>
          <w:szCs w:val="28"/>
        </w:rPr>
        <w:t>1、“</w:t>
      </w:r>
      <w:r>
        <w:rPr>
          <w:rFonts w:hint="eastAsia" w:ascii="仿宋_GB2312" w:eastAsia="仿宋_GB2312"/>
          <w:sz w:val="28"/>
          <w:szCs w:val="28"/>
          <w:lang w:eastAsia="zh-CN"/>
        </w:rPr>
        <w:t>社会保障和就业支出</w:t>
      </w:r>
      <w:r>
        <w:rPr>
          <w:rFonts w:hint="eastAsia" w:ascii="仿宋_GB2312" w:eastAsia="仿宋_GB2312"/>
          <w:sz w:val="28"/>
          <w:szCs w:val="28"/>
        </w:rPr>
        <w:t>”（类）2025年度年初预算</w:t>
      </w:r>
      <w:r>
        <w:rPr>
          <w:rFonts w:hint="eastAsia" w:ascii="仿宋_GB2312" w:eastAsia="仿宋_GB2312"/>
          <w:sz w:val="28"/>
          <w:szCs w:val="28"/>
          <w:lang w:val="en-US" w:eastAsia="zh-CN"/>
        </w:rPr>
        <w:t>32,486.00</w:t>
      </w:r>
      <w:r>
        <w:rPr>
          <w:rFonts w:hint="eastAsia" w:ascii="仿宋_GB2312" w:eastAsia="仿宋_GB2312"/>
          <w:sz w:val="28"/>
          <w:szCs w:val="28"/>
        </w:rPr>
        <w:t>元，2025年度决算</w:t>
      </w:r>
      <w:r>
        <w:rPr>
          <w:rFonts w:hint="eastAsia" w:ascii="仿宋_GB2312" w:eastAsia="仿宋_GB2312"/>
          <w:sz w:val="28"/>
          <w:szCs w:val="28"/>
          <w:lang w:val="en-US" w:eastAsia="zh-CN"/>
        </w:rPr>
        <w:t>78,543.00</w:t>
      </w:r>
      <w:r>
        <w:rPr>
          <w:rFonts w:hint="eastAsia" w:ascii="仿宋_GB2312" w:eastAsia="仿宋_GB2312"/>
          <w:sz w:val="28"/>
          <w:szCs w:val="28"/>
        </w:rPr>
        <w:t>元，完成年初预算的</w:t>
      </w:r>
      <w:r>
        <w:rPr>
          <w:rFonts w:hint="eastAsia" w:ascii="仿宋_GB2312" w:eastAsia="仿宋_GB2312"/>
          <w:sz w:val="28"/>
          <w:szCs w:val="28"/>
          <w:lang w:val="en-US" w:eastAsia="zh-CN"/>
        </w:rPr>
        <w:t>241.8</w:t>
      </w:r>
      <w:r>
        <w:rPr>
          <w:rFonts w:hint="eastAsia" w:ascii="仿宋_GB2312" w:eastAsia="仿宋_GB2312"/>
          <w:sz w:val="28"/>
          <w:szCs w:val="28"/>
        </w:rPr>
        <w:t>%。</w:t>
      </w:r>
    </w:p>
    <w:p>
      <w:pPr>
        <w:autoSpaceDE w:val="0"/>
        <w:autoSpaceDN w:val="0"/>
        <w:adjustRightInd w:val="0"/>
        <w:spacing w:line="580" w:lineRule="exact"/>
        <w:jc w:val="left"/>
        <w:rPr>
          <w:rFonts w:ascii="仿宋_GB2312" w:eastAsia="仿宋_GB2312"/>
          <w:sz w:val="28"/>
          <w:szCs w:val="28"/>
        </w:rPr>
      </w:pPr>
      <w:r>
        <w:rPr>
          <w:rFonts w:hint="eastAsia" w:ascii="仿宋_GB2312" w:eastAsia="仿宋_GB2312"/>
          <w:sz w:val="28"/>
          <w:szCs w:val="28"/>
        </w:rPr>
        <w:t>其中：</w:t>
      </w:r>
    </w:p>
    <w:p>
      <w:pPr>
        <w:spacing w:line="580" w:lineRule="exact"/>
        <w:ind w:firstLine="560" w:firstLineChars="200"/>
        <w:rPr>
          <w:rFonts w:ascii="仿宋_GB2312" w:eastAsia="仿宋_GB2312"/>
          <w:sz w:val="28"/>
          <w:szCs w:val="28"/>
        </w:rPr>
      </w:pPr>
      <w:r>
        <w:rPr>
          <w:rFonts w:hint="eastAsia" w:ascii="仿宋_GB2312" w:eastAsia="仿宋_GB2312"/>
          <w:sz w:val="28"/>
          <w:szCs w:val="28"/>
        </w:rPr>
        <w:t>“</w:t>
      </w:r>
      <w:r>
        <w:rPr>
          <w:rFonts w:hint="eastAsia" w:ascii="仿宋_GB2312" w:eastAsia="仿宋_GB2312"/>
          <w:sz w:val="28"/>
          <w:szCs w:val="28"/>
          <w:lang w:eastAsia="zh-CN"/>
        </w:rPr>
        <w:t>行政事业单位养老支出</w:t>
      </w:r>
      <w:r>
        <w:rPr>
          <w:rFonts w:hint="eastAsia" w:ascii="仿宋_GB2312" w:eastAsia="仿宋_GB2312"/>
          <w:sz w:val="28"/>
          <w:szCs w:val="28"/>
        </w:rPr>
        <w:t>”（款）2025年度年初预算</w:t>
      </w:r>
      <w:r>
        <w:rPr>
          <w:rFonts w:hint="eastAsia" w:ascii="仿宋_GB2312" w:eastAsia="仿宋_GB2312"/>
          <w:sz w:val="28"/>
          <w:szCs w:val="28"/>
          <w:lang w:val="en-US" w:eastAsia="zh-CN"/>
        </w:rPr>
        <w:t>32,486.00</w:t>
      </w:r>
      <w:r>
        <w:rPr>
          <w:rFonts w:hint="eastAsia" w:ascii="仿宋_GB2312" w:eastAsia="仿宋_GB2312"/>
          <w:sz w:val="28"/>
          <w:szCs w:val="28"/>
        </w:rPr>
        <w:t>元，2025年度决算</w:t>
      </w:r>
      <w:r>
        <w:rPr>
          <w:rFonts w:hint="eastAsia" w:ascii="仿宋_GB2312" w:eastAsia="仿宋_GB2312"/>
          <w:sz w:val="28"/>
          <w:szCs w:val="28"/>
          <w:lang w:val="en-US" w:eastAsia="zh-CN"/>
        </w:rPr>
        <w:t>78,543.00</w:t>
      </w:r>
      <w:r>
        <w:rPr>
          <w:rFonts w:hint="eastAsia" w:ascii="仿宋_GB2312" w:eastAsia="仿宋_GB2312"/>
          <w:sz w:val="28"/>
          <w:szCs w:val="28"/>
        </w:rPr>
        <w:t>元，完成年初预算的</w:t>
      </w:r>
      <w:r>
        <w:rPr>
          <w:rFonts w:hint="eastAsia" w:ascii="仿宋_GB2312" w:eastAsia="仿宋_GB2312"/>
          <w:sz w:val="28"/>
          <w:szCs w:val="28"/>
          <w:lang w:val="en-US" w:eastAsia="zh-CN"/>
        </w:rPr>
        <w:t>241.8</w:t>
      </w:r>
      <w:r>
        <w:rPr>
          <w:rFonts w:hint="eastAsia" w:ascii="仿宋_GB2312" w:eastAsia="仿宋_GB2312"/>
          <w:sz w:val="28"/>
          <w:szCs w:val="28"/>
        </w:rPr>
        <w:t>%。主要原因：</w:t>
      </w:r>
      <w:r>
        <w:rPr>
          <w:rFonts w:hint="eastAsia" w:ascii="仿宋_GB2312" w:eastAsia="仿宋_GB2312"/>
          <w:sz w:val="28"/>
          <w:szCs w:val="28"/>
          <w:lang w:eastAsia="zh-CN"/>
        </w:rPr>
        <w:t>发放退休人员</w:t>
      </w:r>
      <w:r>
        <w:rPr>
          <w:rFonts w:hint="eastAsia" w:ascii="仿宋_GB2312" w:eastAsia="仿宋_GB2312"/>
          <w:sz w:val="28"/>
          <w:szCs w:val="28"/>
          <w:lang w:val="en-US" w:eastAsia="zh-CN"/>
        </w:rPr>
        <w:t>2024年未休年假工资报酬、平安建设奖、绩效考核奖</w:t>
      </w:r>
      <w:r>
        <w:rPr>
          <w:rFonts w:hint="eastAsia" w:ascii="仿宋_GB2312" w:eastAsia="仿宋_GB2312"/>
          <w:sz w:val="28"/>
          <w:szCs w:val="28"/>
        </w:rPr>
        <w:t>。</w:t>
      </w:r>
    </w:p>
    <w:p>
      <w:pPr>
        <w:spacing w:line="580" w:lineRule="exact"/>
        <w:ind w:firstLine="560" w:firstLineChars="200"/>
        <w:rPr>
          <w:rFonts w:ascii="仿宋_GB2312" w:eastAsia="仿宋_GB2312"/>
          <w:sz w:val="28"/>
          <w:szCs w:val="28"/>
        </w:rPr>
      </w:pPr>
      <w:r>
        <w:rPr>
          <w:rFonts w:hint="eastAsia" w:ascii="仿宋_GB2312" w:eastAsia="仿宋_GB2312"/>
          <w:sz w:val="28"/>
          <w:szCs w:val="28"/>
        </w:rPr>
        <w:t>2、“</w:t>
      </w:r>
      <w:r>
        <w:rPr>
          <w:rFonts w:hint="eastAsia" w:ascii="仿宋_GB2312" w:eastAsia="仿宋_GB2312"/>
          <w:sz w:val="28"/>
          <w:szCs w:val="28"/>
          <w:lang w:eastAsia="zh-CN"/>
        </w:rPr>
        <w:t>灾害防治及应急管理支出</w:t>
      </w:r>
      <w:r>
        <w:rPr>
          <w:rFonts w:hint="eastAsia" w:ascii="仿宋_GB2312" w:eastAsia="仿宋_GB2312"/>
          <w:sz w:val="28"/>
          <w:szCs w:val="28"/>
        </w:rPr>
        <w:t>”(类)2025年度年初预算</w:t>
      </w:r>
      <w:r>
        <w:rPr>
          <w:rFonts w:hint="eastAsia" w:ascii="仿宋_GB2312" w:eastAsia="仿宋_GB2312"/>
          <w:sz w:val="28"/>
          <w:szCs w:val="28"/>
          <w:lang w:val="en-US" w:eastAsia="zh-CN"/>
        </w:rPr>
        <w:t>19,962,015.16</w:t>
      </w:r>
      <w:r>
        <w:rPr>
          <w:rFonts w:hint="eastAsia" w:ascii="仿宋_GB2312" w:eastAsia="仿宋_GB2312"/>
          <w:sz w:val="28"/>
          <w:szCs w:val="28"/>
        </w:rPr>
        <w:t>元，2025年度决算</w:t>
      </w:r>
      <w:r>
        <w:rPr>
          <w:rFonts w:hint="eastAsia" w:ascii="仿宋_GB2312" w:eastAsia="仿宋_GB2312"/>
          <w:sz w:val="28"/>
          <w:szCs w:val="28"/>
          <w:lang w:val="en-US" w:eastAsia="zh-CN"/>
        </w:rPr>
        <w:t>34,496,512.75</w:t>
      </w:r>
      <w:r>
        <w:rPr>
          <w:rFonts w:hint="eastAsia" w:ascii="仿宋_GB2312" w:eastAsia="仿宋_GB2312"/>
          <w:sz w:val="28"/>
          <w:szCs w:val="28"/>
        </w:rPr>
        <w:t>元，完成年初预算的</w:t>
      </w:r>
      <w:r>
        <w:rPr>
          <w:rFonts w:hint="eastAsia" w:ascii="仿宋_GB2312" w:eastAsia="仿宋_GB2312"/>
          <w:sz w:val="28"/>
          <w:szCs w:val="28"/>
          <w:lang w:val="en-US" w:eastAsia="zh-CN"/>
        </w:rPr>
        <w:t>172.8</w:t>
      </w:r>
      <w:r>
        <w:rPr>
          <w:rFonts w:hint="eastAsia" w:ascii="仿宋_GB2312" w:eastAsia="仿宋_GB2312"/>
          <w:sz w:val="28"/>
          <w:szCs w:val="28"/>
        </w:rPr>
        <w:t>%。其中：</w:t>
      </w:r>
    </w:p>
    <w:p>
      <w:pPr>
        <w:spacing w:line="580" w:lineRule="exact"/>
        <w:ind w:firstLine="560" w:firstLineChars="200"/>
        <w:rPr>
          <w:rFonts w:ascii="仿宋_GB2312" w:eastAsia="仿宋_GB2312"/>
          <w:sz w:val="28"/>
          <w:szCs w:val="28"/>
        </w:rPr>
      </w:pPr>
      <w:r>
        <w:rPr>
          <w:rFonts w:hint="eastAsia" w:ascii="仿宋_GB2312" w:eastAsia="仿宋_GB2312"/>
          <w:sz w:val="28"/>
          <w:szCs w:val="28"/>
        </w:rPr>
        <w:t>“</w:t>
      </w:r>
      <w:r>
        <w:rPr>
          <w:rFonts w:hint="eastAsia" w:ascii="仿宋_GB2312" w:eastAsia="仿宋_GB2312"/>
          <w:sz w:val="28"/>
          <w:szCs w:val="28"/>
          <w:lang w:eastAsia="zh-CN"/>
        </w:rPr>
        <w:t>应急管理事务</w:t>
      </w:r>
      <w:r>
        <w:rPr>
          <w:rFonts w:hint="eastAsia" w:ascii="仿宋_GB2312" w:eastAsia="仿宋_GB2312"/>
          <w:sz w:val="28"/>
          <w:szCs w:val="28"/>
        </w:rPr>
        <w:t>”（款）2025年度年初预算</w:t>
      </w:r>
      <w:r>
        <w:rPr>
          <w:rFonts w:hint="eastAsia" w:ascii="仿宋_GB2312" w:eastAsia="仿宋_GB2312"/>
          <w:sz w:val="28"/>
          <w:szCs w:val="28"/>
          <w:lang w:val="en-US" w:eastAsia="zh-CN"/>
        </w:rPr>
        <w:t>19,962,015.16</w:t>
      </w:r>
      <w:r>
        <w:rPr>
          <w:rFonts w:hint="eastAsia" w:ascii="仿宋_GB2312" w:eastAsia="仿宋_GB2312"/>
          <w:sz w:val="28"/>
          <w:szCs w:val="28"/>
        </w:rPr>
        <w:t>元，2025年度决算</w:t>
      </w:r>
      <w:r>
        <w:rPr>
          <w:rFonts w:hint="eastAsia" w:ascii="仿宋_GB2312" w:eastAsia="仿宋_GB2312"/>
          <w:sz w:val="28"/>
          <w:szCs w:val="28"/>
          <w:lang w:val="en-US" w:eastAsia="zh-CN"/>
        </w:rPr>
        <w:t>34,496,512.75</w:t>
      </w:r>
      <w:r>
        <w:rPr>
          <w:rFonts w:hint="eastAsia" w:ascii="仿宋_GB2312" w:eastAsia="仿宋_GB2312"/>
          <w:sz w:val="28"/>
          <w:szCs w:val="28"/>
        </w:rPr>
        <w:t>元，完成年初预算的</w:t>
      </w:r>
      <w:r>
        <w:rPr>
          <w:rFonts w:hint="eastAsia" w:ascii="仿宋_GB2312" w:eastAsia="仿宋_GB2312"/>
          <w:sz w:val="28"/>
          <w:szCs w:val="28"/>
          <w:lang w:val="en-US" w:eastAsia="zh-CN"/>
        </w:rPr>
        <w:t>172.8</w:t>
      </w:r>
      <w:r>
        <w:rPr>
          <w:rFonts w:hint="eastAsia" w:ascii="仿宋_GB2312" w:eastAsia="仿宋_GB2312"/>
          <w:sz w:val="28"/>
          <w:szCs w:val="28"/>
        </w:rPr>
        <w:t>%。主要原因：</w:t>
      </w:r>
      <w:r>
        <w:rPr>
          <w:rFonts w:hint="eastAsia" w:ascii="仿宋_GB2312" w:eastAsia="仿宋_GB2312"/>
          <w:sz w:val="28"/>
          <w:szCs w:val="28"/>
          <w:lang w:eastAsia="zh-CN"/>
        </w:rPr>
        <w:t>追加正常预算</w:t>
      </w:r>
      <w:r>
        <w:rPr>
          <w:rFonts w:hint="eastAsia" w:ascii="仿宋_GB2312" w:eastAsia="仿宋_GB2312"/>
          <w:sz w:val="28"/>
          <w:szCs w:val="28"/>
        </w:rPr>
        <w:t>。</w:t>
      </w:r>
    </w:p>
    <w:p>
      <w:pPr>
        <w:spacing w:line="580" w:lineRule="exact"/>
        <w:ind w:firstLine="560" w:firstLineChars="200"/>
        <w:rPr>
          <w:rFonts w:ascii="仿宋_GB2312" w:eastAsia="仿宋_GB2312"/>
          <w:sz w:val="28"/>
          <w:szCs w:val="28"/>
        </w:rPr>
      </w:pPr>
      <w:r>
        <w:rPr>
          <w:rFonts w:hint="eastAsia" w:ascii="黑体" w:eastAsia="黑体"/>
          <w:b/>
          <w:sz w:val="28"/>
          <w:szCs w:val="28"/>
        </w:rPr>
        <w:t>五、政府性基金预算财政拨款支出决算情况说明</w:t>
      </w:r>
    </w:p>
    <w:p>
      <w:pPr>
        <w:tabs>
          <w:tab w:val="center" w:pos="6979"/>
        </w:tabs>
        <w:spacing w:line="520" w:lineRule="exact"/>
        <w:ind w:firstLine="560" w:firstLineChars="200"/>
        <w:rPr>
          <w:rFonts w:hint="eastAsia" w:ascii="仿宋_GB2312" w:eastAsia="仿宋_GB2312"/>
          <w:sz w:val="28"/>
          <w:szCs w:val="28"/>
          <w:lang w:eastAsia="zh-CN"/>
        </w:rPr>
      </w:pPr>
      <w:r>
        <w:rPr>
          <w:rFonts w:hint="eastAsia" w:ascii="仿宋_GB2312" w:eastAsia="仿宋_GB2312"/>
          <w:sz w:val="28"/>
          <w:szCs w:val="28"/>
        </w:rPr>
        <w:t>本单位无</w:t>
      </w:r>
      <w:r>
        <w:rPr>
          <w:rFonts w:ascii="仿宋_GB2312" w:eastAsia="仿宋_GB2312"/>
          <w:sz w:val="28"/>
          <w:szCs w:val="28"/>
        </w:rPr>
        <w:t>此项经费支出</w:t>
      </w:r>
      <w:r>
        <w:rPr>
          <w:rFonts w:hint="eastAsia" w:ascii="仿宋_GB2312" w:eastAsia="仿宋_GB2312"/>
          <w:sz w:val="28"/>
          <w:szCs w:val="28"/>
          <w:lang w:eastAsia="zh-CN"/>
        </w:rPr>
        <w:t>。</w:t>
      </w:r>
    </w:p>
    <w:p>
      <w:pPr>
        <w:spacing w:line="580" w:lineRule="exact"/>
        <w:ind w:firstLine="560" w:firstLineChars="200"/>
        <w:rPr>
          <w:rFonts w:ascii="黑体" w:eastAsia="黑体"/>
          <w:b/>
          <w:sz w:val="28"/>
          <w:szCs w:val="28"/>
        </w:rPr>
      </w:pPr>
      <w:r>
        <w:rPr>
          <w:rFonts w:hint="eastAsia" w:ascii="黑体" w:eastAsia="黑体"/>
          <w:b/>
          <w:sz w:val="28"/>
          <w:szCs w:val="28"/>
        </w:rPr>
        <w:t>六、国有资本经营预算财</w:t>
      </w:r>
      <w:r>
        <w:rPr>
          <w:rFonts w:ascii="黑体" w:eastAsia="黑体"/>
          <w:b/>
          <w:sz w:val="28"/>
          <w:szCs w:val="28"/>
        </w:rPr>
        <w:t>政拨款</w:t>
      </w:r>
      <w:r>
        <w:rPr>
          <w:rFonts w:hint="eastAsia" w:ascii="黑体" w:eastAsia="黑体"/>
          <w:b/>
          <w:sz w:val="28"/>
          <w:szCs w:val="28"/>
        </w:rPr>
        <w:t>收支情况</w:t>
      </w:r>
    </w:p>
    <w:p>
      <w:pPr>
        <w:ind w:firstLine="537" w:firstLineChars="192"/>
        <w:rPr>
          <w:rFonts w:hint="eastAsia" w:ascii="仿宋_GB2312" w:eastAsia="仿宋_GB2312"/>
          <w:sz w:val="28"/>
          <w:szCs w:val="28"/>
          <w:lang w:eastAsia="zh-CN"/>
        </w:rPr>
      </w:pPr>
      <w:r>
        <w:rPr>
          <w:rFonts w:hint="eastAsia" w:ascii="仿宋_GB2312" w:eastAsia="仿宋_GB2312"/>
          <w:sz w:val="28"/>
          <w:szCs w:val="28"/>
        </w:rPr>
        <w:t>本单位无</w:t>
      </w:r>
      <w:r>
        <w:rPr>
          <w:rFonts w:ascii="仿宋_GB2312" w:eastAsia="仿宋_GB2312"/>
          <w:sz w:val="28"/>
          <w:szCs w:val="28"/>
        </w:rPr>
        <w:t>此项经费支出</w:t>
      </w:r>
      <w:r>
        <w:rPr>
          <w:rFonts w:hint="eastAsia" w:ascii="仿宋_GB2312" w:eastAsia="仿宋_GB2312"/>
          <w:sz w:val="28"/>
          <w:szCs w:val="28"/>
          <w:lang w:eastAsia="zh-CN"/>
        </w:rPr>
        <w:t>。</w:t>
      </w:r>
    </w:p>
    <w:p>
      <w:pPr>
        <w:spacing w:line="580" w:lineRule="exact"/>
        <w:ind w:firstLine="548" w:firstLineChars="196"/>
        <w:rPr>
          <w:rFonts w:ascii="黑体" w:eastAsia="黑体"/>
          <w:sz w:val="28"/>
          <w:szCs w:val="28"/>
        </w:rPr>
      </w:pPr>
      <w:r>
        <w:rPr>
          <w:rFonts w:hint="eastAsia" w:ascii="黑体" w:eastAsia="黑体"/>
          <w:b/>
          <w:sz w:val="28"/>
          <w:szCs w:val="28"/>
        </w:rPr>
        <w:t>七、财政拨款基本支出决算情况说明</w:t>
      </w:r>
    </w:p>
    <w:p>
      <w:pPr>
        <w:tabs>
          <w:tab w:val="center" w:pos="6979"/>
        </w:tabs>
        <w:spacing w:line="580" w:lineRule="exact"/>
        <w:ind w:firstLine="548" w:firstLineChars="196"/>
        <w:rPr>
          <w:rFonts w:ascii="黑体" w:eastAsia="黑体"/>
          <w:b/>
          <w:sz w:val="28"/>
          <w:szCs w:val="28"/>
        </w:rPr>
      </w:pPr>
      <w:r>
        <w:rPr>
          <w:rFonts w:hint="eastAsia" w:ascii="仿宋_GB2312" w:eastAsia="仿宋_GB2312"/>
          <w:sz w:val="28"/>
          <w:szCs w:val="28"/>
        </w:rPr>
        <w:t>2025年度使用一般公共预算财政拨款安排基本支出</w:t>
      </w:r>
      <w:r>
        <w:rPr>
          <w:rFonts w:ascii="仿宋_GB2312" w:eastAsia="仿宋_GB2312"/>
          <w:sz w:val="28"/>
          <w:szCs w:val="28"/>
        </w:rPr>
        <w:t>4</w:t>
      </w:r>
      <w:r>
        <w:rPr>
          <w:rFonts w:hint="eastAsia" w:ascii="仿宋_GB2312" w:eastAsia="仿宋_GB2312"/>
          <w:sz w:val="28"/>
          <w:szCs w:val="28"/>
          <w:lang w:val="en-US" w:eastAsia="zh-CN"/>
        </w:rPr>
        <w:t>,</w:t>
      </w:r>
      <w:r>
        <w:rPr>
          <w:rFonts w:ascii="仿宋_GB2312" w:eastAsia="仿宋_GB2312"/>
          <w:sz w:val="28"/>
          <w:szCs w:val="28"/>
        </w:rPr>
        <w:t>860</w:t>
      </w:r>
      <w:r>
        <w:rPr>
          <w:rFonts w:hint="eastAsia" w:ascii="仿宋_GB2312" w:eastAsia="仿宋_GB2312"/>
          <w:sz w:val="28"/>
          <w:szCs w:val="28"/>
          <w:lang w:val="en-US" w:eastAsia="zh-CN"/>
        </w:rPr>
        <w:t>,</w:t>
      </w:r>
      <w:r>
        <w:rPr>
          <w:rFonts w:ascii="仿宋_GB2312" w:eastAsia="仿宋_GB2312"/>
          <w:sz w:val="28"/>
          <w:szCs w:val="28"/>
        </w:rPr>
        <w:t>983.19</w:t>
      </w:r>
      <w:r>
        <w:rPr>
          <w:rFonts w:hint="eastAsia" w:ascii="仿宋_GB2312" w:eastAsia="仿宋_GB2312"/>
          <w:sz w:val="28"/>
          <w:szCs w:val="28"/>
        </w:rPr>
        <w:t>元，使用政府性基金财政拨款安排基本支出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元，（1）工资福利支出包括基本工资</w:t>
      </w:r>
      <w:r>
        <w:rPr>
          <w:rFonts w:ascii="仿宋_GB2312" w:eastAsia="仿宋_GB2312"/>
          <w:sz w:val="28"/>
          <w:szCs w:val="28"/>
        </w:rPr>
        <w:t>、津贴补贴、奖金、伙食补助费、绩效工资、</w:t>
      </w:r>
      <w:r>
        <w:rPr>
          <w:rFonts w:hint="eastAsia" w:ascii="仿宋_GB2312" w:eastAsia="仿宋_GB2312"/>
          <w:sz w:val="28"/>
          <w:szCs w:val="28"/>
        </w:rPr>
        <w:t>其他</w:t>
      </w:r>
      <w:r>
        <w:rPr>
          <w:rFonts w:ascii="仿宋_GB2312" w:eastAsia="仿宋_GB2312"/>
          <w:sz w:val="28"/>
          <w:szCs w:val="28"/>
        </w:rPr>
        <w:t>社会保障缴费、其他工资福利</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lang w:val="en-US" w:eastAsia="zh-CN"/>
        </w:rPr>
        <w:t>4,657,854.99元</w:t>
      </w:r>
      <w:r>
        <w:rPr>
          <w:rFonts w:hint="eastAsia" w:ascii="仿宋_GB2312" w:eastAsia="仿宋_GB2312"/>
          <w:sz w:val="28"/>
          <w:szCs w:val="28"/>
        </w:rPr>
        <w:t>；（2）商品和服务支出包括</w:t>
      </w:r>
      <w:r>
        <w:rPr>
          <w:rFonts w:ascii="仿宋_GB2312" w:eastAsia="仿宋_GB2312"/>
          <w:sz w:val="28"/>
          <w:szCs w:val="28"/>
        </w:rPr>
        <w:t>办公费、印刷费、手续费、水费、电费、邮电费、取暖费、物业管理费、差旅费、因公出国（境）费、维修（护）费、租赁费、会议费、培训费、公务接待费、专用材料费、劳务费、委托业务费、工会经费、福利费、公务用车运行维护费、其他交通费</w:t>
      </w:r>
      <w:r>
        <w:rPr>
          <w:rFonts w:hint="eastAsia" w:ascii="仿宋_GB2312" w:eastAsia="仿宋_GB2312"/>
          <w:sz w:val="28"/>
          <w:szCs w:val="28"/>
        </w:rPr>
        <w:t>用</w:t>
      </w:r>
      <w:r>
        <w:rPr>
          <w:rFonts w:ascii="仿宋_GB2312" w:eastAsia="仿宋_GB2312"/>
          <w:sz w:val="28"/>
          <w:szCs w:val="28"/>
        </w:rPr>
        <w:t>、其他商品和服务</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lang w:val="en-US" w:eastAsia="zh-CN"/>
        </w:rPr>
        <w:t>126,065.20元</w:t>
      </w:r>
      <w:r>
        <w:rPr>
          <w:rFonts w:hint="eastAsia" w:ascii="仿宋_GB2312" w:eastAsia="仿宋_GB2312"/>
          <w:sz w:val="28"/>
          <w:szCs w:val="28"/>
        </w:rPr>
        <w:t>；（3）对个人和家庭补助支出包括</w:t>
      </w:r>
      <w:r>
        <w:rPr>
          <w:rFonts w:ascii="仿宋_GB2312" w:eastAsia="仿宋_GB2312"/>
          <w:sz w:val="28"/>
          <w:szCs w:val="28"/>
        </w:rPr>
        <w:t>离休费、退休费、抚恤金、生活补助、</w:t>
      </w:r>
      <w:r>
        <w:rPr>
          <w:rFonts w:hint="eastAsia" w:ascii="仿宋_GB2312" w:eastAsia="仿宋_GB2312"/>
          <w:sz w:val="28"/>
          <w:szCs w:val="28"/>
        </w:rPr>
        <w:t>救济费</w:t>
      </w:r>
      <w:r>
        <w:rPr>
          <w:rFonts w:ascii="仿宋_GB2312" w:eastAsia="仿宋_GB2312"/>
          <w:sz w:val="28"/>
          <w:szCs w:val="28"/>
        </w:rPr>
        <w:t>、医疗费</w:t>
      </w:r>
      <w:r>
        <w:rPr>
          <w:rFonts w:hint="eastAsia" w:ascii="仿宋_GB2312" w:eastAsia="仿宋_GB2312"/>
          <w:sz w:val="28"/>
          <w:szCs w:val="28"/>
        </w:rPr>
        <w:t>补助</w:t>
      </w:r>
      <w:r>
        <w:rPr>
          <w:rFonts w:ascii="仿宋_GB2312" w:eastAsia="仿宋_GB2312"/>
          <w:sz w:val="28"/>
          <w:szCs w:val="28"/>
        </w:rPr>
        <w:t>、助学金、奖励金</w:t>
      </w:r>
      <w:r>
        <w:rPr>
          <w:rFonts w:hint="eastAsia" w:ascii="仿宋_GB2312" w:eastAsia="仿宋_GB2312"/>
          <w:sz w:val="28"/>
          <w:szCs w:val="28"/>
        </w:rPr>
        <w:t>、</w:t>
      </w:r>
      <w:r>
        <w:rPr>
          <w:rFonts w:ascii="仿宋_GB2312" w:eastAsia="仿宋_GB2312"/>
          <w:sz w:val="28"/>
          <w:szCs w:val="28"/>
        </w:rPr>
        <w:t>其他对个人和家庭的补助</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lang w:val="en-US" w:eastAsia="zh-CN"/>
        </w:rPr>
        <w:t>77,063.00元</w:t>
      </w:r>
      <w:r>
        <w:rPr>
          <w:rFonts w:hint="eastAsia" w:ascii="仿宋_GB2312" w:eastAsia="仿宋_GB2312"/>
          <w:sz w:val="28"/>
          <w:szCs w:val="28"/>
        </w:rPr>
        <w:t>。（4）其他资本性支出包括</w:t>
      </w:r>
      <w:r>
        <w:rPr>
          <w:rFonts w:ascii="仿宋_GB2312" w:eastAsia="仿宋_GB2312"/>
          <w:sz w:val="28"/>
          <w:szCs w:val="28"/>
        </w:rPr>
        <w:t>办公设备购置、专用设备购置</w:t>
      </w:r>
      <w:r>
        <w:rPr>
          <w:rFonts w:hint="eastAsia" w:ascii="仿宋_GB2312" w:eastAsia="仿宋_GB2312"/>
          <w:sz w:val="28"/>
          <w:szCs w:val="28"/>
        </w:rPr>
        <w:t>等</w:t>
      </w:r>
      <w:r>
        <w:rPr>
          <w:rFonts w:hint="eastAsia" w:ascii="仿宋_GB2312" w:eastAsia="仿宋_GB2312"/>
          <w:sz w:val="28"/>
          <w:szCs w:val="28"/>
          <w:lang w:eastAsia="zh-CN"/>
        </w:rPr>
        <w:t>支出</w:t>
      </w:r>
      <w:r>
        <w:rPr>
          <w:rFonts w:hint="eastAsia" w:ascii="仿宋_GB2312" w:eastAsia="仿宋_GB2312"/>
          <w:sz w:val="28"/>
          <w:szCs w:val="28"/>
          <w:lang w:val="en-US" w:eastAsia="zh-CN"/>
        </w:rPr>
        <w:t>0.00元</w:t>
      </w:r>
      <w:r>
        <w:rPr>
          <w:rFonts w:ascii="仿宋_GB2312" w:eastAsia="仿宋_GB2312"/>
          <w:sz w:val="28"/>
          <w:szCs w:val="28"/>
        </w:rPr>
        <w:t>。</w:t>
      </w:r>
    </w:p>
    <w:p>
      <w:pPr>
        <w:autoSpaceDE w:val="0"/>
        <w:autoSpaceDN w:val="0"/>
        <w:adjustRightInd w:val="0"/>
        <w:spacing w:line="580" w:lineRule="exact"/>
        <w:rPr>
          <w:rFonts w:ascii="宋体" w:hAnsi="宋体"/>
          <w:b/>
          <w:spacing w:val="40"/>
          <w:sz w:val="32"/>
          <w:szCs w:val="32"/>
        </w:rPr>
      </w:pPr>
      <w:r>
        <w:rPr>
          <w:rFonts w:ascii="仿宋_GB2312" w:eastAsia="仿宋_GB2312"/>
          <w:b/>
          <w:sz w:val="32"/>
          <w:szCs w:val="32"/>
        </w:rPr>
        <w:tab/>
      </w:r>
    </w:p>
    <w:p>
      <w:pPr>
        <w:tabs>
          <w:tab w:val="center" w:pos="6979"/>
        </w:tabs>
        <w:jc w:val="center"/>
        <w:rPr>
          <w:rFonts w:ascii="宋体" w:hAnsi="宋体" w:cs="宋体"/>
          <w:b/>
          <w:spacing w:val="40"/>
          <w:kern w:val="0"/>
          <w:sz w:val="32"/>
          <w:szCs w:val="32"/>
        </w:rPr>
      </w:pPr>
      <w:r>
        <w:rPr>
          <w:rFonts w:hint="eastAsia" w:ascii="宋体" w:hAnsi="宋体" w:cs="宋体"/>
          <w:b/>
          <w:bCs/>
          <w:spacing w:val="40"/>
          <w:kern w:val="0"/>
          <w:sz w:val="32"/>
          <w:szCs w:val="32"/>
        </w:rPr>
        <w:t>第三部分</w:t>
      </w:r>
      <w:r>
        <w:rPr>
          <w:rFonts w:hint="eastAsia" w:ascii="宋体" w:hAnsi="宋体"/>
          <w:b/>
          <w:spacing w:val="40"/>
          <w:sz w:val="32"/>
          <w:szCs w:val="32"/>
        </w:rPr>
        <w:t>2025年度</w:t>
      </w:r>
      <w:r>
        <w:rPr>
          <w:rFonts w:hint="eastAsia" w:ascii="宋体" w:hAnsi="宋体" w:cs="宋体"/>
          <w:b/>
          <w:spacing w:val="40"/>
          <w:kern w:val="0"/>
          <w:sz w:val="32"/>
          <w:szCs w:val="32"/>
        </w:rPr>
        <w:t>其他重要事项的情况说明</w:t>
      </w:r>
    </w:p>
    <w:p>
      <w:pPr>
        <w:spacing w:line="560" w:lineRule="exact"/>
        <w:ind w:firstLine="560" w:firstLineChars="200"/>
        <w:rPr>
          <w:rFonts w:ascii="黑体" w:eastAsia="黑体"/>
          <w:sz w:val="28"/>
          <w:szCs w:val="28"/>
        </w:rPr>
      </w:pPr>
      <w:r>
        <w:rPr>
          <w:rFonts w:hint="eastAsia" w:ascii="黑体" w:eastAsia="黑体"/>
          <w:sz w:val="28"/>
          <w:szCs w:val="28"/>
        </w:rPr>
        <w:t>一、“三公”经费财政拨款决算情况</w:t>
      </w:r>
    </w:p>
    <w:p>
      <w:pPr>
        <w:spacing w:line="560" w:lineRule="exact"/>
        <w:ind w:firstLine="600"/>
        <w:rPr>
          <w:rFonts w:ascii="仿宋_GB2312" w:eastAsia="仿宋_GB2312"/>
          <w:sz w:val="28"/>
          <w:szCs w:val="28"/>
        </w:rPr>
      </w:pPr>
      <w:r>
        <w:rPr>
          <w:rFonts w:hint="eastAsia" w:ascii="仿宋_GB2312" w:eastAsia="仿宋_GB2312"/>
          <w:sz w:val="28"/>
          <w:szCs w:val="28"/>
        </w:rPr>
        <w:t>2025年度“三公”经费财政拨款决算数</w:t>
      </w:r>
      <w:r>
        <w:rPr>
          <w:rFonts w:ascii="仿宋_GB2312" w:eastAsia="仿宋_GB2312"/>
          <w:sz w:val="28"/>
          <w:szCs w:val="28"/>
        </w:rPr>
        <w:t>59</w:t>
      </w:r>
      <w:r>
        <w:rPr>
          <w:rFonts w:hint="eastAsia" w:ascii="仿宋_GB2312" w:eastAsia="仿宋_GB2312"/>
          <w:sz w:val="28"/>
          <w:szCs w:val="28"/>
          <w:lang w:val="en-US" w:eastAsia="zh-CN"/>
        </w:rPr>
        <w:t>,</w:t>
      </w:r>
      <w:r>
        <w:rPr>
          <w:rFonts w:ascii="仿宋_GB2312" w:eastAsia="仿宋_GB2312"/>
          <w:sz w:val="28"/>
          <w:szCs w:val="28"/>
        </w:rPr>
        <w:t>102.83</w:t>
      </w:r>
      <w:r>
        <w:rPr>
          <w:rFonts w:hint="eastAsia" w:ascii="仿宋_GB2312" w:eastAsia="仿宋_GB2312"/>
          <w:sz w:val="28"/>
          <w:szCs w:val="28"/>
        </w:rPr>
        <w:t>元，比2025年度“三公”经费财政拨款年初预算</w:t>
      </w:r>
      <w:r>
        <w:rPr>
          <w:rFonts w:ascii="仿宋_GB2312" w:eastAsia="仿宋_GB2312"/>
          <w:sz w:val="28"/>
          <w:szCs w:val="28"/>
        </w:rPr>
        <w:t>54</w:t>
      </w:r>
      <w:r>
        <w:rPr>
          <w:rFonts w:hint="eastAsia" w:ascii="仿宋_GB2312" w:eastAsia="仿宋_GB2312"/>
          <w:sz w:val="28"/>
          <w:szCs w:val="28"/>
          <w:lang w:val="en-US" w:eastAsia="zh-CN"/>
        </w:rPr>
        <w:t>,</w:t>
      </w:r>
      <w:r>
        <w:rPr>
          <w:rFonts w:ascii="仿宋_GB2312" w:eastAsia="仿宋_GB2312"/>
          <w:sz w:val="28"/>
          <w:szCs w:val="28"/>
        </w:rPr>
        <w:t>406</w:t>
      </w:r>
      <w:r>
        <w:rPr>
          <w:rFonts w:hint="eastAsia" w:ascii="仿宋_GB2312" w:eastAsia="仿宋_GB2312"/>
          <w:sz w:val="28"/>
          <w:szCs w:val="28"/>
          <w:lang w:val="en-US" w:eastAsia="zh-CN"/>
        </w:rPr>
        <w:t>.00</w:t>
      </w:r>
      <w:r>
        <w:rPr>
          <w:rFonts w:hint="eastAsia" w:ascii="仿宋_GB2312" w:eastAsia="仿宋_GB2312"/>
          <w:sz w:val="28"/>
          <w:szCs w:val="28"/>
        </w:rPr>
        <w:t>元增加</w:t>
      </w:r>
      <w:r>
        <w:rPr>
          <w:rFonts w:ascii="仿宋_GB2312" w:eastAsia="仿宋_GB2312"/>
          <w:sz w:val="28"/>
          <w:szCs w:val="28"/>
        </w:rPr>
        <w:t>4</w:t>
      </w:r>
      <w:r>
        <w:rPr>
          <w:rFonts w:hint="eastAsia" w:ascii="仿宋_GB2312" w:eastAsia="仿宋_GB2312"/>
          <w:sz w:val="28"/>
          <w:szCs w:val="28"/>
          <w:lang w:val="en-US" w:eastAsia="zh-CN"/>
        </w:rPr>
        <w:t>,</w:t>
      </w:r>
      <w:r>
        <w:rPr>
          <w:rFonts w:ascii="仿宋_GB2312" w:eastAsia="仿宋_GB2312"/>
          <w:sz w:val="28"/>
          <w:szCs w:val="28"/>
        </w:rPr>
        <w:t>696.83</w:t>
      </w:r>
      <w:r>
        <w:rPr>
          <w:rFonts w:hint="eastAsia" w:ascii="仿宋_GB2312" w:eastAsia="仿宋_GB2312"/>
          <w:sz w:val="28"/>
          <w:szCs w:val="28"/>
        </w:rPr>
        <w:t>元。其中：</w:t>
      </w:r>
    </w:p>
    <w:p>
      <w:pPr>
        <w:spacing w:line="520" w:lineRule="exact"/>
        <w:ind w:firstLine="478" w:firstLineChars="171"/>
        <w:rPr>
          <w:rFonts w:ascii="仿宋_GB2312" w:eastAsia="仿宋_GB2312"/>
          <w:sz w:val="28"/>
          <w:szCs w:val="28"/>
        </w:rPr>
      </w:pPr>
      <w:r>
        <w:rPr>
          <w:rFonts w:hint="eastAsia" w:ascii="仿宋_GB2312" w:eastAsia="仿宋_GB2312"/>
          <w:sz w:val="28"/>
          <w:szCs w:val="28"/>
        </w:rPr>
        <w:t>1.因公出国（境）费用。2025年度决算数</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元，比2025年度年初预算数</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元增加（减少）</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元。主要原因：</w:t>
      </w:r>
      <w:r>
        <w:rPr>
          <w:rFonts w:hint="eastAsia" w:ascii="仿宋_GB2312" w:eastAsia="仿宋_GB2312"/>
          <w:color w:val="000000"/>
          <w:sz w:val="28"/>
          <w:szCs w:val="28"/>
        </w:rPr>
        <w:t>本年度无此项支出</w:t>
      </w:r>
      <w:r>
        <w:rPr>
          <w:rFonts w:hint="eastAsia" w:ascii="仿宋_GB2312" w:eastAsia="仿宋_GB2312"/>
          <w:color w:val="000000"/>
          <w:sz w:val="28"/>
          <w:szCs w:val="28"/>
          <w:lang w:eastAsia="zh-CN"/>
        </w:rPr>
        <w:t>。</w:t>
      </w:r>
    </w:p>
    <w:p>
      <w:pPr>
        <w:spacing w:line="560" w:lineRule="exact"/>
        <w:ind w:firstLine="600"/>
        <w:rPr>
          <w:rFonts w:ascii="仿宋_GB2312" w:eastAsia="仿宋_GB2312"/>
          <w:sz w:val="28"/>
          <w:szCs w:val="28"/>
        </w:rPr>
      </w:pPr>
      <w:r>
        <w:rPr>
          <w:rFonts w:hint="eastAsia" w:ascii="仿宋_GB2312" w:eastAsia="仿宋_GB2312"/>
          <w:sz w:val="28"/>
          <w:szCs w:val="28"/>
        </w:rPr>
        <w:t>2.公务接待费。2025年度决算数</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元，比2025年度年初预算数</w:t>
      </w:r>
      <w:r>
        <w:rPr>
          <w:rFonts w:ascii="仿宋_GB2312" w:eastAsia="仿宋_GB2312"/>
          <w:sz w:val="28"/>
          <w:szCs w:val="28"/>
        </w:rPr>
        <w:t>406</w:t>
      </w:r>
      <w:r>
        <w:rPr>
          <w:rFonts w:hint="eastAsia" w:ascii="仿宋_GB2312" w:eastAsia="仿宋_GB2312"/>
          <w:sz w:val="28"/>
          <w:szCs w:val="28"/>
          <w:lang w:val="en-US" w:eastAsia="zh-CN"/>
        </w:rPr>
        <w:t>.00</w:t>
      </w:r>
      <w:r>
        <w:rPr>
          <w:rFonts w:hint="eastAsia" w:ascii="仿宋_GB2312" w:eastAsia="仿宋_GB2312"/>
          <w:sz w:val="28"/>
          <w:szCs w:val="28"/>
        </w:rPr>
        <w:t>元减少</w:t>
      </w:r>
      <w:r>
        <w:rPr>
          <w:rFonts w:ascii="仿宋_GB2312" w:eastAsia="仿宋_GB2312"/>
          <w:sz w:val="28"/>
          <w:szCs w:val="28"/>
        </w:rPr>
        <w:t>406</w:t>
      </w:r>
      <w:r>
        <w:rPr>
          <w:rFonts w:hint="eastAsia" w:ascii="仿宋_GB2312" w:eastAsia="仿宋_GB2312"/>
          <w:sz w:val="28"/>
          <w:szCs w:val="28"/>
          <w:lang w:val="en-US" w:eastAsia="zh-CN"/>
        </w:rPr>
        <w:t>.00</w:t>
      </w:r>
      <w:r>
        <w:rPr>
          <w:rFonts w:hint="eastAsia" w:ascii="仿宋_GB2312" w:eastAsia="仿宋_GB2312"/>
          <w:sz w:val="28"/>
          <w:szCs w:val="28"/>
        </w:rPr>
        <w:t>元。主要原因：</w:t>
      </w:r>
      <w:r>
        <w:rPr>
          <w:rFonts w:hint="eastAsia" w:ascii="仿宋_GB2312" w:eastAsia="仿宋_GB2312"/>
          <w:color w:val="000000"/>
          <w:sz w:val="28"/>
          <w:szCs w:val="28"/>
        </w:rPr>
        <w:t>本年度无此项支出</w:t>
      </w:r>
      <w:r>
        <w:rPr>
          <w:rFonts w:hint="eastAsia" w:ascii="仿宋_GB2312" w:eastAsia="仿宋_GB2312"/>
          <w:sz w:val="28"/>
          <w:szCs w:val="28"/>
        </w:rPr>
        <w:t>。</w:t>
      </w:r>
    </w:p>
    <w:p>
      <w:pPr>
        <w:spacing w:line="560" w:lineRule="exact"/>
        <w:ind w:firstLine="560" w:firstLineChars="200"/>
        <w:rPr>
          <w:rFonts w:ascii="仿宋_GB2312" w:eastAsia="仿宋_GB2312"/>
          <w:sz w:val="28"/>
          <w:szCs w:val="28"/>
        </w:rPr>
      </w:pPr>
      <w:r>
        <w:rPr>
          <w:rFonts w:hint="eastAsia" w:ascii="仿宋_GB2312" w:eastAsia="仿宋_GB2312"/>
          <w:sz w:val="28"/>
          <w:szCs w:val="28"/>
        </w:rPr>
        <w:t>3.公务用车购置及运行维护费。2025年度决算数</w:t>
      </w:r>
      <w:r>
        <w:rPr>
          <w:rFonts w:ascii="仿宋_GB2312" w:eastAsia="仿宋_GB2312"/>
          <w:sz w:val="28"/>
          <w:szCs w:val="28"/>
        </w:rPr>
        <w:t>59</w:t>
      </w:r>
      <w:r>
        <w:rPr>
          <w:rFonts w:hint="eastAsia" w:ascii="仿宋_GB2312" w:eastAsia="仿宋_GB2312"/>
          <w:sz w:val="28"/>
          <w:szCs w:val="28"/>
          <w:lang w:val="en-US" w:eastAsia="zh-CN"/>
        </w:rPr>
        <w:t>,</w:t>
      </w:r>
      <w:r>
        <w:rPr>
          <w:rFonts w:ascii="仿宋_GB2312" w:eastAsia="仿宋_GB2312"/>
          <w:sz w:val="28"/>
          <w:szCs w:val="28"/>
        </w:rPr>
        <w:t>102.83</w:t>
      </w:r>
      <w:r>
        <w:rPr>
          <w:rFonts w:hint="eastAsia" w:ascii="仿宋_GB2312" w:eastAsia="仿宋_GB2312"/>
          <w:sz w:val="28"/>
          <w:szCs w:val="28"/>
        </w:rPr>
        <w:t>元，比2025年度年初预算数</w:t>
      </w:r>
      <w:r>
        <w:rPr>
          <w:rFonts w:ascii="仿宋_GB2312" w:eastAsia="仿宋_GB2312"/>
          <w:sz w:val="28"/>
          <w:szCs w:val="28"/>
        </w:rPr>
        <w:t>54</w:t>
      </w:r>
      <w:r>
        <w:rPr>
          <w:rFonts w:hint="eastAsia" w:ascii="仿宋_GB2312" w:eastAsia="仿宋_GB2312"/>
          <w:sz w:val="28"/>
          <w:szCs w:val="28"/>
          <w:lang w:val="en-US" w:eastAsia="zh-CN"/>
        </w:rPr>
        <w:t>,</w:t>
      </w:r>
      <w:r>
        <w:rPr>
          <w:rFonts w:ascii="仿宋_GB2312" w:eastAsia="仿宋_GB2312"/>
          <w:sz w:val="28"/>
          <w:szCs w:val="28"/>
        </w:rPr>
        <w:t>000</w:t>
      </w:r>
      <w:r>
        <w:rPr>
          <w:rFonts w:hint="eastAsia" w:ascii="仿宋_GB2312" w:eastAsia="仿宋_GB2312"/>
          <w:sz w:val="28"/>
          <w:szCs w:val="28"/>
          <w:lang w:val="en-US" w:eastAsia="zh-CN"/>
        </w:rPr>
        <w:t>.00</w:t>
      </w:r>
      <w:r>
        <w:rPr>
          <w:rFonts w:hint="eastAsia" w:ascii="仿宋_GB2312" w:eastAsia="仿宋_GB2312"/>
          <w:sz w:val="28"/>
          <w:szCs w:val="28"/>
        </w:rPr>
        <w:t>元增加</w:t>
      </w:r>
      <w:r>
        <w:rPr>
          <w:rFonts w:ascii="仿宋_GB2312" w:eastAsia="仿宋_GB2312"/>
          <w:sz w:val="28"/>
          <w:szCs w:val="28"/>
        </w:rPr>
        <w:t>5</w:t>
      </w:r>
      <w:r>
        <w:rPr>
          <w:rFonts w:hint="eastAsia" w:ascii="仿宋_GB2312" w:eastAsia="仿宋_GB2312"/>
          <w:sz w:val="28"/>
          <w:szCs w:val="28"/>
          <w:lang w:val="en-US" w:eastAsia="zh-CN"/>
        </w:rPr>
        <w:t>,</w:t>
      </w:r>
      <w:r>
        <w:rPr>
          <w:rFonts w:ascii="仿宋_GB2312" w:eastAsia="仿宋_GB2312"/>
          <w:sz w:val="28"/>
          <w:szCs w:val="28"/>
        </w:rPr>
        <w:t>102.83</w:t>
      </w:r>
      <w:r>
        <w:rPr>
          <w:rFonts w:hint="eastAsia" w:ascii="仿宋_GB2312" w:eastAsia="仿宋_GB2312"/>
          <w:sz w:val="28"/>
          <w:szCs w:val="28"/>
        </w:rPr>
        <w:t>元。其中，公务用车购置费2025年度决算数0</w:t>
      </w:r>
      <w:r>
        <w:rPr>
          <w:rFonts w:hint="eastAsia" w:ascii="仿宋_GB2312" w:eastAsia="仿宋_GB2312"/>
          <w:sz w:val="28"/>
          <w:szCs w:val="28"/>
          <w:lang w:val="en-US" w:eastAsia="zh-CN"/>
        </w:rPr>
        <w:t>.00</w:t>
      </w:r>
      <w:r>
        <w:rPr>
          <w:rFonts w:hint="eastAsia" w:ascii="仿宋_GB2312" w:eastAsia="仿宋_GB2312"/>
          <w:sz w:val="28"/>
          <w:szCs w:val="28"/>
        </w:rPr>
        <w:t>元，主要原因：</w:t>
      </w:r>
      <w:r>
        <w:rPr>
          <w:rFonts w:hint="eastAsia" w:ascii="仿宋_GB2312" w:eastAsia="仿宋_GB2312"/>
          <w:color w:val="000000"/>
          <w:sz w:val="28"/>
          <w:szCs w:val="28"/>
        </w:rPr>
        <w:t>本年度无此项支出</w:t>
      </w:r>
      <w:r>
        <w:rPr>
          <w:rFonts w:hint="eastAsia" w:ascii="仿宋_GB2312" w:eastAsia="仿宋_GB2312"/>
          <w:sz w:val="28"/>
          <w:szCs w:val="28"/>
        </w:rPr>
        <w:t>。公务用车运行维护费2025年度决算数59</w:t>
      </w:r>
      <w:r>
        <w:rPr>
          <w:rFonts w:hint="eastAsia" w:ascii="仿宋_GB2312" w:eastAsia="仿宋_GB2312"/>
          <w:sz w:val="28"/>
          <w:szCs w:val="28"/>
          <w:lang w:val="en-US" w:eastAsia="zh-CN"/>
        </w:rPr>
        <w:t>,</w:t>
      </w:r>
      <w:r>
        <w:rPr>
          <w:rFonts w:hint="eastAsia" w:ascii="仿宋_GB2312" w:eastAsia="仿宋_GB2312"/>
          <w:sz w:val="28"/>
          <w:szCs w:val="28"/>
        </w:rPr>
        <w:t>102.83元，主要原因：</w:t>
      </w:r>
      <w:r>
        <w:rPr>
          <w:rFonts w:hint="eastAsia" w:ascii="仿宋_GB2312" w:eastAsia="仿宋_GB2312"/>
          <w:sz w:val="28"/>
          <w:szCs w:val="28"/>
          <w:lang w:eastAsia="zh-CN"/>
        </w:rPr>
        <w:t>因年度防汛工作需要，追加预算</w:t>
      </w:r>
      <w:r>
        <w:rPr>
          <w:rFonts w:hint="eastAsia" w:ascii="仿宋_GB2312" w:eastAsia="仿宋_GB2312"/>
          <w:sz w:val="28"/>
          <w:szCs w:val="28"/>
        </w:rPr>
        <w:t>。2025年度公务用车保有量</w:t>
      </w:r>
      <w:r>
        <w:rPr>
          <w:rFonts w:ascii="仿宋_GB2312" w:eastAsia="仿宋_GB2312"/>
          <w:sz w:val="28"/>
          <w:szCs w:val="28"/>
        </w:rPr>
        <w:t>3</w:t>
      </w:r>
      <w:r>
        <w:rPr>
          <w:rFonts w:hint="eastAsia" w:ascii="仿宋_GB2312" w:eastAsia="仿宋_GB2312"/>
          <w:sz w:val="28"/>
          <w:szCs w:val="28"/>
        </w:rPr>
        <w:t>辆。</w:t>
      </w:r>
    </w:p>
    <w:p>
      <w:pPr>
        <w:tabs>
          <w:tab w:val="center" w:pos="6979"/>
        </w:tabs>
        <w:ind w:firstLine="554" w:firstLineChars="198"/>
        <w:rPr>
          <w:rFonts w:ascii="黑体" w:eastAsia="黑体"/>
          <w:sz w:val="28"/>
          <w:szCs w:val="28"/>
        </w:rPr>
      </w:pPr>
      <w:r>
        <w:rPr>
          <w:rFonts w:hint="eastAsia" w:ascii="黑体" w:eastAsia="黑体"/>
          <w:sz w:val="28"/>
          <w:szCs w:val="28"/>
        </w:rPr>
        <w:t>二、机关运行经费支出情况</w:t>
      </w:r>
    </w:p>
    <w:p>
      <w:pPr>
        <w:tabs>
          <w:tab w:val="center" w:pos="6979"/>
        </w:tabs>
        <w:spacing w:line="520" w:lineRule="exact"/>
        <w:ind w:firstLine="560" w:firstLineChars="200"/>
        <w:rPr>
          <w:rFonts w:ascii="仿宋_GB2312" w:eastAsia="仿宋_GB2312"/>
          <w:sz w:val="28"/>
          <w:szCs w:val="28"/>
        </w:rPr>
      </w:pPr>
      <w:r>
        <w:rPr>
          <w:rFonts w:hint="eastAsia" w:ascii="仿宋_GB2312" w:eastAsia="仿宋_GB2312"/>
          <w:sz w:val="28"/>
          <w:szCs w:val="28"/>
        </w:rPr>
        <w:t>本单位不属于机关运行经费统计范围</w:t>
      </w:r>
      <w:r>
        <w:rPr>
          <w:rFonts w:hint="eastAsia" w:ascii="仿宋_GB2312" w:eastAsia="仿宋_GB2312"/>
          <w:sz w:val="28"/>
          <w:szCs w:val="28"/>
          <w:lang w:eastAsia="zh-CN"/>
        </w:rPr>
        <w:t>。</w:t>
      </w:r>
    </w:p>
    <w:p>
      <w:pPr>
        <w:ind w:left="540"/>
        <w:rPr>
          <w:rFonts w:ascii="黑体" w:eastAsia="黑体"/>
          <w:sz w:val="28"/>
          <w:szCs w:val="28"/>
        </w:rPr>
      </w:pPr>
      <w:r>
        <w:rPr>
          <w:rFonts w:hint="eastAsia" w:ascii="黑体" w:eastAsia="黑体"/>
          <w:sz w:val="28"/>
          <w:szCs w:val="28"/>
        </w:rPr>
        <w:t>三、政府采购支出情况</w:t>
      </w:r>
    </w:p>
    <w:p>
      <w:pPr>
        <w:ind w:firstLine="537" w:firstLineChars="192"/>
        <w:rPr>
          <w:rFonts w:ascii="仿宋_GB2312" w:eastAsia="仿宋_GB2312"/>
          <w:sz w:val="28"/>
          <w:szCs w:val="28"/>
        </w:rPr>
      </w:pPr>
      <w:r>
        <w:rPr>
          <w:rFonts w:hint="eastAsia" w:ascii="仿宋_GB2312" w:eastAsia="仿宋_GB2312"/>
          <w:sz w:val="28"/>
          <w:szCs w:val="28"/>
        </w:rPr>
        <w:t>2025年度政府采购支出总额</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559</w:t>
      </w:r>
      <w:r>
        <w:rPr>
          <w:rFonts w:hint="eastAsia" w:ascii="仿宋_GB2312" w:eastAsia="仿宋_GB2312"/>
          <w:sz w:val="28"/>
          <w:szCs w:val="28"/>
          <w:lang w:val="en-US" w:eastAsia="zh-CN"/>
        </w:rPr>
        <w:t>,</w:t>
      </w:r>
      <w:r>
        <w:rPr>
          <w:rFonts w:ascii="仿宋_GB2312" w:eastAsia="仿宋_GB2312"/>
          <w:sz w:val="28"/>
          <w:szCs w:val="28"/>
        </w:rPr>
        <w:t>407.96</w:t>
      </w:r>
      <w:r>
        <w:rPr>
          <w:rFonts w:hint="eastAsia" w:ascii="仿宋_GB2312" w:eastAsia="仿宋_GB2312"/>
          <w:sz w:val="28"/>
          <w:szCs w:val="28"/>
        </w:rPr>
        <w:t>元，其中：政府采购货物支出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元，政府采购工程支出</w:t>
      </w:r>
      <w:r>
        <w:rPr>
          <w:rFonts w:ascii="仿宋_GB2312" w:eastAsia="仿宋_GB2312"/>
          <w:sz w:val="28"/>
          <w:szCs w:val="28"/>
        </w:rPr>
        <w:t>0</w:t>
      </w:r>
      <w:r>
        <w:rPr>
          <w:rFonts w:hint="eastAsia" w:ascii="仿宋_GB2312" w:eastAsia="仿宋_GB2312"/>
          <w:sz w:val="28"/>
          <w:szCs w:val="28"/>
          <w:lang w:val="en-US" w:eastAsia="zh-CN"/>
        </w:rPr>
        <w:t>.00</w:t>
      </w:r>
      <w:r>
        <w:rPr>
          <w:rFonts w:hint="eastAsia" w:ascii="仿宋_GB2312" w:eastAsia="仿宋_GB2312"/>
          <w:sz w:val="28"/>
          <w:szCs w:val="28"/>
        </w:rPr>
        <w:t>元，政府采购服务支出</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559</w:t>
      </w:r>
      <w:r>
        <w:rPr>
          <w:rFonts w:hint="eastAsia" w:ascii="仿宋_GB2312" w:eastAsia="仿宋_GB2312"/>
          <w:sz w:val="28"/>
          <w:szCs w:val="28"/>
          <w:lang w:val="en-US" w:eastAsia="zh-CN"/>
        </w:rPr>
        <w:t>,</w:t>
      </w:r>
      <w:r>
        <w:rPr>
          <w:rFonts w:ascii="仿宋_GB2312" w:eastAsia="仿宋_GB2312"/>
          <w:sz w:val="28"/>
          <w:szCs w:val="28"/>
        </w:rPr>
        <w:t>407.96</w:t>
      </w:r>
      <w:r>
        <w:rPr>
          <w:rFonts w:hint="eastAsia" w:ascii="仿宋_GB2312" w:eastAsia="仿宋_GB2312"/>
          <w:sz w:val="28"/>
          <w:szCs w:val="28"/>
        </w:rPr>
        <w:t>元。授予中小企业合同金额</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556</w:t>
      </w:r>
      <w:r>
        <w:rPr>
          <w:rFonts w:hint="eastAsia" w:ascii="仿宋_GB2312" w:eastAsia="仿宋_GB2312"/>
          <w:sz w:val="28"/>
          <w:szCs w:val="28"/>
          <w:lang w:val="en-US" w:eastAsia="zh-CN"/>
        </w:rPr>
        <w:t>,</w:t>
      </w:r>
      <w:r>
        <w:rPr>
          <w:rFonts w:ascii="仿宋_GB2312" w:eastAsia="仿宋_GB2312"/>
          <w:sz w:val="28"/>
          <w:szCs w:val="28"/>
        </w:rPr>
        <w:t>510</w:t>
      </w:r>
      <w:r>
        <w:rPr>
          <w:rFonts w:hint="eastAsia" w:ascii="仿宋_GB2312" w:eastAsia="仿宋_GB2312"/>
          <w:sz w:val="28"/>
          <w:szCs w:val="28"/>
          <w:lang w:val="en-US" w:eastAsia="zh-CN"/>
        </w:rPr>
        <w:t>.00</w:t>
      </w:r>
      <w:r>
        <w:rPr>
          <w:rFonts w:hint="eastAsia" w:ascii="仿宋_GB2312" w:eastAsia="仿宋_GB2312"/>
          <w:sz w:val="28"/>
          <w:szCs w:val="28"/>
        </w:rPr>
        <w:t>元，占政府采购支出总额的99.9%，其中：授予小微企业合同金额</w:t>
      </w:r>
      <w:r>
        <w:rPr>
          <w:rFonts w:ascii="仿宋_GB2312" w:eastAsia="仿宋_GB2312"/>
          <w:sz w:val="28"/>
          <w:szCs w:val="28"/>
        </w:rPr>
        <w:t>3</w:t>
      </w:r>
      <w:r>
        <w:rPr>
          <w:rFonts w:hint="eastAsia" w:ascii="仿宋_GB2312" w:eastAsia="仿宋_GB2312"/>
          <w:sz w:val="28"/>
          <w:szCs w:val="28"/>
          <w:lang w:val="en-US" w:eastAsia="zh-CN"/>
        </w:rPr>
        <w:t>,</w:t>
      </w:r>
      <w:r>
        <w:rPr>
          <w:rFonts w:ascii="仿宋_GB2312" w:eastAsia="仿宋_GB2312"/>
          <w:sz w:val="28"/>
          <w:szCs w:val="28"/>
        </w:rPr>
        <w:t>556</w:t>
      </w:r>
      <w:r>
        <w:rPr>
          <w:rFonts w:hint="eastAsia" w:ascii="仿宋_GB2312" w:eastAsia="仿宋_GB2312"/>
          <w:sz w:val="28"/>
          <w:szCs w:val="28"/>
          <w:lang w:val="en-US" w:eastAsia="zh-CN"/>
        </w:rPr>
        <w:t>,</w:t>
      </w:r>
      <w:r>
        <w:rPr>
          <w:rFonts w:ascii="仿宋_GB2312" w:eastAsia="仿宋_GB2312"/>
          <w:sz w:val="28"/>
          <w:szCs w:val="28"/>
        </w:rPr>
        <w:t>510</w:t>
      </w:r>
      <w:r>
        <w:rPr>
          <w:rFonts w:hint="eastAsia" w:ascii="仿宋_GB2312" w:eastAsia="仿宋_GB2312"/>
          <w:sz w:val="28"/>
          <w:szCs w:val="28"/>
          <w:lang w:val="en-US" w:eastAsia="zh-CN"/>
        </w:rPr>
        <w:t>.00</w:t>
      </w:r>
      <w:r>
        <w:rPr>
          <w:rFonts w:hint="eastAsia" w:ascii="仿宋_GB2312" w:eastAsia="仿宋_GB2312"/>
          <w:sz w:val="28"/>
          <w:szCs w:val="28"/>
        </w:rPr>
        <w:t>元，占政府采购支出总额的</w:t>
      </w:r>
      <w:r>
        <w:rPr>
          <w:rFonts w:ascii="仿宋_GB2312" w:eastAsia="仿宋_GB2312"/>
          <w:sz w:val="28"/>
          <w:szCs w:val="28"/>
        </w:rPr>
        <w:t>99.9</w:t>
      </w:r>
      <w:r>
        <w:rPr>
          <w:rFonts w:hint="eastAsia" w:ascii="仿宋_GB2312" w:eastAsia="仿宋_GB2312"/>
          <w:sz w:val="28"/>
          <w:szCs w:val="28"/>
        </w:rPr>
        <w:t>%。</w:t>
      </w:r>
    </w:p>
    <w:p>
      <w:pPr>
        <w:ind w:firstLine="560" w:firstLineChars="200"/>
        <w:rPr>
          <w:rFonts w:ascii="黑体" w:eastAsia="黑体"/>
          <w:sz w:val="28"/>
          <w:szCs w:val="28"/>
          <w:highlight w:val="yellow"/>
        </w:rPr>
      </w:pPr>
      <w:r>
        <w:rPr>
          <w:rFonts w:hint="eastAsia" w:ascii="黑体" w:eastAsia="黑体"/>
          <w:sz w:val="28"/>
          <w:szCs w:val="28"/>
        </w:rPr>
        <w:t>四、国有资产占用情况</w:t>
      </w:r>
    </w:p>
    <w:p>
      <w:pPr>
        <w:ind w:firstLine="560" w:firstLineChars="200"/>
        <w:rPr>
          <w:rFonts w:ascii="仿宋_GB2312" w:eastAsia="仿宋_GB2312"/>
          <w:sz w:val="32"/>
          <w:szCs w:val="32"/>
        </w:rPr>
      </w:pPr>
      <w:r>
        <w:rPr>
          <w:rFonts w:hint="eastAsia" w:ascii="仿宋_GB2312" w:eastAsia="仿宋_GB2312"/>
          <w:sz w:val="28"/>
          <w:szCs w:val="28"/>
        </w:rPr>
        <w:t>截至12月31日，北京市门头沟区应急管理事务中心共有车辆3台；单位价值100元（含）以上的设备1台（套）。</w:t>
      </w:r>
    </w:p>
    <w:p>
      <w:pPr>
        <w:ind w:firstLine="560" w:firstLineChars="200"/>
        <w:jc w:val="left"/>
        <w:rPr>
          <w:rFonts w:ascii="仿宋_GB2312" w:eastAsia="仿宋_GB2312"/>
          <w:color w:val="000000"/>
          <w:sz w:val="32"/>
          <w:szCs w:val="32"/>
        </w:rPr>
      </w:pPr>
      <w:r>
        <w:rPr>
          <w:rFonts w:hint="eastAsia" w:ascii="黑体" w:eastAsia="黑体"/>
          <w:sz w:val="28"/>
          <w:szCs w:val="28"/>
        </w:rPr>
        <w:t>五、</w:t>
      </w:r>
      <w:r>
        <w:rPr>
          <w:rFonts w:ascii="黑体" w:eastAsia="黑体"/>
          <w:sz w:val="28"/>
          <w:szCs w:val="28"/>
        </w:rPr>
        <w:t>专业名词解释</w:t>
      </w:r>
    </w:p>
    <w:p>
      <w:pPr>
        <w:ind w:firstLine="560" w:firstLineChars="200"/>
        <w:rPr>
          <w:rFonts w:ascii="仿宋_GB2312" w:eastAsia="仿宋_GB2312"/>
          <w:sz w:val="28"/>
          <w:szCs w:val="28"/>
        </w:rPr>
      </w:pPr>
      <w:r>
        <w:rPr>
          <w:rFonts w:hint="eastAsia" w:ascii="仿宋_GB2312" w:eastAsia="仿宋_GB2312"/>
          <w:sz w:val="28"/>
          <w:szCs w:val="28"/>
        </w:rPr>
        <w:t>1.基本支出：指为保障机构正常运转、完成日常工作任务而发生的人员支出和公用支出。</w:t>
      </w:r>
    </w:p>
    <w:p>
      <w:pPr>
        <w:ind w:firstLine="560" w:firstLineChars="200"/>
        <w:rPr>
          <w:rFonts w:ascii="仿宋_GB2312" w:eastAsia="仿宋_GB2312"/>
          <w:sz w:val="28"/>
          <w:szCs w:val="28"/>
        </w:rPr>
      </w:pPr>
      <w:r>
        <w:rPr>
          <w:rFonts w:hint="eastAsia" w:ascii="仿宋_GB2312" w:eastAsia="仿宋_GB2312"/>
          <w:sz w:val="28"/>
          <w:szCs w:val="28"/>
        </w:rPr>
        <w:t>2.项目支出：指在基本支出之外为完成特定行政任务或事业发展目标所发生的支出。</w:t>
      </w:r>
    </w:p>
    <w:p>
      <w:pPr>
        <w:ind w:firstLine="560" w:firstLineChars="200"/>
        <w:rPr>
          <w:rFonts w:ascii="仿宋_GB2312" w:eastAsia="仿宋_GB2312"/>
          <w:sz w:val="28"/>
          <w:szCs w:val="28"/>
        </w:rPr>
      </w:pPr>
      <w:r>
        <w:rPr>
          <w:rFonts w:hint="eastAsia" w:ascii="仿宋_GB2312" w:eastAsia="仿宋_GB2312"/>
          <w:sz w:val="28"/>
          <w:szCs w:val="28"/>
        </w:rPr>
        <w:t>3.“三公”经费：是指单位通过财政拨款资金安排的因公出国（境）费、公务用车购置及运行费和公务接待费。</w:t>
      </w:r>
    </w:p>
    <w:p>
      <w:pPr>
        <w:ind w:firstLine="560" w:firstLineChars="200"/>
      </w:pPr>
      <w:r>
        <w:rPr>
          <w:rFonts w:hint="eastAsia" w:ascii="仿宋_GB2312" w:eastAsia="仿宋_GB2312"/>
          <w:sz w:val="28"/>
          <w:szCs w:val="28"/>
        </w:rPr>
        <w:t>4.机关运行经费：反映为保障行政单位（包括参照公务员法管理的事业单位）运行用于购买货物和服务的各项资金，包括办公费、会议费、培训费、委托业务费、公务接待费、公务用车运行维护费、维修（护）费及其他费用。</w:t>
      </w:r>
    </w:p>
    <w:p>
      <w:pPr>
        <w:ind w:firstLine="560" w:firstLineChars="200"/>
        <w:rPr>
          <w:rFonts w:ascii="仿宋_GB2312" w:eastAsia="仿宋_GB2312"/>
          <w:sz w:val="28"/>
          <w:szCs w:val="28"/>
        </w:rPr>
      </w:pPr>
      <w:r>
        <w:rPr>
          <w:rFonts w:hint="eastAsia" w:ascii="仿宋_GB2312" w:eastAsia="仿宋_GB2312"/>
          <w:sz w:val="28"/>
          <w:szCs w:val="28"/>
        </w:rPr>
        <w:t>5.政府采购：指各级国家机关、事业单位和团体组织，使用财政性资金采购依法制定的集中目录以内的或者采购限额标准以上的货物、工程和服务的行为，是规范财政支出管理和强化预算约束的有效措施。</w:t>
      </w:r>
    </w:p>
    <w:p>
      <w:pPr>
        <w:spacing w:line="520" w:lineRule="exact"/>
        <w:ind w:firstLine="560" w:firstLineChars="200"/>
        <w:rPr>
          <w:rFonts w:ascii="仿宋_GB2312" w:eastAsia="仿宋_GB2312"/>
          <w:sz w:val="28"/>
          <w:szCs w:val="28"/>
        </w:rPr>
      </w:pPr>
      <w:r>
        <w:rPr>
          <w:rFonts w:hint="eastAsia" w:ascii="仿宋_GB2312" w:eastAsia="仿宋_GB2312"/>
          <w:sz w:val="28"/>
          <w:szCs w:val="28"/>
          <w:lang w:val="en-US" w:eastAsia="zh-CN"/>
        </w:rPr>
        <w:t>6</w:t>
      </w:r>
      <w:r>
        <w:rPr>
          <w:rFonts w:hint="eastAsia" w:ascii="仿宋_GB2312" w:eastAsia="仿宋_GB2312"/>
          <w:sz w:val="28"/>
          <w:szCs w:val="28"/>
        </w:rPr>
        <w:t>.灾害防治及应急管理支出（类）应急管理事物（款）应急管理（项）：反映用于应急管理的法律法规制定修订，应急预案演练、协调保障等方面支持。</w:t>
      </w:r>
    </w:p>
    <w:p>
      <w:pPr>
        <w:ind w:firstLine="420" w:firstLineChars="150"/>
        <w:rPr>
          <w:rFonts w:ascii="仿宋_GB2312" w:eastAsia="仿宋_GB2312"/>
          <w:sz w:val="28"/>
          <w:szCs w:val="28"/>
        </w:rPr>
      </w:pPr>
    </w:p>
    <w:p>
      <w:pPr>
        <w:rPr>
          <w:rFonts w:ascii="黑体" w:eastAsia="黑体"/>
          <w:sz w:val="32"/>
          <w:szCs w:val="32"/>
        </w:rPr>
      </w:pPr>
    </w:p>
    <w:p>
      <w:pPr>
        <w:tabs>
          <w:tab w:val="center" w:pos="6979"/>
        </w:tabs>
        <w:spacing w:line="380" w:lineRule="exact"/>
        <w:jc w:val="center"/>
        <w:rPr>
          <w:rFonts w:ascii="宋体" w:hAnsi="宋体" w:cs="宋体"/>
          <w:b/>
          <w:bCs/>
          <w:kern w:val="0"/>
          <w:sz w:val="28"/>
          <w:szCs w:val="28"/>
        </w:rPr>
      </w:pPr>
    </w:p>
    <w:p>
      <w:pPr>
        <w:tabs>
          <w:tab w:val="center" w:pos="6979"/>
        </w:tabs>
        <w:spacing w:line="380" w:lineRule="exact"/>
        <w:jc w:val="center"/>
        <w:rPr>
          <w:rFonts w:ascii="宋体" w:hAnsi="宋体" w:cs="宋体"/>
          <w:b/>
          <w:bCs/>
          <w:kern w:val="0"/>
          <w:sz w:val="28"/>
          <w:szCs w:val="28"/>
        </w:rPr>
      </w:pPr>
    </w:p>
    <w:p>
      <w:pPr>
        <w:rPr>
          <w:rFonts w:ascii="黑体" w:eastAsia="黑体"/>
          <w:sz w:val="32"/>
          <w:szCs w:val="32"/>
        </w:rPr>
      </w:pPr>
    </w:p>
    <w:p>
      <w:pPr>
        <w:pStyle w:val="2"/>
        <w:rPr>
          <w:rFonts w:ascii="黑体" w:eastAsia="黑体"/>
          <w:sz w:val="32"/>
          <w:szCs w:val="32"/>
        </w:rPr>
      </w:pPr>
    </w:p>
    <w:p>
      <w:pPr>
        <w:rPr>
          <w:rFonts w:ascii="黑体" w:eastAsia="黑体"/>
          <w:sz w:val="32"/>
          <w:szCs w:val="32"/>
        </w:rPr>
      </w:pPr>
    </w:p>
    <w:p>
      <w:pPr>
        <w:pStyle w:val="2"/>
        <w:rPr>
          <w:rFonts w:ascii="黑体" w:eastAsia="黑体"/>
          <w:sz w:val="32"/>
          <w:szCs w:val="32"/>
        </w:rPr>
      </w:pPr>
    </w:p>
    <w:p>
      <w:pPr>
        <w:pStyle w:val="2"/>
      </w:pPr>
    </w:p>
    <w:p>
      <w:pPr>
        <w:ind w:firstLine="640" w:firstLineChars="200"/>
        <w:jc w:val="center"/>
        <w:rPr>
          <w:rFonts w:ascii="黑体" w:eastAsia="黑体"/>
          <w:sz w:val="32"/>
          <w:szCs w:val="32"/>
        </w:rPr>
      </w:pPr>
    </w:p>
    <w:p>
      <w:pPr>
        <w:tabs>
          <w:tab w:val="center" w:pos="6979"/>
        </w:tabs>
        <w:spacing w:line="580" w:lineRule="exact"/>
        <w:ind w:firstLine="720" w:firstLineChars="200"/>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t>第四部分2025年度</w:t>
      </w:r>
      <w:r>
        <w:rPr>
          <w:rFonts w:hint="eastAsia" w:asciiTheme="minorEastAsia" w:hAnsiTheme="minorEastAsia" w:eastAsiaTheme="minorEastAsia"/>
          <w:b/>
          <w:sz w:val="36"/>
          <w:szCs w:val="36"/>
          <w:lang w:eastAsia="zh-CN"/>
        </w:rPr>
        <w:t>单位</w:t>
      </w:r>
      <w:r>
        <w:rPr>
          <w:rFonts w:hint="eastAsia" w:asciiTheme="minorEastAsia" w:hAnsiTheme="minorEastAsia" w:eastAsiaTheme="minorEastAsia"/>
          <w:b/>
          <w:sz w:val="36"/>
          <w:szCs w:val="36"/>
        </w:rPr>
        <w:t>绩效评价情况</w:t>
      </w:r>
    </w:p>
    <w:p>
      <w:pPr>
        <w:tabs>
          <w:tab w:val="center" w:pos="6979"/>
        </w:tabs>
        <w:spacing w:line="580" w:lineRule="exact"/>
        <w:ind w:firstLine="560" w:firstLineChars="200"/>
        <w:jc w:val="center"/>
        <w:rPr>
          <w:rFonts w:hint="eastAsia" w:ascii="华文中宋" w:hAnsi="华文中宋" w:eastAsia="华文中宋"/>
          <w:sz w:val="28"/>
          <w:szCs w:val="28"/>
        </w:rPr>
      </w:pPr>
    </w:p>
    <w:p>
      <w:pPr>
        <w:spacing w:line="580" w:lineRule="exact"/>
        <w:ind w:firstLine="640" w:firstLineChars="200"/>
        <w:rPr>
          <w:rFonts w:hint="eastAsia" w:ascii="黑体" w:hAnsi="黑体" w:eastAsia="黑体"/>
          <w:sz w:val="32"/>
          <w:szCs w:val="32"/>
        </w:rPr>
      </w:pPr>
      <w:r>
        <w:rPr>
          <w:rFonts w:hint="eastAsia" w:ascii="黑体" w:eastAsia="黑体"/>
          <w:sz w:val="32"/>
          <w:szCs w:val="32"/>
        </w:rPr>
        <w:t xml:space="preserve"> </w:t>
      </w:r>
      <w:r>
        <w:rPr>
          <w:rFonts w:hint="eastAsia" w:ascii="黑体" w:hAnsi="黑体" w:eastAsia="黑体"/>
          <w:sz w:val="32"/>
          <w:szCs w:val="32"/>
        </w:rPr>
        <w:t>一、</w:t>
      </w:r>
      <w:r>
        <w:rPr>
          <w:rFonts w:hint="eastAsia" w:ascii="黑体" w:hAnsi="黑体" w:eastAsia="黑体"/>
          <w:sz w:val="32"/>
          <w:szCs w:val="32"/>
          <w:lang w:eastAsia="zh-CN"/>
        </w:rPr>
        <w:t>单位</w:t>
      </w:r>
      <w:r>
        <w:rPr>
          <w:rFonts w:hint="eastAsia" w:ascii="黑体" w:hAnsi="黑体" w:eastAsia="黑体"/>
          <w:sz w:val="32"/>
          <w:szCs w:val="32"/>
        </w:rPr>
        <w:t>整体绩效评价报告</w:t>
      </w:r>
    </w:p>
    <w:p>
      <w:pPr>
        <w:spacing w:line="520" w:lineRule="exact"/>
        <w:ind w:firstLine="640"/>
        <w:rPr>
          <w:rFonts w:ascii="楷体_GB2312" w:eastAsia="楷体_GB2312"/>
          <w:b/>
          <w:sz w:val="32"/>
          <w:szCs w:val="32"/>
        </w:rPr>
      </w:pPr>
      <w:bookmarkStart w:id="0" w:name="_Toc268005759"/>
      <w:bookmarkStart w:id="1" w:name="_Toc263686375"/>
      <w:r>
        <w:rPr>
          <w:rFonts w:hint="eastAsia" w:ascii="楷体_GB2312" w:eastAsia="楷体_GB2312"/>
          <w:b/>
          <w:sz w:val="32"/>
          <w:szCs w:val="32"/>
        </w:rPr>
        <w:t>（一）</w:t>
      </w:r>
      <w:r>
        <w:rPr>
          <w:rFonts w:hint="eastAsia" w:ascii="楷体_GB2312" w:eastAsia="楷体_GB2312"/>
          <w:b/>
          <w:sz w:val="32"/>
          <w:szCs w:val="32"/>
          <w:lang w:val="en-US" w:eastAsia="zh-CN"/>
        </w:rPr>
        <w:t>单位</w:t>
      </w:r>
      <w:r>
        <w:rPr>
          <w:rFonts w:hint="eastAsia" w:ascii="楷体_GB2312" w:eastAsia="楷体_GB2312"/>
          <w:b/>
          <w:sz w:val="32"/>
          <w:szCs w:val="32"/>
        </w:rPr>
        <w:t>概况</w:t>
      </w:r>
    </w:p>
    <w:p>
      <w:pPr>
        <w:ind w:firstLine="560" w:firstLineChars="200"/>
        <w:rPr>
          <w:rFonts w:hint="eastAsia" w:ascii="仿宋_GB2312" w:eastAsia="仿宋_GB2312"/>
          <w:sz w:val="28"/>
          <w:szCs w:val="28"/>
          <w:lang w:eastAsia="zh-CN"/>
        </w:rPr>
      </w:pPr>
      <w:bookmarkStart w:id="2" w:name="_Toc268005755"/>
      <w:r>
        <w:rPr>
          <w:rFonts w:hint="eastAsia" w:ascii="仿宋_GB2312" w:eastAsia="仿宋_GB2312"/>
          <w:sz w:val="28"/>
          <w:szCs w:val="28"/>
        </w:rPr>
        <w:t>1.</w:t>
      </w:r>
      <w:r>
        <w:rPr>
          <w:rFonts w:hint="eastAsia" w:ascii="仿宋_GB2312" w:eastAsia="仿宋_GB2312"/>
          <w:sz w:val="28"/>
          <w:szCs w:val="28"/>
          <w:lang w:val="en-US" w:eastAsia="zh-CN"/>
        </w:rPr>
        <w:t>单位</w:t>
      </w:r>
      <w:r>
        <w:rPr>
          <w:rFonts w:hint="eastAsia" w:ascii="仿宋_GB2312" w:eastAsia="仿宋_GB2312"/>
          <w:sz w:val="28"/>
          <w:szCs w:val="28"/>
        </w:rPr>
        <w:t>职责情况</w:t>
      </w:r>
      <w:r>
        <w:rPr>
          <w:rFonts w:hint="eastAsia" w:ascii="仿宋_GB2312" w:eastAsia="仿宋_GB2312"/>
          <w:sz w:val="28"/>
          <w:szCs w:val="28"/>
          <w:lang w:eastAsia="zh-CN"/>
        </w:rPr>
        <w:t>：</w:t>
      </w:r>
      <w:r>
        <w:rPr>
          <w:rFonts w:hint="eastAsia" w:ascii="仿宋_GB2312" w:eastAsia="仿宋_GB2312"/>
          <w:sz w:val="28"/>
          <w:szCs w:val="28"/>
          <w:lang w:val="en-US" w:eastAsia="zh-CN"/>
        </w:rPr>
        <w:t>我单位为财政全额拨款事业单位，主要职责为：负责我区森林消防综合应急救援队伍管理等应急管理相关事务性工作，参与有关突发事件应急救援和应急值班值守服务保障等辅助性工作，完成区应急局交办的其他任务。</w:t>
      </w:r>
    </w:p>
    <w:p>
      <w:pPr>
        <w:ind w:firstLine="560" w:firstLineChars="200"/>
        <w:rPr>
          <w:rFonts w:hint="default" w:ascii="仿宋_GB2312" w:eastAsia="仿宋_GB2312"/>
          <w:sz w:val="28"/>
          <w:szCs w:val="28"/>
          <w:lang w:val="en-US" w:eastAsia="zh-CN"/>
        </w:rPr>
      </w:pPr>
      <w:r>
        <w:rPr>
          <w:rFonts w:hint="eastAsia" w:ascii="仿宋_GB2312" w:eastAsia="仿宋_GB2312"/>
          <w:sz w:val="28"/>
          <w:szCs w:val="28"/>
        </w:rPr>
        <w:t>2.</w:t>
      </w:r>
      <w:r>
        <w:rPr>
          <w:rFonts w:hint="eastAsia" w:ascii="仿宋_GB2312" w:eastAsia="仿宋_GB2312"/>
          <w:sz w:val="28"/>
          <w:szCs w:val="28"/>
          <w:lang w:val="en-US" w:eastAsia="zh-CN"/>
        </w:rPr>
        <w:t>单位</w:t>
      </w:r>
      <w:r>
        <w:rPr>
          <w:rFonts w:hint="eastAsia" w:ascii="仿宋_GB2312" w:eastAsia="仿宋_GB2312"/>
          <w:sz w:val="28"/>
          <w:szCs w:val="28"/>
        </w:rPr>
        <w:t>机构设置情况</w:t>
      </w:r>
      <w:r>
        <w:rPr>
          <w:rFonts w:hint="eastAsia" w:ascii="仿宋_GB2312" w:eastAsia="仿宋_GB2312"/>
          <w:sz w:val="28"/>
          <w:szCs w:val="28"/>
          <w:lang w:eastAsia="zh-CN"/>
        </w:rPr>
        <w:t>：</w:t>
      </w:r>
      <w:r>
        <w:rPr>
          <w:rFonts w:hint="eastAsia" w:ascii="仿宋_GB2312" w:eastAsia="仿宋_GB2312"/>
          <w:sz w:val="28"/>
          <w:szCs w:val="28"/>
          <w:lang w:val="en-US" w:eastAsia="zh-CN"/>
        </w:rPr>
        <w:t>我单位为应急局下属正科级事业单位。</w:t>
      </w:r>
    </w:p>
    <w:p>
      <w:pPr>
        <w:ind w:firstLine="560" w:firstLineChars="200"/>
        <w:rPr>
          <w:rFonts w:hint="default" w:ascii="仿宋_GB2312" w:eastAsia="仿宋_GB2312"/>
          <w:sz w:val="28"/>
          <w:szCs w:val="28"/>
          <w:lang w:val="en-US" w:eastAsia="zh-CN"/>
        </w:rPr>
      </w:pPr>
      <w:r>
        <w:rPr>
          <w:rFonts w:hint="eastAsia" w:ascii="仿宋_GB2312" w:eastAsia="仿宋_GB2312"/>
          <w:sz w:val="28"/>
          <w:szCs w:val="28"/>
        </w:rPr>
        <w:t>3.2025年主要工作任务</w:t>
      </w:r>
      <w:r>
        <w:rPr>
          <w:rFonts w:hint="eastAsia" w:ascii="仿宋_GB2312" w:eastAsia="仿宋_GB2312"/>
          <w:sz w:val="28"/>
          <w:szCs w:val="28"/>
          <w:lang w:eastAsia="zh-CN"/>
        </w:rPr>
        <w:t>：</w:t>
      </w:r>
      <w:r>
        <w:rPr>
          <w:rFonts w:hint="eastAsia" w:ascii="仿宋_GB2312" w:eastAsia="仿宋_GB2312"/>
          <w:sz w:val="28"/>
          <w:szCs w:val="28"/>
          <w:lang w:val="en-US" w:eastAsia="zh-CN"/>
        </w:rPr>
        <w:t>保障2025年全年森林放灭火任务，完成相关应急救援工作。</w:t>
      </w:r>
    </w:p>
    <w:bookmarkEnd w:id="2"/>
    <w:p>
      <w:pPr>
        <w:ind w:firstLine="560" w:firstLineChars="200"/>
        <w:rPr>
          <w:rFonts w:hint="eastAsia" w:ascii="仿宋_GB2312" w:eastAsia="仿宋_GB2312"/>
          <w:sz w:val="28"/>
          <w:szCs w:val="28"/>
        </w:rPr>
      </w:pPr>
      <w:r>
        <w:rPr>
          <w:rFonts w:hint="eastAsia" w:ascii="仿宋_GB2312" w:eastAsia="仿宋_GB2312"/>
          <w:sz w:val="28"/>
          <w:szCs w:val="28"/>
        </w:rPr>
        <w:t>4.</w:t>
      </w:r>
      <w:bookmarkEnd w:id="0"/>
      <w:r>
        <w:rPr>
          <w:rFonts w:hint="eastAsia" w:ascii="仿宋_GB2312" w:eastAsia="仿宋_GB2312"/>
          <w:sz w:val="28"/>
          <w:szCs w:val="28"/>
          <w:lang w:eastAsia="zh-CN"/>
        </w:rPr>
        <w:t>单位</w:t>
      </w:r>
      <w:r>
        <w:rPr>
          <w:rFonts w:hint="eastAsia" w:ascii="仿宋_GB2312" w:eastAsia="仿宋_GB2312"/>
          <w:sz w:val="28"/>
          <w:szCs w:val="28"/>
        </w:rPr>
        <w:t>整体绩效目标设立情况</w:t>
      </w:r>
    </w:p>
    <w:tbl>
      <w:tblPr>
        <w:tblStyle w:val="10"/>
        <w:tblW w:w="5000" w:type="pct"/>
        <w:tblInd w:w="0" w:type="dxa"/>
        <w:tblLayout w:type="autofit"/>
        <w:tblCellMar>
          <w:top w:w="0" w:type="dxa"/>
          <w:left w:w="108" w:type="dxa"/>
          <w:bottom w:w="0" w:type="dxa"/>
          <w:right w:w="108" w:type="dxa"/>
        </w:tblCellMar>
      </w:tblPr>
      <w:tblGrid>
        <w:gridCol w:w="1683"/>
        <w:gridCol w:w="4419"/>
        <w:gridCol w:w="2196"/>
        <w:gridCol w:w="1693"/>
        <w:gridCol w:w="2202"/>
        <w:gridCol w:w="2593"/>
      </w:tblGrid>
      <w:tr>
        <w:trPr>
          <w:trHeight w:val="275" w:hRule="atLeast"/>
        </w:trPr>
        <w:tc>
          <w:tcPr>
            <w:tcW w:w="569" w:type="pct"/>
            <w:tcBorders>
              <w:top w:val="single" w:color="auto" w:sz="4" w:space="0"/>
              <w:left w:val="single" w:color="auto" w:sz="4" w:space="0"/>
              <w:bottom w:val="single" w:color="auto" w:sz="4" w:space="0"/>
              <w:right w:val="single" w:color="auto" w:sz="4" w:space="0"/>
            </w:tcBorders>
            <w:noWrap/>
            <w:vAlign w:val="bottom"/>
          </w:tcPr>
          <w:p>
            <w:pPr>
              <w:jc w:val="center"/>
              <w:rPr>
                <w:rFonts w:hint="eastAsia" w:ascii="仿宋_GB2312" w:eastAsia="仿宋_GB2312"/>
                <w:sz w:val="28"/>
                <w:szCs w:val="28"/>
              </w:rPr>
            </w:pPr>
            <w:r>
              <w:rPr>
                <w:rFonts w:hint="eastAsia" w:ascii="仿宋_GB2312" w:eastAsia="仿宋_GB2312"/>
                <w:sz w:val="28"/>
                <w:szCs w:val="28"/>
              </w:rPr>
              <w:t>序号</w:t>
            </w:r>
          </w:p>
        </w:tc>
        <w:tc>
          <w:tcPr>
            <w:tcW w:w="1493" w:type="pct"/>
            <w:tcBorders>
              <w:top w:val="single" w:color="auto" w:sz="4" w:space="0"/>
              <w:left w:val="nil"/>
              <w:bottom w:val="single" w:color="auto" w:sz="4" w:space="0"/>
              <w:right w:val="single" w:color="auto" w:sz="4" w:space="0"/>
            </w:tcBorders>
            <w:noWrap/>
            <w:vAlign w:val="bottom"/>
          </w:tcPr>
          <w:p>
            <w:pPr>
              <w:jc w:val="center"/>
              <w:rPr>
                <w:rFonts w:hint="eastAsia" w:ascii="仿宋_GB2312" w:eastAsia="仿宋_GB2312"/>
                <w:sz w:val="28"/>
                <w:szCs w:val="28"/>
              </w:rPr>
            </w:pPr>
            <w:r>
              <w:rPr>
                <w:rFonts w:hint="eastAsia" w:ascii="仿宋_GB2312" w:eastAsia="仿宋_GB2312"/>
                <w:sz w:val="28"/>
                <w:szCs w:val="28"/>
              </w:rPr>
              <w:t>三级指标</w:t>
            </w:r>
          </w:p>
        </w:tc>
        <w:tc>
          <w:tcPr>
            <w:tcW w:w="742" w:type="pct"/>
            <w:tcBorders>
              <w:top w:val="single" w:color="auto" w:sz="4" w:space="0"/>
              <w:left w:val="nil"/>
              <w:bottom w:val="single" w:color="auto" w:sz="4" w:space="0"/>
              <w:right w:val="single" w:color="auto" w:sz="4" w:space="0"/>
            </w:tcBorders>
            <w:noWrap/>
            <w:vAlign w:val="bottom"/>
          </w:tcPr>
          <w:p>
            <w:pPr>
              <w:jc w:val="center"/>
              <w:rPr>
                <w:rFonts w:hint="eastAsia" w:ascii="仿宋_GB2312" w:eastAsia="仿宋_GB2312"/>
                <w:sz w:val="28"/>
                <w:szCs w:val="28"/>
              </w:rPr>
            </w:pPr>
            <w:r>
              <w:rPr>
                <w:rFonts w:hint="eastAsia" w:ascii="仿宋_GB2312" w:eastAsia="仿宋_GB2312"/>
                <w:sz w:val="28"/>
                <w:szCs w:val="28"/>
              </w:rPr>
              <w:t>指标性质</w:t>
            </w:r>
          </w:p>
        </w:tc>
        <w:tc>
          <w:tcPr>
            <w:tcW w:w="572" w:type="pct"/>
            <w:tcBorders>
              <w:top w:val="single" w:color="auto" w:sz="4" w:space="0"/>
              <w:left w:val="nil"/>
              <w:bottom w:val="single" w:color="auto" w:sz="4" w:space="0"/>
              <w:right w:val="single" w:color="auto" w:sz="4" w:space="0"/>
            </w:tcBorders>
            <w:noWrap/>
            <w:vAlign w:val="bottom"/>
          </w:tcPr>
          <w:p>
            <w:pPr>
              <w:jc w:val="center"/>
              <w:rPr>
                <w:rFonts w:hint="eastAsia" w:ascii="仿宋_GB2312" w:eastAsia="仿宋_GB2312"/>
                <w:sz w:val="28"/>
                <w:szCs w:val="28"/>
              </w:rPr>
            </w:pPr>
            <w:r>
              <w:rPr>
                <w:rFonts w:hint="eastAsia" w:ascii="仿宋_GB2312" w:eastAsia="仿宋_GB2312"/>
                <w:sz w:val="28"/>
                <w:szCs w:val="28"/>
              </w:rPr>
              <w:t>指标值</w:t>
            </w:r>
          </w:p>
        </w:tc>
        <w:tc>
          <w:tcPr>
            <w:tcW w:w="744" w:type="pct"/>
            <w:tcBorders>
              <w:top w:val="single" w:color="auto" w:sz="4" w:space="0"/>
              <w:left w:val="nil"/>
              <w:bottom w:val="single" w:color="auto" w:sz="4" w:space="0"/>
              <w:right w:val="single" w:color="auto" w:sz="4" w:space="0"/>
            </w:tcBorders>
          </w:tcPr>
          <w:p>
            <w:pPr>
              <w:jc w:val="center"/>
              <w:rPr>
                <w:rFonts w:hint="eastAsia" w:ascii="仿宋_GB2312" w:eastAsia="仿宋_GB2312"/>
                <w:sz w:val="28"/>
                <w:szCs w:val="28"/>
              </w:rPr>
            </w:pPr>
            <w:r>
              <w:rPr>
                <w:rFonts w:hint="eastAsia" w:ascii="仿宋_GB2312" w:eastAsia="仿宋_GB2312"/>
                <w:sz w:val="28"/>
                <w:szCs w:val="28"/>
              </w:rPr>
              <w:t>度量单位</w:t>
            </w:r>
          </w:p>
        </w:tc>
        <w:tc>
          <w:tcPr>
            <w:tcW w:w="876" w:type="pct"/>
            <w:tcBorders>
              <w:top w:val="single" w:color="auto" w:sz="4" w:space="0"/>
              <w:left w:val="nil"/>
              <w:bottom w:val="single" w:color="auto" w:sz="4" w:space="0"/>
              <w:right w:val="single" w:color="auto" w:sz="4" w:space="0"/>
            </w:tcBorders>
          </w:tcPr>
          <w:p>
            <w:pPr>
              <w:jc w:val="center"/>
              <w:rPr>
                <w:rFonts w:hint="eastAsia" w:ascii="仿宋_GB2312" w:eastAsia="仿宋_GB2312"/>
                <w:sz w:val="28"/>
                <w:szCs w:val="28"/>
              </w:rPr>
            </w:pPr>
            <w:r>
              <w:rPr>
                <w:rFonts w:hint="eastAsia" w:ascii="仿宋_GB2312" w:eastAsia="仿宋_GB2312"/>
                <w:sz w:val="28"/>
                <w:szCs w:val="28"/>
              </w:rPr>
              <w:t>指标权重</w:t>
            </w:r>
          </w:p>
        </w:tc>
      </w:tr>
      <w:tr>
        <w:tblPrEx>
          <w:tblCellMar>
            <w:top w:w="0" w:type="dxa"/>
            <w:left w:w="108" w:type="dxa"/>
            <w:bottom w:w="0" w:type="dxa"/>
            <w:right w:w="108" w:type="dxa"/>
          </w:tblCellMar>
        </w:tblPrEx>
        <w:trPr>
          <w:trHeight w:val="275" w:hRule="atLeast"/>
        </w:trPr>
        <w:tc>
          <w:tcPr>
            <w:tcW w:w="569" w:type="pct"/>
            <w:tcBorders>
              <w:top w:val="nil"/>
              <w:left w:val="single" w:color="auto" w:sz="4" w:space="0"/>
              <w:bottom w:val="single" w:color="auto" w:sz="4" w:space="0"/>
              <w:right w:val="single" w:color="auto" w:sz="4" w:space="0"/>
            </w:tcBorders>
            <w:noWrap/>
            <w:vAlign w:val="bottom"/>
          </w:tcPr>
          <w:p>
            <w:pPr>
              <w:ind w:firstLine="560" w:firstLineChars="200"/>
              <w:jc w:val="both"/>
              <w:rPr>
                <w:rFonts w:hint="eastAsia" w:ascii="仿宋_GB2312" w:eastAsia="仿宋_GB2312"/>
                <w:sz w:val="28"/>
                <w:szCs w:val="28"/>
              </w:rPr>
            </w:pPr>
            <w:r>
              <w:rPr>
                <w:rFonts w:hint="eastAsia" w:ascii="仿宋_GB2312" w:eastAsia="仿宋_GB2312"/>
                <w:sz w:val="28"/>
                <w:szCs w:val="28"/>
              </w:rPr>
              <w:t>1</w:t>
            </w:r>
          </w:p>
        </w:tc>
        <w:tc>
          <w:tcPr>
            <w:tcW w:w="1493" w:type="pct"/>
            <w:tcBorders>
              <w:top w:val="nil"/>
              <w:left w:val="nil"/>
              <w:bottom w:val="single" w:color="auto" w:sz="4" w:space="0"/>
              <w:right w:val="single" w:color="auto" w:sz="4" w:space="0"/>
            </w:tcBorders>
            <w:noWrap/>
            <w:vAlign w:val="center"/>
          </w:tcPr>
          <w:p>
            <w:pPr>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保障220人队伍工资社保正常发放</w:t>
            </w:r>
          </w:p>
        </w:tc>
        <w:tc>
          <w:tcPr>
            <w:tcW w:w="742" w:type="pct"/>
            <w:tcBorders>
              <w:top w:val="nil"/>
              <w:left w:val="nil"/>
              <w:bottom w:val="single" w:color="auto" w:sz="4" w:space="0"/>
              <w:right w:val="single" w:color="auto" w:sz="4" w:space="0"/>
            </w:tcBorders>
            <w:noWrap/>
            <w:vAlign w:val="center"/>
          </w:tcPr>
          <w:p>
            <w:pPr>
              <w:ind w:firstLine="560" w:firstLineChars="200"/>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w:t>
            </w:r>
          </w:p>
        </w:tc>
        <w:tc>
          <w:tcPr>
            <w:tcW w:w="572" w:type="pct"/>
            <w:tcBorders>
              <w:top w:val="nil"/>
              <w:left w:val="nil"/>
              <w:bottom w:val="single" w:color="auto" w:sz="4" w:space="0"/>
              <w:right w:val="single" w:color="auto" w:sz="4" w:space="0"/>
            </w:tcBorders>
            <w:noWrap/>
            <w:vAlign w:val="center"/>
          </w:tcPr>
          <w:p>
            <w:pPr>
              <w:ind w:firstLine="560" w:firstLineChars="200"/>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220</w:t>
            </w:r>
          </w:p>
        </w:tc>
        <w:tc>
          <w:tcPr>
            <w:tcW w:w="744" w:type="pct"/>
            <w:tcBorders>
              <w:top w:val="nil"/>
              <w:left w:val="nil"/>
              <w:bottom w:val="single" w:color="auto" w:sz="4" w:space="0"/>
              <w:right w:val="single" w:color="auto" w:sz="4" w:space="0"/>
            </w:tcBorders>
            <w:vAlign w:val="center"/>
          </w:tcPr>
          <w:p>
            <w:pPr>
              <w:ind w:firstLine="560" w:firstLineChars="200"/>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人</w:t>
            </w:r>
          </w:p>
        </w:tc>
        <w:tc>
          <w:tcPr>
            <w:tcW w:w="876" w:type="pct"/>
            <w:tcBorders>
              <w:top w:val="nil"/>
              <w:left w:val="nil"/>
              <w:bottom w:val="single" w:color="auto" w:sz="4" w:space="0"/>
              <w:right w:val="single" w:color="auto" w:sz="4" w:space="0"/>
            </w:tcBorders>
            <w:vAlign w:val="center"/>
          </w:tcPr>
          <w:p>
            <w:pPr>
              <w:ind w:firstLine="560" w:firstLineChars="200"/>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30%</w:t>
            </w:r>
          </w:p>
        </w:tc>
      </w:tr>
      <w:tr>
        <w:tblPrEx>
          <w:tblCellMar>
            <w:top w:w="0" w:type="dxa"/>
            <w:left w:w="108" w:type="dxa"/>
            <w:bottom w:w="0" w:type="dxa"/>
            <w:right w:w="108" w:type="dxa"/>
          </w:tblCellMar>
        </w:tblPrEx>
        <w:trPr>
          <w:trHeight w:val="275" w:hRule="atLeast"/>
        </w:trPr>
        <w:tc>
          <w:tcPr>
            <w:tcW w:w="569" w:type="pct"/>
            <w:tcBorders>
              <w:top w:val="nil"/>
              <w:left w:val="single" w:color="auto" w:sz="4" w:space="0"/>
              <w:bottom w:val="single" w:color="auto" w:sz="4" w:space="0"/>
              <w:right w:val="single" w:color="auto" w:sz="4" w:space="0"/>
            </w:tcBorders>
            <w:noWrap/>
            <w:vAlign w:val="bottom"/>
          </w:tcPr>
          <w:p>
            <w:pPr>
              <w:ind w:firstLine="560" w:firstLineChars="200"/>
              <w:jc w:val="both"/>
              <w:rPr>
                <w:rFonts w:hint="eastAsia" w:ascii="仿宋_GB2312" w:eastAsia="仿宋_GB2312"/>
                <w:sz w:val="28"/>
                <w:szCs w:val="28"/>
              </w:rPr>
            </w:pPr>
            <w:r>
              <w:rPr>
                <w:rFonts w:hint="eastAsia" w:ascii="仿宋_GB2312" w:eastAsia="仿宋_GB2312"/>
                <w:sz w:val="28"/>
                <w:szCs w:val="28"/>
              </w:rPr>
              <w:t>2</w:t>
            </w:r>
          </w:p>
        </w:tc>
        <w:tc>
          <w:tcPr>
            <w:tcW w:w="1493" w:type="pct"/>
            <w:tcBorders>
              <w:top w:val="nil"/>
              <w:left w:val="nil"/>
              <w:bottom w:val="single" w:color="auto" w:sz="4" w:space="0"/>
              <w:right w:val="single" w:color="auto" w:sz="4" w:space="0"/>
            </w:tcBorders>
            <w:noWrap/>
            <w:vAlign w:val="center"/>
          </w:tcPr>
          <w:p>
            <w:pPr>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保障事务中心全年食品正常供应</w:t>
            </w:r>
          </w:p>
        </w:tc>
        <w:tc>
          <w:tcPr>
            <w:tcW w:w="742" w:type="pct"/>
            <w:tcBorders>
              <w:top w:val="nil"/>
              <w:left w:val="nil"/>
              <w:bottom w:val="single" w:color="auto" w:sz="4" w:space="0"/>
              <w:right w:val="single" w:color="auto" w:sz="4" w:space="0"/>
            </w:tcBorders>
            <w:noWrap/>
            <w:vAlign w:val="center"/>
          </w:tcPr>
          <w:p>
            <w:pPr>
              <w:ind w:firstLine="560" w:firstLineChars="200"/>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w:t>
            </w:r>
          </w:p>
        </w:tc>
        <w:tc>
          <w:tcPr>
            <w:tcW w:w="572" w:type="pct"/>
            <w:tcBorders>
              <w:top w:val="nil"/>
              <w:left w:val="nil"/>
              <w:bottom w:val="single" w:color="auto" w:sz="4" w:space="0"/>
              <w:right w:val="single" w:color="auto" w:sz="4" w:space="0"/>
            </w:tcBorders>
            <w:noWrap/>
            <w:vAlign w:val="center"/>
          </w:tcPr>
          <w:p>
            <w:pPr>
              <w:ind w:firstLine="560" w:firstLineChars="200"/>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1</w:t>
            </w:r>
          </w:p>
        </w:tc>
        <w:tc>
          <w:tcPr>
            <w:tcW w:w="744" w:type="pct"/>
            <w:tcBorders>
              <w:top w:val="nil"/>
              <w:left w:val="nil"/>
              <w:bottom w:val="single" w:color="auto" w:sz="4" w:space="0"/>
              <w:right w:val="single" w:color="auto" w:sz="4" w:space="0"/>
            </w:tcBorders>
            <w:vAlign w:val="center"/>
          </w:tcPr>
          <w:p>
            <w:pPr>
              <w:ind w:firstLine="560" w:firstLineChars="200"/>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年</w:t>
            </w:r>
          </w:p>
        </w:tc>
        <w:tc>
          <w:tcPr>
            <w:tcW w:w="876" w:type="pct"/>
            <w:tcBorders>
              <w:top w:val="nil"/>
              <w:left w:val="nil"/>
              <w:bottom w:val="single" w:color="auto" w:sz="4" w:space="0"/>
              <w:right w:val="single" w:color="auto" w:sz="4" w:space="0"/>
            </w:tcBorders>
            <w:vAlign w:val="center"/>
          </w:tcPr>
          <w:p>
            <w:pPr>
              <w:ind w:firstLine="560" w:firstLineChars="200"/>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30%</w:t>
            </w:r>
          </w:p>
        </w:tc>
      </w:tr>
      <w:tr>
        <w:tblPrEx>
          <w:tblCellMar>
            <w:top w:w="0" w:type="dxa"/>
            <w:left w:w="108" w:type="dxa"/>
            <w:bottom w:w="0" w:type="dxa"/>
            <w:right w:w="108" w:type="dxa"/>
          </w:tblCellMar>
        </w:tblPrEx>
        <w:trPr>
          <w:trHeight w:val="275" w:hRule="atLeast"/>
        </w:trPr>
        <w:tc>
          <w:tcPr>
            <w:tcW w:w="569" w:type="pct"/>
            <w:tcBorders>
              <w:top w:val="nil"/>
              <w:left w:val="single" w:color="auto" w:sz="4" w:space="0"/>
              <w:bottom w:val="single" w:color="auto" w:sz="4" w:space="0"/>
              <w:right w:val="single" w:color="auto" w:sz="4" w:space="0"/>
            </w:tcBorders>
            <w:noWrap/>
            <w:vAlign w:val="bottom"/>
          </w:tcPr>
          <w:p>
            <w:pPr>
              <w:ind w:firstLine="560" w:firstLineChars="200"/>
              <w:jc w:val="both"/>
              <w:rPr>
                <w:rFonts w:hint="eastAsia" w:ascii="仿宋_GB2312" w:eastAsia="仿宋_GB2312"/>
                <w:sz w:val="28"/>
                <w:szCs w:val="28"/>
              </w:rPr>
            </w:pPr>
            <w:r>
              <w:rPr>
                <w:rFonts w:hint="eastAsia" w:ascii="仿宋_GB2312" w:eastAsia="仿宋_GB2312"/>
                <w:sz w:val="28"/>
                <w:szCs w:val="28"/>
              </w:rPr>
              <w:t>3</w:t>
            </w:r>
          </w:p>
        </w:tc>
        <w:tc>
          <w:tcPr>
            <w:tcW w:w="1493" w:type="pct"/>
            <w:tcBorders>
              <w:top w:val="nil"/>
              <w:left w:val="nil"/>
              <w:bottom w:val="single" w:color="auto" w:sz="4" w:space="0"/>
              <w:right w:val="single" w:color="auto" w:sz="4" w:space="0"/>
            </w:tcBorders>
            <w:noWrap/>
            <w:vAlign w:val="center"/>
          </w:tcPr>
          <w:p>
            <w:pPr>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保障事务中心驻地全年正常运转</w:t>
            </w:r>
          </w:p>
        </w:tc>
        <w:tc>
          <w:tcPr>
            <w:tcW w:w="742" w:type="pct"/>
            <w:tcBorders>
              <w:top w:val="nil"/>
              <w:left w:val="nil"/>
              <w:bottom w:val="single" w:color="auto" w:sz="4" w:space="0"/>
              <w:right w:val="single" w:color="auto" w:sz="4" w:space="0"/>
            </w:tcBorders>
            <w:noWrap/>
            <w:vAlign w:val="center"/>
          </w:tcPr>
          <w:p>
            <w:pPr>
              <w:ind w:firstLine="560" w:firstLineChars="200"/>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w:t>
            </w:r>
          </w:p>
        </w:tc>
        <w:tc>
          <w:tcPr>
            <w:tcW w:w="572" w:type="pct"/>
            <w:tcBorders>
              <w:top w:val="nil"/>
              <w:left w:val="nil"/>
              <w:bottom w:val="single" w:color="auto" w:sz="4" w:space="0"/>
              <w:right w:val="single" w:color="auto" w:sz="4" w:space="0"/>
            </w:tcBorders>
            <w:noWrap/>
            <w:vAlign w:val="center"/>
          </w:tcPr>
          <w:p>
            <w:pPr>
              <w:ind w:firstLine="560" w:firstLineChars="200"/>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1</w:t>
            </w:r>
          </w:p>
        </w:tc>
        <w:tc>
          <w:tcPr>
            <w:tcW w:w="744" w:type="pct"/>
            <w:tcBorders>
              <w:top w:val="nil"/>
              <w:left w:val="nil"/>
              <w:bottom w:val="single" w:color="auto" w:sz="4" w:space="0"/>
              <w:right w:val="single" w:color="auto" w:sz="4" w:space="0"/>
            </w:tcBorders>
            <w:vAlign w:val="center"/>
          </w:tcPr>
          <w:p>
            <w:pPr>
              <w:ind w:firstLine="560" w:firstLineChars="200"/>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年</w:t>
            </w:r>
          </w:p>
        </w:tc>
        <w:tc>
          <w:tcPr>
            <w:tcW w:w="876" w:type="pct"/>
            <w:tcBorders>
              <w:top w:val="nil"/>
              <w:left w:val="nil"/>
              <w:bottom w:val="single" w:color="auto" w:sz="4" w:space="0"/>
              <w:right w:val="single" w:color="auto" w:sz="4" w:space="0"/>
            </w:tcBorders>
            <w:vAlign w:val="center"/>
          </w:tcPr>
          <w:p>
            <w:pPr>
              <w:ind w:firstLine="560" w:firstLineChars="200"/>
              <w:jc w:val="both"/>
              <w:rPr>
                <w:rFonts w:hint="eastAsia" w:ascii="仿宋_GB2312" w:eastAsia="仿宋_GB2312"/>
                <w:sz w:val="28"/>
                <w:szCs w:val="28"/>
                <w:lang w:val="en-US" w:eastAsia="zh-CN"/>
              </w:rPr>
            </w:pPr>
            <w:r>
              <w:rPr>
                <w:rFonts w:hint="eastAsia" w:ascii="仿宋_GB2312" w:eastAsia="仿宋_GB2312"/>
                <w:sz w:val="28"/>
                <w:szCs w:val="28"/>
                <w:lang w:val="en-US" w:eastAsia="zh-CN"/>
              </w:rPr>
              <w:t>30%</w:t>
            </w:r>
          </w:p>
        </w:tc>
      </w:tr>
    </w:tbl>
    <w:p>
      <w:pPr>
        <w:spacing w:line="580" w:lineRule="exact"/>
        <w:ind w:firstLine="641"/>
        <w:rPr>
          <w:rFonts w:hint="eastAsia" w:ascii="楷体_GB2312" w:hAnsi="Calibri" w:eastAsia="楷体_GB2312"/>
          <w:b/>
          <w:sz w:val="36"/>
          <w:szCs w:val="36"/>
        </w:rPr>
      </w:pPr>
      <w:bookmarkStart w:id="3" w:name="_Toc268005761"/>
      <w:r>
        <w:rPr>
          <w:rFonts w:hint="eastAsia" w:ascii="楷体_GB2312" w:eastAsia="楷体_GB2312"/>
          <w:b/>
          <w:sz w:val="32"/>
          <w:szCs w:val="32"/>
        </w:rPr>
        <w:t>(二)当年预算执行情况</w:t>
      </w:r>
      <w:bookmarkEnd w:id="3"/>
      <w:r>
        <w:rPr>
          <w:rFonts w:hint="eastAsia" w:ascii="仿宋_GB2312" w:eastAsia="仿宋_GB2312"/>
          <w:sz w:val="32"/>
          <w:szCs w:val="32"/>
        </w:rPr>
        <w:t xml:space="preserve"> </w:t>
      </w:r>
      <w:r>
        <w:rPr>
          <w:rFonts w:hint="eastAsia" w:ascii="仿宋_GB2312" w:eastAsia="仿宋_GB2312"/>
          <w:sz w:val="36"/>
          <w:szCs w:val="36"/>
        </w:rPr>
        <w:t xml:space="preserve"> </w:t>
      </w:r>
    </w:p>
    <w:p>
      <w:pPr>
        <w:ind w:firstLine="560" w:firstLineChars="200"/>
        <w:rPr>
          <w:rFonts w:hint="eastAsia" w:ascii="仿宋_GB2312" w:eastAsia="仿宋_GB2312"/>
          <w:sz w:val="28"/>
          <w:szCs w:val="28"/>
        </w:rPr>
      </w:pPr>
      <w:r>
        <w:rPr>
          <w:rFonts w:hint="eastAsia" w:ascii="仿宋_GB2312" w:eastAsia="仿宋_GB2312"/>
          <w:sz w:val="28"/>
          <w:szCs w:val="28"/>
        </w:rPr>
        <w:t>2025年全年预算数</w:t>
      </w:r>
      <w:r>
        <w:rPr>
          <w:rFonts w:hint="eastAsia" w:ascii="仿宋_GB2312" w:eastAsia="仿宋_GB2312"/>
          <w:sz w:val="28"/>
          <w:szCs w:val="28"/>
          <w:lang w:val="en-US" w:eastAsia="zh-CN"/>
        </w:rPr>
        <w:t>19,994,501.16</w:t>
      </w:r>
      <w:r>
        <w:rPr>
          <w:rFonts w:hint="eastAsia" w:ascii="仿宋_GB2312" w:eastAsia="仿宋_GB2312"/>
          <w:sz w:val="28"/>
          <w:szCs w:val="28"/>
        </w:rPr>
        <w:t>元，其中，基本支出预算数</w:t>
      </w:r>
      <w:r>
        <w:rPr>
          <w:rFonts w:hint="eastAsia" w:ascii="仿宋_GB2312" w:eastAsia="仿宋_GB2312"/>
          <w:sz w:val="28"/>
          <w:szCs w:val="28"/>
          <w:lang w:val="en-US" w:eastAsia="zh-CN"/>
        </w:rPr>
        <w:t>4,225,674.51</w:t>
      </w:r>
      <w:r>
        <w:rPr>
          <w:rFonts w:hint="eastAsia" w:ascii="仿宋_GB2312" w:eastAsia="仿宋_GB2312"/>
          <w:sz w:val="28"/>
          <w:szCs w:val="28"/>
        </w:rPr>
        <w:t>元，项目支出预算数</w:t>
      </w:r>
      <w:r>
        <w:rPr>
          <w:rFonts w:hint="eastAsia" w:ascii="仿宋_GB2312" w:eastAsia="仿宋_GB2312"/>
          <w:sz w:val="28"/>
          <w:szCs w:val="28"/>
          <w:lang w:val="en-US" w:eastAsia="zh-CN"/>
        </w:rPr>
        <w:t>15,768,826.65</w:t>
      </w:r>
      <w:r>
        <w:rPr>
          <w:rFonts w:hint="eastAsia" w:ascii="仿宋_GB2312" w:eastAsia="仿宋_GB2312"/>
          <w:sz w:val="28"/>
          <w:szCs w:val="28"/>
        </w:rPr>
        <w:t>元。全年支出</w:t>
      </w:r>
      <w:r>
        <w:rPr>
          <w:rFonts w:hint="eastAsia" w:ascii="仿宋_GB2312" w:eastAsia="仿宋_GB2312"/>
          <w:sz w:val="28"/>
          <w:szCs w:val="28"/>
          <w:lang w:val="en-US" w:eastAsia="zh-CN"/>
        </w:rPr>
        <w:t>34,575,055.75</w:t>
      </w:r>
      <w:r>
        <w:rPr>
          <w:rFonts w:hint="eastAsia" w:ascii="仿宋_GB2312" w:eastAsia="仿宋_GB2312"/>
          <w:sz w:val="28"/>
          <w:szCs w:val="28"/>
        </w:rPr>
        <w:t>元，其中，基本支出</w:t>
      </w:r>
      <w:r>
        <w:rPr>
          <w:rFonts w:hint="eastAsia" w:ascii="仿宋_GB2312" w:eastAsia="仿宋_GB2312"/>
          <w:sz w:val="28"/>
          <w:szCs w:val="28"/>
          <w:lang w:val="en-US" w:eastAsia="zh-CN"/>
        </w:rPr>
        <w:t>4,860,983.19</w:t>
      </w:r>
      <w:r>
        <w:rPr>
          <w:rFonts w:hint="eastAsia" w:ascii="仿宋_GB2312" w:eastAsia="仿宋_GB2312"/>
          <w:sz w:val="28"/>
          <w:szCs w:val="28"/>
        </w:rPr>
        <w:t>元，项目支出</w:t>
      </w:r>
      <w:r>
        <w:rPr>
          <w:rFonts w:hint="eastAsia" w:ascii="仿宋_GB2312" w:eastAsia="仿宋_GB2312"/>
          <w:sz w:val="28"/>
          <w:szCs w:val="28"/>
          <w:lang w:val="en-US" w:eastAsia="zh-CN"/>
        </w:rPr>
        <w:t>29,714,072.56</w:t>
      </w:r>
      <w:r>
        <w:rPr>
          <w:rFonts w:hint="eastAsia" w:ascii="仿宋_GB2312" w:eastAsia="仿宋_GB2312"/>
          <w:sz w:val="28"/>
          <w:szCs w:val="28"/>
        </w:rPr>
        <w:t>元。预算执行率为</w:t>
      </w:r>
      <w:r>
        <w:rPr>
          <w:rFonts w:hint="eastAsia" w:ascii="仿宋_GB2312" w:eastAsia="仿宋_GB2312"/>
          <w:sz w:val="28"/>
          <w:szCs w:val="28"/>
          <w:lang w:val="en-US" w:eastAsia="zh-CN"/>
        </w:rPr>
        <w:t>100.0</w:t>
      </w:r>
      <w:r>
        <w:rPr>
          <w:rFonts w:hint="eastAsia" w:ascii="仿宋_GB2312" w:eastAsia="仿宋_GB2312"/>
          <w:sz w:val="28"/>
          <w:szCs w:val="28"/>
        </w:rPr>
        <w:t xml:space="preserve">%。                                </w:t>
      </w:r>
    </w:p>
    <w:p>
      <w:pPr>
        <w:ind w:firstLine="560" w:firstLineChars="200"/>
        <w:rPr>
          <w:rFonts w:hint="eastAsia" w:ascii="仿宋_GB2312" w:eastAsia="仿宋_GB2312"/>
          <w:sz w:val="28"/>
          <w:szCs w:val="28"/>
        </w:rPr>
      </w:pPr>
      <w:r>
        <w:rPr>
          <w:rFonts w:hint="eastAsia" w:ascii="仿宋_GB2312" w:eastAsia="仿宋_GB2312"/>
          <w:sz w:val="28"/>
          <w:szCs w:val="28"/>
        </w:rPr>
        <w:t>2025年年末结转结余资金总额为</w:t>
      </w:r>
      <w:r>
        <w:rPr>
          <w:rFonts w:hint="eastAsia" w:ascii="仿宋_GB2312" w:eastAsia="仿宋_GB2312"/>
          <w:sz w:val="28"/>
          <w:szCs w:val="28"/>
          <w:lang w:val="en-US" w:eastAsia="zh-CN"/>
        </w:rPr>
        <w:t>0.00</w:t>
      </w:r>
      <w:r>
        <w:rPr>
          <w:rFonts w:hint="eastAsia" w:ascii="仿宋_GB2312" w:eastAsia="仿宋_GB2312"/>
          <w:sz w:val="28"/>
          <w:szCs w:val="28"/>
        </w:rPr>
        <w:t>元，全年支出预算数为</w:t>
      </w:r>
      <w:r>
        <w:rPr>
          <w:rFonts w:hint="eastAsia" w:ascii="仿宋_GB2312" w:eastAsia="仿宋_GB2312"/>
          <w:sz w:val="28"/>
          <w:szCs w:val="28"/>
          <w:lang w:val="en-US" w:eastAsia="zh-CN"/>
        </w:rPr>
        <w:t>0.00</w:t>
      </w:r>
      <w:r>
        <w:rPr>
          <w:rFonts w:hint="eastAsia" w:ascii="仿宋_GB2312" w:eastAsia="仿宋_GB2312"/>
          <w:sz w:val="28"/>
          <w:szCs w:val="28"/>
        </w:rPr>
        <w:t>元，资金结转结余率为</w:t>
      </w:r>
      <w:r>
        <w:rPr>
          <w:rFonts w:hint="eastAsia" w:ascii="仿宋_GB2312" w:eastAsia="仿宋_GB2312"/>
          <w:sz w:val="28"/>
          <w:szCs w:val="28"/>
          <w:lang w:val="en-US" w:eastAsia="zh-CN"/>
        </w:rPr>
        <w:t>0.0</w:t>
      </w:r>
      <w:r>
        <w:rPr>
          <w:rFonts w:hint="eastAsia" w:ascii="仿宋_GB2312" w:eastAsia="仿宋_GB2312"/>
          <w:sz w:val="28"/>
          <w:szCs w:val="28"/>
        </w:rPr>
        <w:t>%；2024年年末结转结余资金总额为</w:t>
      </w:r>
      <w:r>
        <w:rPr>
          <w:rFonts w:hint="eastAsia" w:ascii="仿宋_GB2312" w:eastAsia="仿宋_GB2312"/>
          <w:sz w:val="28"/>
          <w:szCs w:val="28"/>
          <w:lang w:val="en-US" w:eastAsia="zh-CN"/>
        </w:rPr>
        <w:t>0.00</w:t>
      </w:r>
      <w:r>
        <w:rPr>
          <w:rFonts w:hint="eastAsia" w:ascii="仿宋_GB2312" w:eastAsia="仿宋_GB2312"/>
          <w:sz w:val="28"/>
          <w:szCs w:val="28"/>
        </w:rPr>
        <w:t>元，全年支出预算数为</w:t>
      </w:r>
      <w:r>
        <w:rPr>
          <w:rFonts w:hint="eastAsia" w:ascii="仿宋_GB2312" w:eastAsia="仿宋_GB2312"/>
          <w:sz w:val="28"/>
          <w:szCs w:val="28"/>
          <w:lang w:val="en-US" w:eastAsia="zh-CN"/>
        </w:rPr>
        <w:t>0.00</w:t>
      </w:r>
      <w:r>
        <w:rPr>
          <w:rFonts w:hint="eastAsia" w:ascii="仿宋_GB2312" w:eastAsia="仿宋_GB2312"/>
          <w:sz w:val="28"/>
          <w:szCs w:val="28"/>
        </w:rPr>
        <w:t>元，资金结转结余率为</w:t>
      </w:r>
      <w:r>
        <w:rPr>
          <w:rFonts w:hint="eastAsia" w:ascii="仿宋_GB2312" w:eastAsia="仿宋_GB2312"/>
          <w:sz w:val="28"/>
          <w:szCs w:val="28"/>
          <w:lang w:val="en-US" w:eastAsia="zh-CN"/>
        </w:rPr>
        <w:t>0.0</w:t>
      </w:r>
      <w:r>
        <w:rPr>
          <w:rFonts w:hint="eastAsia" w:ascii="仿宋_GB2312" w:eastAsia="仿宋_GB2312"/>
          <w:sz w:val="28"/>
          <w:szCs w:val="28"/>
        </w:rPr>
        <w:t>%；2025年度部门结转结余率较上一年上升/下降了</w:t>
      </w:r>
      <w:r>
        <w:rPr>
          <w:rFonts w:hint="eastAsia" w:ascii="仿宋_GB2312" w:eastAsia="仿宋_GB2312"/>
          <w:sz w:val="28"/>
          <w:szCs w:val="28"/>
          <w:lang w:val="en-US" w:eastAsia="zh-CN"/>
        </w:rPr>
        <w:t>0.0</w:t>
      </w:r>
      <w:r>
        <w:rPr>
          <w:rFonts w:hint="eastAsia" w:ascii="仿宋_GB2312" w:eastAsia="仿宋_GB2312"/>
          <w:sz w:val="28"/>
          <w:szCs w:val="28"/>
        </w:rPr>
        <w:t>%。</w:t>
      </w:r>
    </w:p>
    <w:p>
      <w:pPr>
        <w:spacing w:line="580" w:lineRule="exact"/>
        <w:ind w:firstLine="641"/>
        <w:rPr>
          <w:rFonts w:hint="eastAsia" w:ascii="楷体_GB2312" w:eastAsia="楷体_GB2312"/>
          <w:b/>
          <w:sz w:val="32"/>
          <w:szCs w:val="32"/>
        </w:rPr>
      </w:pPr>
      <w:r>
        <w:rPr>
          <w:rFonts w:hint="eastAsia" w:ascii="楷体_GB2312" w:eastAsia="楷体_GB2312"/>
          <w:b/>
          <w:sz w:val="32"/>
          <w:szCs w:val="32"/>
        </w:rPr>
        <w:t>（三）整体绩效目标实现情况</w:t>
      </w:r>
    </w:p>
    <w:p>
      <w:pPr>
        <w:ind w:firstLine="560" w:firstLineChars="200"/>
        <w:rPr>
          <w:rFonts w:hint="eastAsia" w:ascii="仿宋_GB2312" w:eastAsia="仿宋_GB2312"/>
          <w:sz w:val="28"/>
          <w:szCs w:val="28"/>
        </w:rPr>
      </w:pPr>
      <w:r>
        <w:rPr>
          <w:rFonts w:hint="eastAsia" w:ascii="仿宋_GB2312" w:eastAsia="仿宋_GB2312"/>
          <w:sz w:val="28"/>
          <w:szCs w:val="28"/>
        </w:rPr>
        <w:t>1.产出完成情况分析</w:t>
      </w:r>
    </w:p>
    <w:p>
      <w:pPr>
        <w:ind w:firstLine="560" w:firstLineChars="200"/>
        <w:rPr>
          <w:rFonts w:hint="eastAsia" w:ascii="仿宋_GB2312" w:eastAsia="仿宋_GB2312"/>
          <w:sz w:val="28"/>
          <w:szCs w:val="28"/>
        </w:rPr>
      </w:pPr>
      <w:r>
        <w:rPr>
          <w:rFonts w:hint="eastAsia" w:ascii="仿宋_GB2312" w:eastAsia="仿宋_GB2312"/>
          <w:sz w:val="28"/>
          <w:szCs w:val="28"/>
        </w:rPr>
        <w:t>（1）产出数量</w:t>
      </w:r>
    </w:p>
    <w:tbl>
      <w:tblPr>
        <w:tblStyle w:val="10"/>
        <w:tblW w:w="14065" w:type="dxa"/>
        <w:tblInd w:w="108" w:type="dxa"/>
        <w:tblLayout w:type="autofit"/>
        <w:tblCellMar>
          <w:top w:w="0" w:type="dxa"/>
          <w:left w:w="108" w:type="dxa"/>
          <w:bottom w:w="0" w:type="dxa"/>
          <w:right w:w="108" w:type="dxa"/>
        </w:tblCellMar>
      </w:tblPr>
      <w:tblGrid>
        <w:gridCol w:w="880"/>
        <w:gridCol w:w="6863"/>
        <w:gridCol w:w="1918"/>
        <w:gridCol w:w="1950"/>
        <w:gridCol w:w="2454"/>
      </w:tblGrid>
      <w:tr>
        <w:tblPrEx>
          <w:tblCellMar>
            <w:top w:w="0" w:type="dxa"/>
            <w:left w:w="108" w:type="dxa"/>
            <w:bottom w:w="0" w:type="dxa"/>
            <w:right w:w="108" w:type="dxa"/>
          </w:tblCellMar>
        </w:tblPrEx>
        <w:trPr>
          <w:trHeight w:val="510" w:hRule="atLeast"/>
        </w:trPr>
        <w:tc>
          <w:tcPr>
            <w:tcW w:w="88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eastAsia="仿宋_GB2312"/>
                <w:sz w:val="28"/>
                <w:szCs w:val="28"/>
              </w:rPr>
            </w:pPr>
            <w:r>
              <w:rPr>
                <w:rFonts w:hint="eastAsia" w:ascii="仿宋_GB2312" w:eastAsia="仿宋_GB2312"/>
                <w:sz w:val="28"/>
                <w:szCs w:val="28"/>
              </w:rPr>
              <w:t>序号</w:t>
            </w:r>
          </w:p>
        </w:tc>
        <w:tc>
          <w:tcPr>
            <w:tcW w:w="6863" w:type="dxa"/>
            <w:tcBorders>
              <w:top w:val="single" w:color="auto" w:sz="4" w:space="0"/>
              <w:left w:val="nil"/>
              <w:bottom w:val="single" w:color="auto" w:sz="4" w:space="0"/>
              <w:right w:val="single" w:color="auto" w:sz="4" w:space="0"/>
            </w:tcBorders>
            <w:vAlign w:val="center"/>
          </w:tcPr>
          <w:p>
            <w:pPr>
              <w:jc w:val="center"/>
              <w:rPr>
                <w:rFonts w:hint="eastAsia" w:ascii="仿宋_GB2312" w:eastAsia="仿宋_GB2312"/>
                <w:sz w:val="28"/>
                <w:szCs w:val="28"/>
              </w:rPr>
            </w:pPr>
            <w:r>
              <w:rPr>
                <w:rFonts w:hint="eastAsia" w:ascii="仿宋_GB2312" w:eastAsia="仿宋_GB2312"/>
                <w:sz w:val="28"/>
                <w:szCs w:val="28"/>
              </w:rPr>
              <w:t>三级指标</w:t>
            </w:r>
          </w:p>
        </w:tc>
        <w:tc>
          <w:tcPr>
            <w:tcW w:w="1918" w:type="dxa"/>
            <w:tcBorders>
              <w:top w:val="single" w:color="auto" w:sz="4" w:space="0"/>
              <w:left w:val="nil"/>
              <w:bottom w:val="single" w:color="auto" w:sz="4" w:space="0"/>
              <w:right w:val="single" w:color="auto" w:sz="4" w:space="0"/>
            </w:tcBorders>
            <w:vAlign w:val="center"/>
          </w:tcPr>
          <w:p>
            <w:pPr>
              <w:jc w:val="center"/>
              <w:rPr>
                <w:rFonts w:hint="eastAsia" w:ascii="仿宋_GB2312" w:eastAsia="仿宋_GB2312"/>
                <w:sz w:val="28"/>
                <w:szCs w:val="28"/>
              </w:rPr>
            </w:pPr>
            <w:r>
              <w:rPr>
                <w:rFonts w:hint="eastAsia" w:ascii="仿宋_GB2312" w:eastAsia="仿宋_GB2312"/>
                <w:sz w:val="28"/>
                <w:szCs w:val="28"/>
              </w:rPr>
              <w:t>计划值</w:t>
            </w:r>
          </w:p>
        </w:tc>
        <w:tc>
          <w:tcPr>
            <w:tcW w:w="1950" w:type="dxa"/>
            <w:tcBorders>
              <w:top w:val="single" w:color="auto" w:sz="4" w:space="0"/>
              <w:left w:val="nil"/>
              <w:bottom w:val="single" w:color="auto" w:sz="4" w:space="0"/>
              <w:right w:val="single" w:color="auto" w:sz="4" w:space="0"/>
            </w:tcBorders>
            <w:vAlign w:val="center"/>
          </w:tcPr>
          <w:p>
            <w:pPr>
              <w:jc w:val="center"/>
              <w:rPr>
                <w:rFonts w:hint="eastAsia" w:ascii="仿宋_GB2312" w:eastAsia="仿宋_GB2312"/>
                <w:sz w:val="28"/>
                <w:szCs w:val="28"/>
              </w:rPr>
            </w:pPr>
            <w:r>
              <w:rPr>
                <w:rFonts w:hint="eastAsia" w:ascii="仿宋_GB2312" w:eastAsia="仿宋_GB2312"/>
                <w:sz w:val="28"/>
                <w:szCs w:val="28"/>
              </w:rPr>
              <w:t>完成值</w:t>
            </w:r>
          </w:p>
        </w:tc>
        <w:tc>
          <w:tcPr>
            <w:tcW w:w="2454" w:type="dxa"/>
            <w:tcBorders>
              <w:top w:val="single" w:color="auto" w:sz="4" w:space="0"/>
              <w:left w:val="nil"/>
              <w:bottom w:val="single" w:color="auto" w:sz="4" w:space="0"/>
              <w:right w:val="single" w:color="auto" w:sz="4" w:space="0"/>
            </w:tcBorders>
            <w:vAlign w:val="center"/>
          </w:tcPr>
          <w:p>
            <w:pPr>
              <w:jc w:val="center"/>
              <w:rPr>
                <w:rFonts w:hint="eastAsia" w:ascii="仿宋_GB2312" w:eastAsia="仿宋_GB2312"/>
                <w:sz w:val="28"/>
                <w:szCs w:val="28"/>
              </w:rPr>
            </w:pPr>
            <w:r>
              <w:rPr>
                <w:rFonts w:hint="eastAsia" w:ascii="仿宋_GB2312" w:eastAsia="仿宋_GB2312"/>
                <w:sz w:val="28"/>
                <w:szCs w:val="28"/>
              </w:rPr>
              <w:t>偏差原因</w:t>
            </w:r>
          </w:p>
        </w:tc>
      </w:tr>
      <w:tr>
        <w:tblPrEx>
          <w:tblCellMar>
            <w:top w:w="0" w:type="dxa"/>
            <w:left w:w="108" w:type="dxa"/>
            <w:bottom w:w="0" w:type="dxa"/>
            <w:right w:w="108" w:type="dxa"/>
          </w:tblCellMar>
        </w:tblPrEx>
        <w:trPr>
          <w:trHeight w:val="510" w:hRule="atLeast"/>
        </w:trPr>
        <w:tc>
          <w:tcPr>
            <w:tcW w:w="880" w:type="dxa"/>
            <w:tcBorders>
              <w:top w:val="nil"/>
              <w:left w:val="single" w:color="auto" w:sz="4" w:space="0"/>
              <w:bottom w:val="single" w:color="auto" w:sz="4" w:space="0"/>
              <w:right w:val="single" w:color="auto" w:sz="4" w:space="0"/>
            </w:tcBorders>
            <w:vAlign w:val="center"/>
          </w:tcPr>
          <w:p>
            <w:pPr>
              <w:ind w:firstLine="560" w:firstLineChars="200"/>
              <w:jc w:val="center"/>
              <w:rPr>
                <w:rFonts w:hint="eastAsia" w:ascii="仿宋_GB2312" w:eastAsia="仿宋_GB2312"/>
                <w:sz w:val="28"/>
                <w:szCs w:val="28"/>
              </w:rPr>
            </w:pPr>
            <w:r>
              <w:rPr>
                <w:rFonts w:hint="eastAsia" w:ascii="仿宋_GB2312" w:eastAsia="仿宋_GB2312"/>
                <w:sz w:val="28"/>
                <w:szCs w:val="28"/>
              </w:rPr>
              <w:t>1</w:t>
            </w:r>
          </w:p>
        </w:tc>
        <w:tc>
          <w:tcPr>
            <w:tcW w:w="6863" w:type="dxa"/>
            <w:tcBorders>
              <w:top w:val="nil"/>
              <w:left w:val="nil"/>
              <w:bottom w:val="single" w:color="auto" w:sz="4" w:space="0"/>
              <w:right w:val="single" w:color="auto" w:sz="4" w:space="0"/>
            </w:tcBorders>
            <w:vAlign w:val="center"/>
          </w:tcPr>
          <w:p>
            <w:pPr>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保障220人队伍工资社保正常发放</w:t>
            </w:r>
          </w:p>
        </w:tc>
        <w:tc>
          <w:tcPr>
            <w:tcW w:w="1918" w:type="dxa"/>
            <w:tcBorders>
              <w:top w:val="nil"/>
              <w:left w:val="nil"/>
              <w:bottom w:val="single" w:color="auto" w:sz="4" w:space="0"/>
              <w:right w:val="single" w:color="auto" w:sz="4" w:space="0"/>
            </w:tcBorders>
            <w:vAlign w:val="center"/>
          </w:tcPr>
          <w:p>
            <w:pPr>
              <w:ind w:firstLine="560" w:firstLineChars="200"/>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220人</w:t>
            </w:r>
          </w:p>
        </w:tc>
        <w:tc>
          <w:tcPr>
            <w:tcW w:w="1950" w:type="dxa"/>
            <w:tcBorders>
              <w:top w:val="nil"/>
              <w:left w:val="nil"/>
              <w:bottom w:val="single" w:color="auto" w:sz="4" w:space="0"/>
              <w:right w:val="single" w:color="auto" w:sz="4" w:space="0"/>
            </w:tcBorders>
            <w:vAlign w:val="center"/>
          </w:tcPr>
          <w:p>
            <w:pPr>
              <w:ind w:firstLine="560" w:firstLineChars="200"/>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100%</w:t>
            </w:r>
          </w:p>
        </w:tc>
        <w:tc>
          <w:tcPr>
            <w:tcW w:w="2454" w:type="dxa"/>
            <w:tcBorders>
              <w:top w:val="nil"/>
              <w:left w:val="nil"/>
              <w:bottom w:val="single" w:color="auto" w:sz="4" w:space="0"/>
              <w:right w:val="single" w:color="auto" w:sz="4" w:space="0"/>
            </w:tcBorders>
            <w:vAlign w:val="center"/>
          </w:tcPr>
          <w:p>
            <w:pPr>
              <w:ind w:firstLine="560" w:firstLineChars="200"/>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无</w:t>
            </w:r>
          </w:p>
        </w:tc>
      </w:tr>
      <w:tr>
        <w:tblPrEx>
          <w:tblCellMar>
            <w:top w:w="0" w:type="dxa"/>
            <w:left w:w="108" w:type="dxa"/>
            <w:bottom w:w="0" w:type="dxa"/>
            <w:right w:w="108" w:type="dxa"/>
          </w:tblCellMar>
        </w:tblPrEx>
        <w:trPr>
          <w:trHeight w:val="510" w:hRule="atLeast"/>
        </w:trPr>
        <w:tc>
          <w:tcPr>
            <w:tcW w:w="880" w:type="dxa"/>
            <w:tcBorders>
              <w:top w:val="nil"/>
              <w:left w:val="single" w:color="auto" w:sz="4" w:space="0"/>
              <w:bottom w:val="single" w:color="auto" w:sz="4" w:space="0"/>
              <w:right w:val="single" w:color="auto" w:sz="4" w:space="0"/>
            </w:tcBorders>
            <w:vAlign w:val="center"/>
          </w:tcPr>
          <w:p>
            <w:pPr>
              <w:ind w:firstLine="560" w:firstLineChars="200"/>
              <w:jc w:val="center"/>
              <w:rPr>
                <w:rFonts w:hint="eastAsia" w:ascii="仿宋_GB2312" w:eastAsia="仿宋_GB2312"/>
                <w:sz w:val="28"/>
                <w:szCs w:val="28"/>
              </w:rPr>
            </w:pPr>
            <w:r>
              <w:rPr>
                <w:rFonts w:hint="eastAsia" w:ascii="仿宋_GB2312" w:eastAsia="仿宋_GB2312"/>
                <w:sz w:val="28"/>
                <w:szCs w:val="28"/>
              </w:rPr>
              <w:t>2</w:t>
            </w:r>
          </w:p>
        </w:tc>
        <w:tc>
          <w:tcPr>
            <w:tcW w:w="6863" w:type="dxa"/>
            <w:tcBorders>
              <w:top w:val="nil"/>
              <w:left w:val="nil"/>
              <w:bottom w:val="single" w:color="auto" w:sz="4" w:space="0"/>
              <w:right w:val="single" w:color="auto" w:sz="4" w:space="0"/>
            </w:tcBorders>
            <w:vAlign w:val="center"/>
          </w:tcPr>
          <w:p>
            <w:pPr>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保障事务中心全年食品正常供应</w:t>
            </w:r>
          </w:p>
        </w:tc>
        <w:tc>
          <w:tcPr>
            <w:tcW w:w="1918" w:type="dxa"/>
            <w:tcBorders>
              <w:top w:val="nil"/>
              <w:left w:val="nil"/>
              <w:bottom w:val="single" w:color="auto" w:sz="4" w:space="0"/>
              <w:right w:val="single" w:color="auto" w:sz="4" w:space="0"/>
            </w:tcBorders>
            <w:vAlign w:val="center"/>
          </w:tcPr>
          <w:p>
            <w:pPr>
              <w:ind w:firstLine="560" w:firstLineChars="200"/>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1年</w:t>
            </w:r>
          </w:p>
        </w:tc>
        <w:tc>
          <w:tcPr>
            <w:tcW w:w="1950" w:type="dxa"/>
            <w:tcBorders>
              <w:top w:val="nil"/>
              <w:left w:val="nil"/>
              <w:bottom w:val="single" w:color="auto" w:sz="4" w:space="0"/>
              <w:right w:val="single" w:color="auto" w:sz="4" w:space="0"/>
            </w:tcBorders>
            <w:vAlign w:val="center"/>
          </w:tcPr>
          <w:p>
            <w:pPr>
              <w:ind w:firstLine="560" w:firstLineChars="200"/>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100%</w:t>
            </w:r>
          </w:p>
        </w:tc>
        <w:tc>
          <w:tcPr>
            <w:tcW w:w="2454" w:type="dxa"/>
            <w:tcBorders>
              <w:top w:val="nil"/>
              <w:left w:val="nil"/>
              <w:bottom w:val="single" w:color="auto" w:sz="4" w:space="0"/>
              <w:right w:val="single" w:color="auto" w:sz="4" w:space="0"/>
            </w:tcBorders>
            <w:vAlign w:val="center"/>
          </w:tcPr>
          <w:p>
            <w:pPr>
              <w:ind w:firstLine="560" w:firstLineChars="200"/>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无</w:t>
            </w:r>
          </w:p>
        </w:tc>
      </w:tr>
      <w:tr>
        <w:tblPrEx>
          <w:tblCellMar>
            <w:top w:w="0" w:type="dxa"/>
            <w:left w:w="108" w:type="dxa"/>
            <w:bottom w:w="0" w:type="dxa"/>
            <w:right w:w="108" w:type="dxa"/>
          </w:tblCellMar>
        </w:tblPrEx>
        <w:trPr>
          <w:trHeight w:val="510" w:hRule="atLeast"/>
        </w:trPr>
        <w:tc>
          <w:tcPr>
            <w:tcW w:w="880" w:type="dxa"/>
            <w:tcBorders>
              <w:top w:val="nil"/>
              <w:left w:val="single" w:color="auto" w:sz="4" w:space="0"/>
              <w:bottom w:val="single" w:color="auto" w:sz="4" w:space="0"/>
              <w:right w:val="single" w:color="auto" w:sz="4" w:space="0"/>
            </w:tcBorders>
            <w:vAlign w:val="center"/>
          </w:tcPr>
          <w:p>
            <w:pPr>
              <w:ind w:firstLine="560" w:firstLineChars="200"/>
              <w:jc w:val="center"/>
              <w:rPr>
                <w:rFonts w:hint="eastAsia" w:ascii="仿宋_GB2312" w:eastAsia="仿宋_GB2312"/>
                <w:sz w:val="28"/>
                <w:szCs w:val="28"/>
              </w:rPr>
            </w:pPr>
            <w:r>
              <w:rPr>
                <w:rFonts w:hint="eastAsia" w:ascii="仿宋_GB2312" w:eastAsia="仿宋_GB2312"/>
                <w:sz w:val="28"/>
                <w:szCs w:val="28"/>
              </w:rPr>
              <w:t>3</w:t>
            </w:r>
          </w:p>
        </w:tc>
        <w:tc>
          <w:tcPr>
            <w:tcW w:w="6863" w:type="dxa"/>
            <w:tcBorders>
              <w:top w:val="nil"/>
              <w:left w:val="nil"/>
              <w:bottom w:val="single" w:color="auto" w:sz="4" w:space="0"/>
              <w:right w:val="single" w:color="auto" w:sz="4" w:space="0"/>
            </w:tcBorders>
            <w:vAlign w:val="center"/>
          </w:tcPr>
          <w:p>
            <w:pPr>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保障事务中心驻地全年正常运转</w:t>
            </w:r>
          </w:p>
        </w:tc>
        <w:tc>
          <w:tcPr>
            <w:tcW w:w="1918" w:type="dxa"/>
            <w:tcBorders>
              <w:top w:val="nil"/>
              <w:left w:val="nil"/>
              <w:bottom w:val="single" w:color="auto" w:sz="4" w:space="0"/>
              <w:right w:val="single" w:color="auto" w:sz="4" w:space="0"/>
            </w:tcBorders>
            <w:vAlign w:val="center"/>
          </w:tcPr>
          <w:p>
            <w:pPr>
              <w:ind w:firstLine="560" w:firstLineChars="200"/>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1年</w:t>
            </w:r>
          </w:p>
        </w:tc>
        <w:tc>
          <w:tcPr>
            <w:tcW w:w="1950" w:type="dxa"/>
            <w:tcBorders>
              <w:top w:val="nil"/>
              <w:left w:val="nil"/>
              <w:bottom w:val="single" w:color="auto" w:sz="4" w:space="0"/>
              <w:right w:val="single" w:color="auto" w:sz="4" w:space="0"/>
            </w:tcBorders>
            <w:vAlign w:val="center"/>
          </w:tcPr>
          <w:p>
            <w:pPr>
              <w:ind w:firstLine="560" w:firstLineChars="200"/>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100%</w:t>
            </w:r>
          </w:p>
        </w:tc>
        <w:tc>
          <w:tcPr>
            <w:tcW w:w="2454" w:type="dxa"/>
            <w:tcBorders>
              <w:top w:val="nil"/>
              <w:left w:val="nil"/>
              <w:bottom w:val="single" w:color="auto" w:sz="4" w:space="0"/>
              <w:right w:val="single" w:color="auto" w:sz="4" w:space="0"/>
            </w:tcBorders>
            <w:vAlign w:val="center"/>
          </w:tcPr>
          <w:p>
            <w:pPr>
              <w:ind w:firstLine="560" w:firstLineChars="200"/>
              <w:jc w:val="center"/>
              <w:rPr>
                <w:rFonts w:hint="eastAsia" w:ascii="仿宋_GB2312" w:eastAsia="仿宋_GB2312"/>
                <w:sz w:val="28"/>
                <w:szCs w:val="28"/>
                <w:lang w:val="en-US" w:eastAsia="zh-CN"/>
              </w:rPr>
            </w:pPr>
            <w:r>
              <w:rPr>
                <w:rFonts w:hint="eastAsia" w:ascii="仿宋_GB2312" w:eastAsia="仿宋_GB2312"/>
                <w:sz w:val="28"/>
                <w:szCs w:val="28"/>
                <w:lang w:val="en-US" w:eastAsia="zh-CN"/>
              </w:rPr>
              <w:t>无</w:t>
            </w:r>
          </w:p>
        </w:tc>
      </w:tr>
    </w:tbl>
    <w:p>
      <w:pPr>
        <w:ind w:firstLine="560" w:firstLineChars="200"/>
        <w:rPr>
          <w:rFonts w:hint="eastAsia" w:ascii="仿宋_GB2312" w:eastAsia="仿宋_GB2312"/>
          <w:sz w:val="28"/>
          <w:szCs w:val="28"/>
        </w:rPr>
      </w:pPr>
      <w:r>
        <w:rPr>
          <w:rFonts w:hint="eastAsia" w:ascii="仿宋_GB2312" w:eastAsia="仿宋_GB2312"/>
          <w:sz w:val="28"/>
          <w:szCs w:val="28"/>
        </w:rPr>
        <w:t>（2）产出质量</w:t>
      </w:r>
      <w:r>
        <w:rPr>
          <w:rFonts w:hint="eastAsia" w:ascii="仿宋_GB2312" w:eastAsia="仿宋_GB2312"/>
          <w:sz w:val="28"/>
          <w:szCs w:val="28"/>
          <w:lang w:eastAsia="zh-CN"/>
        </w:rPr>
        <w:t>：</w:t>
      </w:r>
      <w:r>
        <w:rPr>
          <w:rFonts w:hint="eastAsia" w:ascii="仿宋_GB2312" w:eastAsia="仿宋_GB2312"/>
          <w:sz w:val="28"/>
          <w:szCs w:val="28"/>
          <w:lang w:val="en-US" w:eastAsia="zh-CN"/>
        </w:rPr>
        <w:t>保障事务中心全年正常运转</w:t>
      </w:r>
    </w:p>
    <w:p>
      <w:pPr>
        <w:ind w:firstLine="560" w:firstLineChars="200"/>
        <w:rPr>
          <w:rFonts w:hint="eastAsia" w:ascii="仿宋_GB2312" w:eastAsia="仿宋_GB2312"/>
          <w:sz w:val="28"/>
          <w:szCs w:val="28"/>
        </w:rPr>
      </w:pPr>
      <w:r>
        <w:rPr>
          <w:rFonts w:hint="eastAsia" w:ascii="仿宋_GB2312" w:eastAsia="仿宋_GB2312"/>
          <w:sz w:val="28"/>
          <w:szCs w:val="28"/>
        </w:rPr>
        <w:t>（3）产出进度</w:t>
      </w:r>
      <w:r>
        <w:rPr>
          <w:rFonts w:hint="eastAsia" w:ascii="仿宋_GB2312" w:eastAsia="仿宋_GB2312"/>
          <w:sz w:val="28"/>
          <w:szCs w:val="28"/>
          <w:lang w:eastAsia="zh-CN"/>
        </w:rPr>
        <w:t>：</w:t>
      </w:r>
      <w:r>
        <w:rPr>
          <w:rFonts w:hint="eastAsia" w:ascii="仿宋_GB2312" w:eastAsia="仿宋_GB2312"/>
          <w:sz w:val="28"/>
          <w:szCs w:val="28"/>
          <w:lang w:val="en-US" w:eastAsia="zh-CN"/>
        </w:rPr>
        <w:t>不涉及</w:t>
      </w:r>
    </w:p>
    <w:p>
      <w:pPr>
        <w:ind w:firstLine="560" w:firstLineChars="200"/>
        <w:rPr>
          <w:rFonts w:hint="eastAsia" w:ascii="仿宋_GB2312" w:eastAsia="仿宋_GB2312"/>
          <w:sz w:val="28"/>
          <w:szCs w:val="28"/>
        </w:rPr>
      </w:pPr>
      <w:r>
        <w:rPr>
          <w:rFonts w:hint="eastAsia" w:ascii="仿宋_GB2312" w:eastAsia="仿宋_GB2312"/>
          <w:sz w:val="28"/>
          <w:szCs w:val="28"/>
        </w:rPr>
        <w:t>（4）产出成本</w:t>
      </w:r>
      <w:r>
        <w:rPr>
          <w:rFonts w:hint="eastAsia" w:ascii="仿宋_GB2312" w:eastAsia="仿宋_GB2312"/>
          <w:sz w:val="28"/>
          <w:szCs w:val="28"/>
          <w:lang w:eastAsia="zh-CN"/>
        </w:rPr>
        <w:t>：</w:t>
      </w:r>
      <w:r>
        <w:rPr>
          <w:rFonts w:hint="eastAsia" w:ascii="仿宋_GB2312" w:eastAsia="仿宋_GB2312"/>
          <w:sz w:val="28"/>
          <w:szCs w:val="28"/>
          <w:lang w:val="en-US" w:eastAsia="zh-CN"/>
        </w:rPr>
        <w:t>不涉及</w:t>
      </w:r>
    </w:p>
    <w:p>
      <w:pPr>
        <w:ind w:firstLine="560" w:firstLineChars="200"/>
        <w:rPr>
          <w:rFonts w:hint="eastAsia" w:ascii="仿宋_GB2312" w:eastAsia="仿宋_GB2312"/>
          <w:sz w:val="28"/>
          <w:szCs w:val="28"/>
        </w:rPr>
      </w:pPr>
      <w:r>
        <w:rPr>
          <w:rFonts w:hint="eastAsia" w:ascii="仿宋_GB2312" w:eastAsia="仿宋_GB2312"/>
          <w:sz w:val="28"/>
          <w:szCs w:val="28"/>
        </w:rPr>
        <w:t>2.效果实现情况分析</w:t>
      </w:r>
    </w:p>
    <w:p>
      <w:pPr>
        <w:ind w:firstLine="560" w:firstLineChars="200"/>
        <w:rPr>
          <w:rFonts w:hint="eastAsia" w:ascii="仿宋_GB2312" w:eastAsia="仿宋_GB2312"/>
          <w:sz w:val="28"/>
          <w:szCs w:val="28"/>
        </w:rPr>
      </w:pPr>
      <w:r>
        <w:rPr>
          <w:rFonts w:hint="eastAsia" w:ascii="仿宋_GB2312" w:eastAsia="仿宋_GB2312"/>
          <w:sz w:val="28"/>
          <w:szCs w:val="28"/>
        </w:rPr>
        <w:t>（1）经济效益</w:t>
      </w:r>
      <w:r>
        <w:rPr>
          <w:rFonts w:hint="eastAsia" w:ascii="仿宋_GB2312" w:eastAsia="仿宋_GB2312"/>
          <w:sz w:val="28"/>
          <w:szCs w:val="28"/>
          <w:lang w:eastAsia="zh-CN"/>
        </w:rPr>
        <w:t>：</w:t>
      </w:r>
      <w:r>
        <w:rPr>
          <w:rFonts w:hint="eastAsia" w:ascii="仿宋_GB2312" w:eastAsia="仿宋_GB2312"/>
          <w:sz w:val="28"/>
          <w:szCs w:val="28"/>
          <w:lang w:val="en-US" w:eastAsia="zh-CN"/>
        </w:rPr>
        <w:t>不涉及</w:t>
      </w:r>
    </w:p>
    <w:p>
      <w:pPr>
        <w:ind w:firstLine="560" w:firstLineChars="200"/>
        <w:rPr>
          <w:rFonts w:hint="eastAsia" w:ascii="仿宋_GB2312" w:eastAsia="仿宋_GB2312"/>
          <w:sz w:val="28"/>
          <w:szCs w:val="28"/>
        </w:rPr>
      </w:pPr>
      <w:r>
        <w:rPr>
          <w:rFonts w:hint="eastAsia" w:ascii="仿宋_GB2312" w:eastAsia="仿宋_GB2312"/>
          <w:sz w:val="28"/>
          <w:szCs w:val="28"/>
        </w:rPr>
        <w:t>（2）社会效益</w:t>
      </w:r>
      <w:r>
        <w:rPr>
          <w:rFonts w:hint="eastAsia" w:ascii="仿宋_GB2312" w:eastAsia="仿宋_GB2312"/>
          <w:sz w:val="28"/>
          <w:szCs w:val="28"/>
          <w:lang w:eastAsia="zh-CN"/>
        </w:rPr>
        <w:t>：</w:t>
      </w:r>
      <w:r>
        <w:rPr>
          <w:rFonts w:hint="eastAsia" w:ascii="仿宋_GB2312" w:eastAsia="仿宋_GB2312"/>
          <w:sz w:val="28"/>
          <w:szCs w:val="28"/>
          <w:lang w:val="en-US" w:eastAsia="zh-CN"/>
        </w:rPr>
        <w:t>保障我区全年不发生森林火灾</w:t>
      </w:r>
    </w:p>
    <w:p>
      <w:pPr>
        <w:ind w:firstLine="560" w:firstLineChars="200"/>
        <w:rPr>
          <w:rFonts w:hint="eastAsia" w:ascii="仿宋_GB2312" w:eastAsia="仿宋_GB2312"/>
          <w:sz w:val="28"/>
          <w:szCs w:val="28"/>
        </w:rPr>
      </w:pPr>
      <w:r>
        <w:rPr>
          <w:rFonts w:hint="eastAsia" w:ascii="仿宋_GB2312" w:eastAsia="仿宋_GB2312"/>
          <w:sz w:val="28"/>
          <w:szCs w:val="28"/>
        </w:rPr>
        <w:t>（3）环境效益</w:t>
      </w:r>
      <w:r>
        <w:rPr>
          <w:rFonts w:hint="eastAsia" w:ascii="仿宋_GB2312" w:eastAsia="仿宋_GB2312"/>
          <w:sz w:val="28"/>
          <w:szCs w:val="28"/>
          <w:lang w:eastAsia="zh-CN"/>
        </w:rPr>
        <w:t>：</w:t>
      </w:r>
      <w:r>
        <w:rPr>
          <w:rFonts w:hint="eastAsia" w:ascii="仿宋_GB2312" w:eastAsia="仿宋_GB2312"/>
          <w:sz w:val="28"/>
          <w:szCs w:val="28"/>
          <w:lang w:val="en-US" w:eastAsia="zh-CN"/>
        </w:rPr>
        <w:t>不涉及</w:t>
      </w:r>
    </w:p>
    <w:p>
      <w:pPr>
        <w:ind w:firstLine="560" w:firstLineChars="200"/>
        <w:rPr>
          <w:rFonts w:hint="default" w:ascii="仿宋_GB2312" w:eastAsia="仿宋_GB2312"/>
          <w:sz w:val="28"/>
          <w:szCs w:val="28"/>
          <w:lang w:val="en-US" w:eastAsia="zh-CN"/>
        </w:rPr>
      </w:pPr>
      <w:r>
        <w:rPr>
          <w:rFonts w:hint="eastAsia" w:ascii="仿宋_GB2312" w:eastAsia="仿宋_GB2312"/>
          <w:sz w:val="28"/>
          <w:szCs w:val="28"/>
        </w:rPr>
        <w:t>（4）可持续影响</w:t>
      </w:r>
      <w:r>
        <w:rPr>
          <w:rFonts w:hint="eastAsia" w:ascii="仿宋_GB2312" w:eastAsia="仿宋_GB2312"/>
          <w:sz w:val="28"/>
          <w:szCs w:val="28"/>
          <w:lang w:eastAsia="zh-CN"/>
        </w:rPr>
        <w:t>：</w:t>
      </w:r>
      <w:r>
        <w:rPr>
          <w:rFonts w:hint="eastAsia" w:ascii="仿宋_GB2312" w:eastAsia="仿宋_GB2312"/>
          <w:sz w:val="28"/>
          <w:szCs w:val="28"/>
          <w:lang w:val="en-US" w:eastAsia="zh-CN"/>
        </w:rPr>
        <w:t>1年</w:t>
      </w:r>
    </w:p>
    <w:p>
      <w:pPr>
        <w:ind w:firstLine="560" w:firstLineChars="200"/>
        <w:rPr>
          <w:rFonts w:hint="eastAsia" w:ascii="仿宋_GB2312" w:eastAsia="仿宋_GB2312"/>
          <w:sz w:val="28"/>
          <w:szCs w:val="28"/>
        </w:rPr>
      </w:pPr>
      <w:r>
        <w:rPr>
          <w:rFonts w:hint="eastAsia" w:ascii="仿宋_GB2312" w:eastAsia="仿宋_GB2312"/>
          <w:sz w:val="28"/>
          <w:szCs w:val="28"/>
        </w:rPr>
        <w:t>（5）服务对象满意度</w:t>
      </w:r>
      <w:r>
        <w:rPr>
          <w:rFonts w:hint="eastAsia" w:ascii="仿宋_GB2312" w:eastAsia="仿宋_GB2312"/>
          <w:sz w:val="28"/>
          <w:szCs w:val="28"/>
          <w:lang w:eastAsia="zh-CN"/>
        </w:rPr>
        <w:t>：</w:t>
      </w:r>
      <w:r>
        <w:rPr>
          <w:rFonts w:hint="eastAsia" w:ascii="仿宋_GB2312" w:eastAsia="仿宋_GB2312"/>
          <w:sz w:val="28"/>
          <w:szCs w:val="28"/>
          <w:lang w:val="en-US" w:eastAsia="zh-CN"/>
        </w:rPr>
        <w:t>不涉及</w:t>
      </w:r>
    </w:p>
    <w:p>
      <w:pPr>
        <w:spacing w:line="580" w:lineRule="exact"/>
        <w:ind w:firstLine="640"/>
        <w:rPr>
          <w:rFonts w:hint="eastAsia" w:ascii="楷体_GB2312" w:eastAsia="楷体_GB2312"/>
          <w:b/>
          <w:sz w:val="32"/>
          <w:szCs w:val="32"/>
        </w:rPr>
      </w:pPr>
      <w:r>
        <w:rPr>
          <w:rFonts w:hint="eastAsia" w:ascii="楷体_GB2312" w:eastAsia="楷体_GB2312"/>
          <w:b/>
          <w:sz w:val="32"/>
          <w:szCs w:val="32"/>
        </w:rPr>
        <w:t>（四）预算管理情况分析</w:t>
      </w:r>
    </w:p>
    <w:p>
      <w:pPr>
        <w:ind w:firstLine="560" w:firstLineChars="200"/>
        <w:rPr>
          <w:rFonts w:hint="eastAsia" w:ascii="仿宋_GB2312" w:eastAsia="仿宋_GB2312"/>
          <w:sz w:val="28"/>
          <w:szCs w:val="28"/>
        </w:rPr>
      </w:pPr>
      <w:r>
        <w:rPr>
          <w:rFonts w:hint="eastAsia" w:ascii="仿宋_GB2312" w:eastAsia="仿宋_GB2312"/>
          <w:sz w:val="28"/>
          <w:szCs w:val="28"/>
        </w:rPr>
        <w:t>1.财务管理</w:t>
      </w:r>
      <w:r>
        <w:rPr>
          <w:rFonts w:hint="eastAsia" w:ascii="仿宋_GB2312" w:eastAsia="仿宋_GB2312"/>
          <w:sz w:val="28"/>
          <w:szCs w:val="28"/>
          <w:lang w:val="en-US" w:eastAsia="zh-CN"/>
        </w:rPr>
        <w:t>:我单位在财务管理上</w:t>
      </w:r>
      <w:r>
        <w:rPr>
          <w:rFonts w:hint="eastAsia" w:ascii="仿宋_GB2312" w:eastAsia="仿宋_GB2312"/>
          <w:sz w:val="28"/>
          <w:szCs w:val="28"/>
        </w:rPr>
        <w:t>，严格审批流程，使用科队申请-科队主管审批-财务主管审批，大额以上资金由领导班子集体讨论决定。财务信息资料由财务人员兼管，负责整理立卷，装订成册，统一妥善保管。严格执行安全和保密制度，严防毁损、丢失和泄密。</w:t>
      </w:r>
    </w:p>
    <w:p>
      <w:pPr>
        <w:ind w:firstLine="560" w:firstLineChars="200"/>
        <w:rPr>
          <w:rFonts w:hint="eastAsia" w:ascii="仿宋_GB2312" w:eastAsia="仿宋_GB2312"/>
          <w:sz w:val="28"/>
          <w:szCs w:val="28"/>
        </w:rPr>
      </w:pPr>
      <w:r>
        <w:rPr>
          <w:rFonts w:hint="eastAsia" w:ascii="仿宋_GB2312" w:eastAsia="仿宋_GB2312"/>
          <w:sz w:val="28"/>
          <w:szCs w:val="28"/>
        </w:rPr>
        <w:t>2.资产管理</w:t>
      </w:r>
      <w:r>
        <w:rPr>
          <w:rFonts w:hint="eastAsia" w:ascii="仿宋_GB2312" w:eastAsia="仿宋_GB2312"/>
          <w:sz w:val="28"/>
          <w:szCs w:val="28"/>
          <w:lang w:eastAsia="zh-CN"/>
        </w:rPr>
        <w:t>：</w:t>
      </w:r>
      <w:r>
        <w:rPr>
          <w:rFonts w:hint="eastAsia" w:ascii="仿宋_GB2312" w:eastAsia="仿宋_GB2312"/>
          <w:sz w:val="28"/>
          <w:szCs w:val="28"/>
          <w:lang w:val="en-US" w:eastAsia="zh-CN"/>
        </w:rPr>
        <w:t>我单位严格按照相关资产管理制度开展资产管理工作。</w:t>
      </w:r>
    </w:p>
    <w:p>
      <w:pPr>
        <w:ind w:firstLine="560" w:firstLineChars="200"/>
        <w:rPr>
          <w:rFonts w:hint="eastAsia" w:ascii="仿宋_GB2312" w:eastAsia="仿宋_GB2312"/>
          <w:sz w:val="28"/>
          <w:szCs w:val="28"/>
        </w:rPr>
      </w:pPr>
      <w:r>
        <w:rPr>
          <w:rFonts w:hint="eastAsia" w:ascii="仿宋_GB2312" w:eastAsia="仿宋_GB2312"/>
          <w:sz w:val="28"/>
          <w:szCs w:val="28"/>
        </w:rPr>
        <w:t>3.绩效管理</w:t>
      </w:r>
    </w:p>
    <w:p>
      <w:pPr>
        <w:ind w:firstLine="560" w:firstLineChars="200"/>
        <w:rPr>
          <w:rFonts w:hint="eastAsia" w:ascii="仿宋_GB2312" w:eastAsia="仿宋_GB2312"/>
          <w:sz w:val="28"/>
          <w:szCs w:val="28"/>
          <w:lang w:eastAsia="zh-CN"/>
        </w:rPr>
      </w:pPr>
      <w:r>
        <w:rPr>
          <w:rFonts w:hint="eastAsia" w:ascii="仿宋_GB2312" w:eastAsia="仿宋_GB2312"/>
          <w:sz w:val="28"/>
          <w:szCs w:val="28"/>
        </w:rPr>
        <w:t>（1）预算绩效管理制度情况</w:t>
      </w:r>
      <w:r>
        <w:rPr>
          <w:rFonts w:hint="eastAsia" w:ascii="仿宋_GB2312" w:eastAsia="仿宋_GB2312"/>
          <w:sz w:val="28"/>
          <w:szCs w:val="28"/>
          <w:lang w:eastAsia="zh-CN"/>
        </w:rPr>
        <w:t>：</w:t>
      </w:r>
      <w:r>
        <w:rPr>
          <w:rFonts w:hint="eastAsia" w:ascii="仿宋_GB2312" w:eastAsia="仿宋_GB2312"/>
          <w:sz w:val="28"/>
          <w:szCs w:val="28"/>
          <w:lang w:val="en-US" w:eastAsia="zh-CN"/>
        </w:rPr>
        <w:t>我单位严格按照财政相关要求完成绩效管理工作。</w:t>
      </w:r>
    </w:p>
    <w:p>
      <w:pPr>
        <w:ind w:firstLine="560" w:firstLineChars="200"/>
        <w:rPr>
          <w:rFonts w:hint="eastAsia" w:ascii="仿宋_GB2312" w:eastAsia="仿宋_GB2312"/>
          <w:sz w:val="28"/>
          <w:szCs w:val="28"/>
        </w:rPr>
      </w:pPr>
      <w:r>
        <w:rPr>
          <w:rFonts w:hint="eastAsia" w:ascii="仿宋_GB2312" w:eastAsia="仿宋_GB2312"/>
          <w:sz w:val="28"/>
          <w:szCs w:val="28"/>
        </w:rPr>
        <w:t>（2）绩效目标管理情况</w:t>
      </w:r>
    </w:p>
    <w:p>
      <w:pPr>
        <w:ind w:firstLine="560" w:firstLineChars="200"/>
        <w:rPr>
          <w:rFonts w:hint="eastAsia" w:ascii="仿宋_GB2312" w:eastAsia="仿宋_GB2312"/>
          <w:sz w:val="28"/>
          <w:szCs w:val="28"/>
        </w:rPr>
      </w:pPr>
      <w:r>
        <w:rPr>
          <w:rFonts w:hint="eastAsia" w:ascii="仿宋_GB2312" w:eastAsia="仿宋_GB2312"/>
          <w:sz w:val="28"/>
          <w:szCs w:val="28"/>
        </w:rPr>
        <w:t>2025年</w:t>
      </w:r>
      <w:r>
        <w:rPr>
          <w:rFonts w:hint="eastAsia" w:ascii="仿宋_GB2312" w:eastAsia="仿宋_GB2312"/>
          <w:sz w:val="28"/>
          <w:szCs w:val="28"/>
          <w:lang w:eastAsia="zh-CN"/>
        </w:rPr>
        <w:t>单位</w:t>
      </w:r>
      <w:r>
        <w:rPr>
          <w:rFonts w:hint="eastAsia" w:ascii="仿宋_GB2312" w:eastAsia="仿宋_GB2312"/>
          <w:sz w:val="28"/>
          <w:szCs w:val="28"/>
        </w:rPr>
        <w:t>预算项目</w:t>
      </w:r>
      <w:r>
        <w:rPr>
          <w:rFonts w:hint="eastAsia" w:ascii="仿宋_GB2312" w:eastAsia="仿宋_GB2312"/>
          <w:sz w:val="28"/>
          <w:szCs w:val="28"/>
          <w:lang w:val="en-US" w:eastAsia="zh-CN"/>
        </w:rPr>
        <w:t>3</w:t>
      </w:r>
      <w:r>
        <w:rPr>
          <w:rFonts w:hint="eastAsia" w:ascii="仿宋_GB2312" w:eastAsia="仿宋_GB2312"/>
          <w:sz w:val="28"/>
          <w:szCs w:val="28"/>
        </w:rPr>
        <w:t>个，</w:t>
      </w:r>
      <w:r>
        <w:rPr>
          <w:rFonts w:hint="eastAsia" w:ascii="仿宋_GB2312" w:eastAsia="仿宋_GB2312"/>
          <w:sz w:val="28"/>
          <w:szCs w:val="28"/>
          <w:lang w:eastAsia="zh-CN"/>
        </w:rPr>
        <w:t>单位</w:t>
      </w:r>
      <w:r>
        <w:rPr>
          <w:rFonts w:hint="eastAsia" w:ascii="仿宋_GB2312" w:eastAsia="仿宋_GB2312"/>
          <w:sz w:val="28"/>
          <w:szCs w:val="28"/>
        </w:rPr>
        <w:t>预算公开绩效目标的预算项目</w:t>
      </w:r>
      <w:r>
        <w:rPr>
          <w:rFonts w:hint="eastAsia" w:ascii="仿宋_GB2312" w:eastAsia="仿宋_GB2312"/>
          <w:sz w:val="28"/>
          <w:szCs w:val="28"/>
          <w:lang w:val="en-US" w:eastAsia="zh-CN"/>
        </w:rPr>
        <w:t>3</w:t>
      </w:r>
      <w:r>
        <w:rPr>
          <w:rFonts w:hint="eastAsia" w:ascii="仿宋_GB2312" w:eastAsia="仿宋_GB2312"/>
          <w:sz w:val="28"/>
          <w:szCs w:val="28"/>
        </w:rPr>
        <w:t>个，占本</w:t>
      </w:r>
      <w:r>
        <w:rPr>
          <w:rFonts w:hint="eastAsia" w:ascii="仿宋_GB2312" w:eastAsia="仿宋_GB2312"/>
          <w:sz w:val="28"/>
          <w:szCs w:val="28"/>
          <w:lang w:eastAsia="zh-CN"/>
        </w:rPr>
        <w:t>单位</w:t>
      </w:r>
      <w:bookmarkStart w:id="4" w:name="_GoBack"/>
      <w:bookmarkEnd w:id="4"/>
      <w:r>
        <w:rPr>
          <w:rFonts w:hint="eastAsia" w:ascii="仿宋_GB2312" w:eastAsia="仿宋_GB2312"/>
          <w:sz w:val="28"/>
          <w:szCs w:val="28"/>
        </w:rPr>
        <w:t>全部预算项目的</w:t>
      </w:r>
      <w:r>
        <w:rPr>
          <w:rFonts w:hint="eastAsia" w:ascii="仿宋_GB2312" w:eastAsia="仿宋_GB2312"/>
          <w:sz w:val="28"/>
          <w:szCs w:val="28"/>
          <w:lang w:val="en-US" w:eastAsia="zh-CN"/>
        </w:rPr>
        <w:t>100.0</w:t>
      </w:r>
      <w:r>
        <w:rPr>
          <w:rFonts w:hint="eastAsia" w:ascii="仿宋_GB2312" w:eastAsia="仿宋_GB2312"/>
          <w:sz w:val="28"/>
          <w:szCs w:val="28"/>
        </w:rPr>
        <w:t>%。</w:t>
      </w:r>
    </w:p>
    <w:p>
      <w:pPr>
        <w:ind w:firstLine="560" w:firstLineChars="200"/>
        <w:rPr>
          <w:rFonts w:hint="eastAsia" w:ascii="仿宋_GB2312" w:eastAsia="仿宋_GB2312"/>
          <w:sz w:val="28"/>
          <w:szCs w:val="28"/>
        </w:rPr>
      </w:pPr>
      <w:r>
        <w:rPr>
          <w:rFonts w:hint="eastAsia" w:ascii="仿宋_GB2312" w:eastAsia="仿宋_GB2312"/>
          <w:sz w:val="28"/>
          <w:szCs w:val="28"/>
        </w:rPr>
        <w:t>（3）绩效运行监控情况</w:t>
      </w:r>
    </w:p>
    <w:p>
      <w:pPr>
        <w:ind w:firstLine="560" w:firstLineChars="200"/>
        <w:rPr>
          <w:rFonts w:hint="eastAsia" w:ascii="仿宋_GB2312" w:eastAsia="仿宋_GB2312"/>
          <w:sz w:val="28"/>
          <w:szCs w:val="28"/>
        </w:rPr>
      </w:pPr>
      <w:r>
        <w:rPr>
          <w:rFonts w:hint="eastAsia" w:ascii="仿宋_GB2312" w:eastAsia="仿宋_GB2312"/>
          <w:sz w:val="28"/>
          <w:szCs w:val="28"/>
        </w:rPr>
        <w:t>2025年对本单位</w:t>
      </w:r>
      <w:r>
        <w:rPr>
          <w:rFonts w:hint="eastAsia" w:ascii="仿宋_GB2312" w:eastAsia="仿宋_GB2312"/>
          <w:sz w:val="28"/>
          <w:szCs w:val="28"/>
          <w:lang w:val="en-US" w:eastAsia="zh-CN"/>
        </w:rPr>
        <w:t>3</w:t>
      </w:r>
      <w:r>
        <w:rPr>
          <w:rFonts w:hint="eastAsia" w:ascii="仿宋_GB2312" w:eastAsia="仿宋_GB2312"/>
          <w:sz w:val="28"/>
          <w:szCs w:val="28"/>
        </w:rPr>
        <w:t>个预算项目进行绩效运行监控，占</w:t>
      </w:r>
      <w:r>
        <w:rPr>
          <w:rFonts w:hint="eastAsia" w:ascii="仿宋_GB2312" w:eastAsia="仿宋_GB2312"/>
          <w:sz w:val="28"/>
          <w:szCs w:val="28"/>
          <w:lang w:eastAsia="zh-CN"/>
        </w:rPr>
        <w:t>单位</w:t>
      </w:r>
      <w:r>
        <w:rPr>
          <w:rFonts w:hint="eastAsia" w:ascii="仿宋_GB2312" w:eastAsia="仿宋_GB2312"/>
          <w:sz w:val="28"/>
          <w:szCs w:val="28"/>
        </w:rPr>
        <w:t>项目总数的</w:t>
      </w:r>
      <w:r>
        <w:rPr>
          <w:rFonts w:hint="eastAsia" w:ascii="仿宋_GB2312" w:eastAsia="仿宋_GB2312"/>
          <w:sz w:val="28"/>
          <w:szCs w:val="28"/>
          <w:lang w:val="en-US" w:eastAsia="zh-CN"/>
        </w:rPr>
        <w:t>100.00</w:t>
      </w:r>
      <w:r>
        <w:rPr>
          <w:rFonts w:hint="eastAsia" w:ascii="仿宋_GB2312" w:eastAsia="仿宋_GB2312"/>
          <w:sz w:val="28"/>
          <w:szCs w:val="28"/>
        </w:rPr>
        <w:t>%，涉及资金</w:t>
      </w:r>
      <w:r>
        <w:rPr>
          <w:rFonts w:hint="eastAsia" w:ascii="仿宋_GB2312" w:eastAsia="仿宋_GB2312"/>
          <w:sz w:val="28"/>
          <w:szCs w:val="28"/>
          <w:lang w:val="en-US" w:eastAsia="zh-CN"/>
        </w:rPr>
        <w:t>29,714,072.56</w:t>
      </w:r>
      <w:r>
        <w:rPr>
          <w:rFonts w:hint="eastAsia" w:ascii="仿宋_GB2312" w:eastAsia="仿宋_GB2312"/>
          <w:sz w:val="28"/>
          <w:szCs w:val="28"/>
        </w:rPr>
        <w:t>元。</w:t>
      </w:r>
    </w:p>
    <w:p>
      <w:pPr>
        <w:ind w:firstLine="560" w:firstLineChars="200"/>
        <w:rPr>
          <w:rFonts w:hint="eastAsia" w:ascii="仿宋_GB2312" w:eastAsia="仿宋_GB2312"/>
          <w:sz w:val="28"/>
          <w:szCs w:val="28"/>
        </w:rPr>
      </w:pPr>
      <w:r>
        <w:rPr>
          <w:rFonts w:hint="eastAsia" w:ascii="仿宋_GB2312" w:eastAsia="仿宋_GB2312"/>
          <w:sz w:val="28"/>
          <w:szCs w:val="28"/>
        </w:rPr>
        <w:t>（4）绩效自评情况</w:t>
      </w:r>
    </w:p>
    <w:p>
      <w:pPr>
        <w:ind w:firstLine="560" w:firstLineChars="200"/>
        <w:rPr>
          <w:rFonts w:hint="eastAsia" w:ascii="仿宋_GB2312" w:eastAsia="仿宋_GB2312"/>
          <w:sz w:val="28"/>
          <w:szCs w:val="28"/>
        </w:rPr>
      </w:pPr>
      <w:r>
        <w:rPr>
          <w:rFonts w:hint="eastAsia" w:ascii="仿宋_GB2312" w:eastAsia="仿宋_GB2312"/>
          <w:sz w:val="28"/>
          <w:szCs w:val="28"/>
        </w:rPr>
        <w:t>2025年对单位202</w:t>
      </w:r>
      <w:r>
        <w:rPr>
          <w:rFonts w:hint="eastAsia" w:ascii="仿宋_GB2312" w:eastAsia="仿宋_GB2312"/>
          <w:sz w:val="28"/>
          <w:szCs w:val="28"/>
          <w:lang w:val="en-US" w:eastAsia="zh-CN"/>
        </w:rPr>
        <w:t>5</w:t>
      </w:r>
      <w:r>
        <w:rPr>
          <w:rFonts w:hint="eastAsia" w:ascii="仿宋_GB2312" w:eastAsia="仿宋_GB2312"/>
          <w:sz w:val="28"/>
          <w:szCs w:val="28"/>
        </w:rPr>
        <w:t>年项目支出实施了绩效自评，评价项目</w:t>
      </w:r>
      <w:r>
        <w:rPr>
          <w:rFonts w:hint="eastAsia" w:ascii="仿宋_GB2312" w:eastAsia="仿宋_GB2312"/>
          <w:sz w:val="28"/>
          <w:szCs w:val="28"/>
          <w:lang w:val="en-US" w:eastAsia="zh-CN"/>
        </w:rPr>
        <w:t>3</w:t>
      </w:r>
      <w:r>
        <w:rPr>
          <w:rFonts w:hint="eastAsia" w:ascii="仿宋_GB2312" w:eastAsia="仿宋_GB2312"/>
          <w:sz w:val="28"/>
          <w:szCs w:val="28"/>
        </w:rPr>
        <w:t>个，涉及金额</w:t>
      </w:r>
      <w:r>
        <w:rPr>
          <w:rFonts w:hint="eastAsia" w:ascii="仿宋_GB2312" w:eastAsia="仿宋_GB2312"/>
          <w:sz w:val="28"/>
          <w:szCs w:val="28"/>
          <w:lang w:val="en-US" w:eastAsia="zh-CN"/>
        </w:rPr>
        <w:t>29,714,072.56</w:t>
      </w:r>
      <w:r>
        <w:rPr>
          <w:rFonts w:hint="eastAsia" w:ascii="仿宋_GB2312" w:eastAsia="仿宋_GB2312"/>
          <w:sz w:val="28"/>
          <w:szCs w:val="28"/>
        </w:rPr>
        <w:t>元。</w:t>
      </w:r>
    </w:p>
    <w:p>
      <w:pPr>
        <w:spacing w:line="580" w:lineRule="exact"/>
        <w:ind w:firstLine="640"/>
        <w:rPr>
          <w:rFonts w:hint="eastAsia" w:ascii="楷体_GB2312" w:eastAsia="楷体_GB2312"/>
          <w:b/>
          <w:sz w:val="32"/>
          <w:szCs w:val="32"/>
        </w:rPr>
      </w:pPr>
      <w:r>
        <w:rPr>
          <w:rFonts w:hint="eastAsia" w:ascii="楷体_GB2312" w:eastAsia="楷体_GB2312"/>
          <w:b/>
          <w:sz w:val="32"/>
          <w:szCs w:val="32"/>
        </w:rPr>
        <w:t>（五）总体评价结论</w:t>
      </w:r>
    </w:p>
    <w:p>
      <w:pPr>
        <w:ind w:firstLine="560" w:firstLineChars="200"/>
        <w:rPr>
          <w:rFonts w:hint="eastAsia" w:ascii="仿宋_GB2312" w:eastAsia="仿宋_GB2312"/>
          <w:sz w:val="28"/>
          <w:szCs w:val="28"/>
        </w:rPr>
      </w:pPr>
      <w:r>
        <w:rPr>
          <w:rFonts w:hint="eastAsia" w:ascii="仿宋_GB2312" w:eastAsia="仿宋_GB2312"/>
          <w:sz w:val="28"/>
          <w:szCs w:val="28"/>
        </w:rPr>
        <w:t>1.评价得分情况</w:t>
      </w:r>
    </w:p>
    <w:p>
      <w:pPr>
        <w:ind w:firstLine="560" w:firstLineChars="200"/>
        <w:rPr>
          <w:rFonts w:hint="eastAsia" w:ascii="仿宋_GB2312" w:eastAsia="仿宋_GB2312"/>
          <w:sz w:val="28"/>
          <w:szCs w:val="28"/>
        </w:rPr>
      </w:pPr>
      <w:r>
        <w:rPr>
          <w:rFonts w:hint="eastAsia" w:ascii="仿宋_GB2312" w:eastAsia="仿宋_GB2312"/>
          <w:sz w:val="28"/>
          <w:szCs w:val="28"/>
        </w:rPr>
        <w:t>绩效自评总分：</w:t>
      </w:r>
      <w:r>
        <w:rPr>
          <w:rFonts w:hint="eastAsia" w:ascii="仿宋_GB2312" w:eastAsia="仿宋_GB2312"/>
          <w:sz w:val="28"/>
          <w:szCs w:val="28"/>
          <w:lang w:val="en-US" w:eastAsia="zh-CN"/>
        </w:rPr>
        <w:t>99</w:t>
      </w:r>
      <w:r>
        <w:rPr>
          <w:rFonts w:hint="eastAsia" w:ascii="仿宋_GB2312" w:eastAsia="仿宋_GB2312"/>
          <w:sz w:val="28"/>
          <w:szCs w:val="28"/>
        </w:rPr>
        <w:t>分</w:t>
      </w:r>
    </w:p>
    <w:p>
      <w:pPr>
        <w:ind w:firstLine="560" w:firstLineChars="200"/>
        <w:rPr>
          <w:rFonts w:hint="eastAsia" w:ascii="仿宋_GB2312" w:eastAsia="仿宋_GB2312"/>
          <w:sz w:val="28"/>
          <w:szCs w:val="28"/>
        </w:rPr>
      </w:pPr>
      <w:r>
        <w:rPr>
          <w:rFonts w:hint="eastAsia" w:ascii="仿宋_GB2312" w:eastAsia="仿宋_GB2312"/>
          <w:sz w:val="28"/>
          <w:szCs w:val="28"/>
        </w:rPr>
        <w:t>绩效自评等级：</w:t>
      </w:r>
      <w:r>
        <w:rPr>
          <w:rFonts w:hint="eastAsia" w:ascii="仿宋_GB2312" w:eastAsia="仿宋_GB2312"/>
          <w:sz w:val="28"/>
          <w:szCs w:val="28"/>
          <w:lang w:val="en-US" w:eastAsia="zh-CN"/>
        </w:rPr>
        <w:t>优</w:t>
      </w:r>
    </w:p>
    <w:p>
      <w:pPr>
        <w:ind w:firstLine="560" w:firstLineChars="200"/>
        <w:rPr>
          <w:rFonts w:hint="default" w:ascii="仿宋_GB2312" w:eastAsia="仿宋_GB2312"/>
          <w:sz w:val="28"/>
          <w:szCs w:val="28"/>
          <w:lang w:val="en-US" w:eastAsia="zh-CN"/>
        </w:rPr>
      </w:pPr>
      <w:r>
        <w:rPr>
          <w:rFonts w:hint="eastAsia" w:ascii="仿宋_GB2312" w:eastAsia="仿宋_GB2312"/>
          <w:sz w:val="28"/>
          <w:szCs w:val="28"/>
        </w:rPr>
        <w:t>2.存在的问题及原因分析</w:t>
      </w:r>
      <w:r>
        <w:rPr>
          <w:rFonts w:hint="eastAsia" w:ascii="仿宋_GB2312" w:eastAsia="仿宋_GB2312"/>
          <w:sz w:val="28"/>
          <w:szCs w:val="28"/>
          <w:lang w:val="en-US" w:eastAsia="zh-CN"/>
        </w:rPr>
        <w:t>:我单位项目资金大部分为人员工资，餐费，事务中心运转费用，按时按进度支付，会导致支出进度较慢情况。</w:t>
      </w:r>
    </w:p>
    <w:p>
      <w:pPr>
        <w:ind w:firstLine="560" w:firstLineChars="200"/>
        <w:rPr>
          <w:rFonts w:hint="eastAsia" w:ascii="仿宋_GB2312" w:eastAsia="仿宋_GB2312"/>
          <w:sz w:val="28"/>
          <w:szCs w:val="28"/>
        </w:rPr>
      </w:pPr>
      <w:r>
        <w:rPr>
          <w:rFonts w:hint="eastAsia" w:ascii="仿宋_GB2312" w:eastAsia="仿宋_GB2312"/>
          <w:sz w:val="28"/>
          <w:szCs w:val="28"/>
        </w:rPr>
        <w:t>3.改进措施</w:t>
      </w:r>
      <w:r>
        <w:rPr>
          <w:rFonts w:hint="eastAsia" w:ascii="仿宋_GB2312" w:eastAsia="仿宋_GB2312"/>
          <w:sz w:val="28"/>
          <w:szCs w:val="28"/>
          <w:lang w:eastAsia="zh-CN"/>
        </w:rPr>
        <w:t>：</w:t>
      </w:r>
      <w:r>
        <w:rPr>
          <w:rFonts w:hint="eastAsia" w:ascii="仿宋_GB2312" w:eastAsia="仿宋_GB2312"/>
          <w:sz w:val="28"/>
          <w:szCs w:val="28"/>
          <w:lang w:val="en-US" w:eastAsia="zh-CN"/>
        </w:rPr>
        <w:t>加强项目管理，加快支付进度。</w:t>
      </w:r>
    </w:p>
    <w:bookmarkEnd w:id="1"/>
    <w:p>
      <w:pPr>
        <w:spacing w:line="580" w:lineRule="exact"/>
        <w:ind w:firstLine="640"/>
        <w:rPr>
          <w:rFonts w:hint="eastAsia" w:ascii="黑体" w:hAnsi="黑体" w:eastAsia="黑体"/>
          <w:sz w:val="32"/>
          <w:szCs w:val="32"/>
        </w:rPr>
      </w:pPr>
      <w:r>
        <w:rPr>
          <w:rFonts w:hint="eastAsia" w:ascii="黑体" w:hAnsi="黑体" w:eastAsia="黑体"/>
          <w:sz w:val="32"/>
          <w:szCs w:val="32"/>
        </w:rPr>
        <w:t>二、项目支出绩效自评情况</w:t>
      </w:r>
    </w:p>
    <w:p>
      <w:pPr>
        <w:spacing w:line="580" w:lineRule="exact"/>
        <w:ind w:firstLine="809" w:firstLineChars="253"/>
        <w:rPr>
          <w:rFonts w:hint="eastAsia" w:ascii="楷体_GB2312" w:hAnsi="仿宋" w:eastAsia="楷体_GB2312"/>
          <w:b/>
          <w:sz w:val="32"/>
          <w:szCs w:val="32"/>
        </w:rPr>
      </w:pPr>
      <w:r>
        <w:rPr>
          <w:rFonts w:hint="eastAsia" w:ascii="楷体_GB2312" w:hAnsi="仿宋" w:eastAsia="楷体_GB2312"/>
          <w:b/>
          <w:sz w:val="32"/>
          <w:szCs w:val="32"/>
        </w:rPr>
        <w:t>（一）绩效自评开展总体情况</w:t>
      </w:r>
    </w:p>
    <w:p>
      <w:pPr>
        <w:spacing w:line="580" w:lineRule="exact"/>
        <w:ind w:firstLine="708" w:firstLineChars="253"/>
        <w:rPr>
          <w:rFonts w:hint="eastAsia" w:ascii="仿宋_GB2312" w:hAnsi="Calibri" w:eastAsia="仿宋_GB2312"/>
          <w:sz w:val="32"/>
          <w:szCs w:val="32"/>
        </w:rPr>
      </w:pPr>
      <w:r>
        <w:rPr>
          <w:rFonts w:hint="eastAsia" w:ascii="仿宋_GB2312" w:eastAsia="仿宋_GB2312"/>
          <w:sz w:val="28"/>
          <w:szCs w:val="28"/>
        </w:rPr>
        <w:t>2025年度区财政批复项目支出预算项目</w:t>
      </w:r>
      <w:r>
        <w:rPr>
          <w:rFonts w:hint="eastAsia" w:ascii="仿宋_GB2312" w:eastAsia="仿宋_GB2312"/>
          <w:sz w:val="28"/>
          <w:szCs w:val="28"/>
          <w:lang w:val="en-US" w:eastAsia="zh-CN"/>
        </w:rPr>
        <w:t>3</w:t>
      </w:r>
      <w:r>
        <w:rPr>
          <w:rFonts w:hint="eastAsia" w:ascii="仿宋_GB2312" w:eastAsia="仿宋_GB2312"/>
          <w:sz w:val="28"/>
          <w:szCs w:val="28"/>
        </w:rPr>
        <w:t>个，涉及金额</w:t>
      </w:r>
      <w:r>
        <w:rPr>
          <w:rFonts w:hint="eastAsia" w:ascii="仿宋_GB2312" w:eastAsia="仿宋_GB2312"/>
          <w:sz w:val="28"/>
          <w:szCs w:val="28"/>
          <w:lang w:val="en-US" w:eastAsia="zh-CN"/>
        </w:rPr>
        <w:t>29,714,072.56</w:t>
      </w:r>
      <w:r>
        <w:rPr>
          <w:rFonts w:hint="eastAsia" w:ascii="仿宋_GB2312" w:eastAsia="仿宋_GB2312"/>
          <w:sz w:val="28"/>
          <w:szCs w:val="28"/>
        </w:rPr>
        <w:t>元。本次实施绩效自评项目</w:t>
      </w:r>
      <w:r>
        <w:rPr>
          <w:rFonts w:hint="eastAsia" w:ascii="仿宋_GB2312" w:eastAsia="仿宋_GB2312"/>
          <w:sz w:val="28"/>
          <w:szCs w:val="28"/>
          <w:lang w:val="en-US" w:eastAsia="zh-CN"/>
        </w:rPr>
        <w:t>3</w:t>
      </w:r>
      <w:r>
        <w:rPr>
          <w:rFonts w:hint="eastAsia" w:ascii="仿宋_GB2312" w:eastAsia="仿宋_GB2312"/>
          <w:sz w:val="28"/>
          <w:szCs w:val="28"/>
        </w:rPr>
        <w:t>个，涉及金额</w:t>
      </w:r>
      <w:r>
        <w:rPr>
          <w:rFonts w:hint="eastAsia" w:ascii="仿宋_GB2312" w:eastAsia="仿宋_GB2312"/>
          <w:sz w:val="28"/>
          <w:szCs w:val="28"/>
          <w:lang w:val="en-US" w:eastAsia="zh-CN"/>
        </w:rPr>
        <w:t>29,714,072.56</w:t>
      </w:r>
      <w:r>
        <w:rPr>
          <w:rFonts w:hint="eastAsia" w:ascii="仿宋_GB2312" w:eastAsia="仿宋_GB2312"/>
          <w:sz w:val="28"/>
          <w:szCs w:val="28"/>
        </w:rPr>
        <w:t>元。评价得分在90分（含90分）以上的</w:t>
      </w:r>
      <w:r>
        <w:rPr>
          <w:rFonts w:hint="eastAsia" w:ascii="仿宋_GB2312" w:eastAsia="仿宋_GB2312"/>
          <w:sz w:val="28"/>
          <w:szCs w:val="28"/>
          <w:lang w:val="en-US" w:eastAsia="zh-CN"/>
        </w:rPr>
        <w:t>3</w:t>
      </w:r>
      <w:r>
        <w:rPr>
          <w:rFonts w:hint="eastAsia" w:ascii="仿宋_GB2312" w:eastAsia="仿宋_GB2312"/>
          <w:sz w:val="28"/>
          <w:szCs w:val="28"/>
        </w:rPr>
        <w:t>个，评价得分在80-90分（含80分）的</w:t>
      </w:r>
      <w:r>
        <w:rPr>
          <w:rFonts w:hint="eastAsia" w:ascii="仿宋_GB2312" w:eastAsia="仿宋_GB2312"/>
          <w:sz w:val="28"/>
          <w:szCs w:val="28"/>
          <w:lang w:val="en-US" w:eastAsia="zh-CN"/>
        </w:rPr>
        <w:t>0</w:t>
      </w:r>
      <w:r>
        <w:rPr>
          <w:rFonts w:hint="eastAsia" w:ascii="仿宋_GB2312" w:eastAsia="仿宋_GB2312"/>
          <w:sz w:val="28"/>
          <w:szCs w:val="28"/>
        </w:rPr>
        <w:t>个，评价得分在60-80分（含60分）的</w:t>
      </w:r>
      <w:r>
        <w:rPr>
          <w:rFonts w:hint="eastAsia" w:ascii="仿宋_GB2312" w:eastAsia="仿宋_GB2312"/>
          <w:sz w:val="28"/>
          <w:szCs w:val="28"/>
          <w:lang w:val="en-US" w:eastAsia="zh-CN"/>
        </w:rPr>
        <w:t>0</w:t>
      </w:r>
      <w:r>
        <w:rPr>
          <w:rFonts w:hint="eastAsia" w:ascii="仿宋_GB2312" w:eastAsia="仿宋_GB2312"/>
          <w:sz w:val="28"/>
          <w:szCs w:val="28"/>
        </w:rPr>
        <w:t>个，评价得分在60分以下的</w:t>
      </w:r>
      <w:r>
        <w:rPr>
          <w:rFonts w:hint="eastAsia" w:ascii="仿宋_GB2312" w:eastAsia="仿宋_GB2312"/>
          <w:sz w:val="28"/>
          <w:szCs w:val="28"/>
          <w:lang w:val="en-US" w:eastAsia="zh-CN"/>
        </w:rPr>
        <w:t>0</w:t>
      </w:r>
      <w:r>
        <w:rPr>
          <w:rFonts w:hint="eastAsia" w:ascii="仿宋_GB2312" w:eastAsia="仿宋_GB2312"/>
          <w:sz w:val="28"/>
          <w:szCs w:val="28"/>
        </w:rPr>
        <w:t>个。</w:t>
      </w:r>
    </w:p>
    <w:p>
      <w:pPr>
        <w:spacing w:line="580" w:lineRule="exact"/>
        <w:ind w:firstLine="809" w:firstLineChars="253"/>
        <w:rPr>
          <w:rFonts w:hint="eastAsia" w:ascii="楷体_GB2312" w:hAnsi="仿宋" w:eastAsia="楷体_GB2312"/>
          <w:b/>
          <w:sz w:val="32"/>
          <w:szCs w:val="32"/>
        </w:rPr>
      </w:pPr>
      <w:r>
        <w:rPr>
          <w:rFonts w:hint="eastAsia" w:ascii="楷体_GB2312" w:hAnsi="仿宋" w:eastAsia="楷体_GB2312"/>
          <w:b/>
          <w:sz w:val="32"/>
          <w:szCs w:val="32"/>
        </w:rPr>
        <w:t>（二）重点支出项目绩效自评报告</w:t>
      </w:r>
    </w:p>
    <w:p>
      <w:pPr>
        <w:spacing w:line="580" w:lineRule="exact"/>
        <w:ind w:firstLine="560" w:firstLineChars="200"/>
        <w:outlineLvl w:val="0"/>
        <w:rPr>
          <w:rFonts w:hint="eastAsia" w:ascii="仿宋_GB2312" w:hAnsi="Calibri" w:eastAsia="仿宋_GB2312"/>
          <w:sz w:val="32"/>
          <w:szCs w:val="32"/>
        </w:rPr>
      </w:pPr>
      <w:r>
        <w:rPr>
          <w:rFonts w:hint="eastAsia" w:ascii="仿宋_GB2312" w:eastAsia="仿宋_GB2312"/>
          <w:sz w:val="28"/>
          <w:szCs w:val="28"/>
        </w:rPr>
        <w:t>请参考《关于开展2025年度项目支出绩效自评工作的通知》（门财绩效[2026]72号）要求，将本部门撰写的《重点支出项目绩效自评报告》电子版汇总到1个文件夹中，作为部门决算草案的附件1，并随决算全部公开。</w:t>
      </w:r>
    </w:p>
    <w:p>
      <w:pPr>
        <w:spacing w:line="580" w:lineRule="exact"/>
        <w:ind w:firstLine="640"/>
        <w:rPr>
          <w:rFonts w:hint="eastAsia" w:ascii="楷体_GB2312" w:hAnsi="仿宋" w:eastAsia="楷体_GB2312"/>
          <w:b/>
          <w:sz w:val="32"/>
          <w:szCs w:val="32"/>
        </w:rPr>
      </w:pPr>
      <w:r>
        <w:rPr>
          <w:rFonts w:hint="eastAsia" w:ascii="楷体_GB2312" w:hAnsi="仿宋" w:eastAsia="楷体_GB2312"/>
          <w:b/>
          <w:sz w:val="32"/>
          <w:szCs w:val="32"/>
        </w:rPr>
        <w:t>（三）项目支出绩效自评表</w:t>
      </w:r>
    </w:p>
    <w:p>
      <w:pPr>
        <w:spacing w:line="580" w:lineRule="exact"/>
        <w:ind w:firstLine="560" w:firstLineChars="200"/>
        <w:outlineLvl w:val="0"/>
        <w:rPr>
          <w:rFonts w:hint="eastAsia" w:ascii="仿宋_GB2312" w:eastAsia="仿宋_GB2312"/>
          <w:sz w:val="28"/>
          <w:szCs w:val="28"/>
        </w:rPr>
      </w:pPr>
      <w:r>
        <w:rPr>
          <w:rFonts w:hint="eastAsia" w:ascii="仿宋_GB2312" w:eastAsia="仿宋_GB2312"/>
          <w:sz w:val="28"/>
          <w:szCs w:val="28"/>
        </w:rPr>
        <w:t>请参考《关于开展2025年度项目支出绩效自评工作的通知》（门财绩效[2026]72号）及决算公开培训要求，将本部门本单位拟公开的《项目支出绩效自评表》电子版汇总到1个文件夹中，作为部门决算草案的附件2，并随决算全部公开。</w:t>
      </w:r>
    </w:p>
    <w:p>
      <w:pPr>
        <w:spacing w:line="580" w:lineRule="exact"/>
        <w:ind w:firstLine="640" w:firstLineChars="200"/>
        <w:outlineLvl w:val="0"/>
        <w:rPr>
          <w:rFonts w:hint="eastAsia" w:ascii="仿宋_GB2312" w:eastAsia="仿宋_GB2312"/>
          <w:b/>
          <w:sz w:val="32"/>
          <w:szCs w:val="32"/>
        </w:rPr>
      </w:pPr>
      <w:r>
        <w:rPr>
          <w:rFonts w:hint="eastAsia" w:ascii="仿宋_GB2312" w:eastAsia="仿宋_GB2312"/>
          <w:b/>
          <w:sz w:val="32"/>
          <w:szCs w:val="32"/>
        </w:rPr>
        <w:t>（注：一级预算部门“一、二”均公开；二级预算单位仅公开“二（三）”。）</w:t>
      </w:r>
    </w:p>
    <w:p>
      <w:pPr>
        <w:spacing w:line="580" w:lineRule="exact"/>
        <w:ind w:firstLine="560" w:firstLineChars="200"/>
        <w:outlineLvl w:val="0"/>
        <w:rPr>
          <w:rFonts w:hint="eastAsia" w:ascii="仿宋_GB2312" w:eastAsia="仿宋_GB2312"/>
          <w:sz w:val="28"/>
          <w:szCs w:val="28"/>
        </w:rPr>
      </w:pPr>
      <w:r>
        <w:rPr>
          <w:rFonts w:hint="eastAsia" w:ascii="仿宋_GB2312" w:eastAsia="仿宋_GB2312"/>
          <w:sz w:val="28"/>
          <w:szCs w:val="28"/>
        </w:rPr>
        <w:t>附件：1.重点支出项目绩效自评报告</w:t>
      </w:r>
    </w:p>
    <w:p>
      <w:pPr>
        <w:spacing w:line="580" w:lineRule="exact"/>
        <w:ind w:firstLine="1400" w:firstLineChars="500"/>
        <w:outlineLvl w:val="0"/>
        <w:rPr>
          <w:rFonts w:hint="eastAsia" w:ascii="仿宋_GB2312" w:eastAsia="仿宋_GB2312"/>
          <w:sz w:val="28"/>
          <w:szCs w:val="28"/>
        </w:rPr>
      </w:pPr>
      <w:r>
        <w:rPr>
          <w:rFonts w:hint="eastAsia" w:ascii="仿宋_GB2312" w:eastAsia="仿宋_GB2312"/>
          <w:sz w:val="28"/>
          <w:szCs w:val="28"/>
        </w:rPr>
        <w:t>2.项目支出绩效自评表</w:t>
      </w:r>
    </w:p>
    <w:sectPr>
      <w:footerReference r:id="rId4" w:type="default"/>
      <w:footerReference r:id="rId5" w:type="even"/>
      <w:pgSz w:w="16838" w:h="11906"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3</w:t>
    </w:r>
    <w: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16</w:t>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15</w:t>
    </w:r>
    <w:r>
      <w:fldChar w:fldCharType="end"/>
    </w:r>
  </w:p>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mNWE4NzRhMTczNjJlZDE5ZTE5YTczN2QxMzcyMjAifQ=="/>
  </w:docVars>
  <w:rsids>
    <w:rsidRoot w:val="00100246"/>
    <w:rsid w:val="00003B03"/>
    <w:rsid w:val="000040E6"/>
    <w:rsid w:val="00011D72"/>
    <w:rsid w:val="0002352D"/>
    <w:rsid w:val="00027CD5"/>
    <w:rsid w:val="00031B8E"/>
    <w:rsid w:val="00033EC1"/>
    <w:rsid w:val="00034224"/>
    <w:rsid w:val="00040275"/>
    <w:rsid w:val="0004719C"/>
    <w:rsid w:val="00047F6E"/>
    <w:rsid w:val="00051B00"/>
    <w:rsid w:val="000601B1"/>
    <w:rsid w:val="00063034"/>
    <w:rsid w:val="00066E19"/>
    <w:rsid w:val="0006752F"/>
    <w:rsid w:val="00071797"/>
    <w:rsid w:val="00071860"/>
    <w:rsid w:val="0007258E"/>
    <w:rsid w:val="00077A9E"/>
    <w:rsid w:val="00077F4A"/>
    <w:rsid w:val="00077FE5"/>
    <w:rsid w:val="00080447"/>
    <w:rsid w:val="00085663"/>
    <w:rsid w:val="00095948"/>
    <w:rsid w:val="00095C26"/>
    <w:rsid w:val="00096504"/>
    <w:rsid w:val="00096B86"/>
    <w:rsid w:val="000A1770"/>
    <w:rsid w:val="000A283C"/>
    <w:rsid w:val="000B15B7"/>
    <w:rsid w:val="000B70F1"/>
    <w:rsid w:val="000C4611"/>
    <w:rsid w:val="000D1B61"/>
    <w:rsid w:val="000D6854"/>
    <w:rsid w:val="000E0B26"/>
    <w:rsid w:val="000E3291"/>
    <w:rsid w:val="000F08FE"/>
    <w:rsid w:val="000F208B"/>
    <w:rsid w:val="000F2A48"/>
    <w:rsid w:val="000F49BE"/>
    <w:rsid w:val="00100246"/>
    <w:rsid w:val="0010682D"/>
    <w:rsid w:val="001073C6"/>
    <w:rsid w:val="00107DB5"/>
    <w:rsid w:val="00113613"/>
    <w:rsid w:val="0011483D"/>
    <w:rsid w:val="00115724"/>
    <w:rsid w:val="00130995"/>
    <w:rsid w:val="00131FF9"/>
    <w:rsid w:val="00132320"/>
    <w:rsid w:val="00135B6A"/>
    <w:rsid w:val="001369A7"/>
    <w:rsid w:val="001428C5"/>
    <w:rsid w:val="001503D8"/>
    <w:rsid w:val="00157540"/>
    <w:rsid w:val="0017111F"/>
    <w:rsid w:val="00173CF6"/>
    <w:rsid w:val="00180DAD"/>
    <w:rsid w:val="0018370E"/>
    <w:rsid w:val="001852E1"/>
    <w:rsid w:val="00191568"/>
    <w:rsid w:val="001A4277"/>
    <w:rsid w:val="001A7D2E"/>
    <w:rsid w:val="001B1DF9"/>
    <w:rsid w:val="001B1E93"/>
    <w:rsid w:val="001B375E"/>
    <w:rsid w:val="001B4A46"/>
    <w:rsid w:val="001B5E87"/>
    <w:rsid w:val="001B5E91"/>
    <w:rsid w:val="001B69BF"/>
    <w:rsid w:val="001B7988"/>
    <w:rsid w:val="001D78D9"/>
    <w:rsid w:val="001E0556"/>
    <w:rsid w:val="001E2355"/>
    <w:rsid w:val="001E2379"/>
    <w:rsid w:val="001E29A9"/>
    <w:rsid w:val="001F5857"/>
    <w:rsid w:val="00206EC3"/>
    <w:rsid w:val="0021047C"/>
    <w:rsid w:val="00211E4E"/>
    <w:rsid w:val="00213D1C"/>
    <w:rsid w:val="00214C3A"/>
    <w:rsid w:val="00217517"/>
    <w:rsid w:val="00222628"/>
    <w:rsid w:val="002253CB"/>
    <w:rsid w:val="002267A6"/>
    <w:rsid w:val="002326DE"/>
    <w:rsid w:val="00234314"/>
    <w:rsid w:val="00241724"/>
    <w:rsid w:val="0024390C"/>
    <w:rsid w:val="002441F4"/>
    <w:rsid w:val="00244204"/>
    <w:rsid w:val="002448A4"/>
    <w:rsid w:val="00245A0A"/>
    <w:rsid w:val="00246C42"/>
    <w:rsid w:val="002515CC"/>
    <w:rsid w:val="00253EC4"/>
    <w:rsid w:val="00254515"/>
    <w:rsid w:val="0026479D"/>
    <w:rsid w:val="002673C4"/>
    <w:rsid w:val="0027112B"/>
    <w:rsid w:val="00271C3F"/>
    <w:rsid w:val="00272460"/>
    <w:rsid w:val="00273070"/>
    <w:rsid w:val="0027394A"/>
    <w:rsid w:val="00274D50"/>
    <w:rsid w:val="002760D5"/>
    <w:rsid w:val="00276289"/>
    <w:rsid w:val="0028081D"/>
    <w:rsid w:val="0028458C"/>
    <w:rsid w:val="002911BD"/>
    <w:rsid w:val="00291C98"/>
    <w:rsid w:val="00294DE9"/>
    <w:rsid w:val="002A1488"/>
    <w:rsid w:val="002A4C2B"/>
    <w:rsid w:val="002B19D0"/>
    <w:rsid w:val="002B3682"/>
    <w:rsid w:val="002B5464"/>
    <w:rsid w:val="002C0443"/>
    <w:rsid w:val="002C12FB"/>
    <w:rsid w:val="002C24BC"/>
    <w:rsid w:val="002D03C6"/>
    <w:rsid w:val="002D0FDF"/>
    <w:rsid w:val="002D3955"/>
    <w:rsid w:val="002D68A9"/>
    <w:rsid w:val="002E06AE"/>
    <w:rsid w:val="002E4B75"/>
    <w:rsid w:val="002E68DD"/>
    <w:rsid w:val="002F17C2"/>
    <w:rsid w:val="002F32EE"/>
    <w:rsid w:val="002F4054"/>
    <w:rsid w:val="002F5574"/>
    <w:rsid w:val="00301D20"/>
    <w:rsid w:val="00302B19"/>
    <w:rsid w:val="00303428"/>
    <w:rsid w:val="003053C4"/>
    <w:rsid w:val="003058A3"/>
    <w:rsid w:val="00307204"/>
    <w:rsid w:val="00307DA5"/>
    <w:rsid w:val="0031169D"/>
    <w:rsid w:val="0031170D"/>
    <w:rsid w:val="00313E14"/>
    <w:rsid w:val="003167DD"/>
    <w:rsid w:val="00320C8B"/>
    <w:rsid w:val="00321BD8"/>
    <w:rsid w:val="00325687"/>
    <w:rsid w:val="00332C14"/>
    <w:rsid w:val="00335079"/>
    <w:rsid w:val="003352CE"/>
    <w:rsid w:val="00341D8E"/>
    <w:rsid w:val="003502B9"/>
    <w:rsid w:val="00351B8F"/>
    <w:rsid w:val="00353226"/>
    <w:rsid w:val="00353717"/>
    <w:rsid w:val="00354630"/>
    <w:rsid w:val="00365A24"/>
    <w:rsid w:val="003712DB"/>
    <w:rsid w:val="00373DDC"/>
    <w:rsid w:val="00382A86"/>
    <w:rsid w:val="00383BCC"/>
    <w:rsid w:val="00385243"/>
    <w:rsid w:val="003925D4"/>
    <w:rsid w:val="0039318C"/>
    <w:rsid w:val="00393366"/>
    <w:rsid w:val="003937DC"/>
    <w:rsid w:val="00393D75"/>
    <w:rsid w:val="003A2F2D"/>
    <w:rsid w:val="003A43AC"/>
    <w:rsid w:val="003A4EB6"/>
    <w:rsid w:val="003A7AE9"/>
    <w:rsid w:val="003A7BC5"/>
    <w:rsid w:val="003A7FF5"/>
    <w:rsid w:val="003B0352"/>
    <w:rsid w:val="003B4437"/>
    <w:rsid w:val="003B48C4"/>
    <w:rsid w:val="003B5E20"/>
    <w:rsid w:val="003B6DAD"/>
    <w:rsid w:val="003B735F"/>
    <w:rsid w:val="003C030C"/>
    <w:rsid w:val="003C55FC"/>
    <w:rsid w:val="003D0EC3"/>
    <w:rsid w:val="003D7274"/>
    <w:rsid w:val="003E4D82"/>
    <w:rsid w:val="003E5BC1"/>
    <w:rsid w:val="003F0D1B"/>
    <w:rsid w:val="003F1DD6"/>
    <w:rsid w:val="00401087"/>
    <w:rsid w:val="00402E26"/>
    <w:rsid w:val="00405701"/>
    <w:rsid w:val="004110BC"/>
    <w:rsid w:val="0041271F"/>
    <w:rsid w:val="0041688E"/>
    <w:rsid w:val="004170EF"/>
    <w:rsid w:val="0042093C"/>
    <w:rsid w:val="004233DD"/>
    <w:rsid w:val="00424405"/>
    <w:rsid w:val="00425B25"/>
    <w:rsid w:val="00425D24"/>
    <w:rsid w:val="00426A4D"/>
    <w:rsid w:val="00427687"/>
    <w:rsid w:val="00433231"/>
    <w:rsid w:val="004334CA"/>
    <w:rsid w:val="0043506A"/>
    <w:rsid w:val="00435830"/>
    <w:rsid w:val="0043619C"/>
    <w:rsid w:val="0044475D"/>
    <w:rsid w:val="00444D1E"/>
    <w:rsid w:val="0044571A"/>
    <w:rsid w:val="0044705D"/>
    <w:rsid w:val="0045090E"/>
    <w:rsid w:val="00453E36"/>
    <w:rsid w:val="00457286"/>
    <w:rsid w:val="00461FA5"/>
    <w:rsid w:val="00463566"/>
    <w:rsid w:val="00464182"/>
    <w:rsid w:val="00471C52"/>
    <w:rsid w:val="0047460C"/>
    <w:rsid w:val="00474FF2"/>
    <w:rsid w:val="00480098"/>
    <w:rsid w:val="00484A93"/>
    <w:rsid w:val="00485E12"/>
    <w:rsid w:val="004865DA"/>
    <w:rsid w:val="0048779C"/>
    <w:rsid w:val="00487AB7"/>
    <w:rsid w:val="00487ED0"/>
    <w:rsid w:val="00491D09"/>
    <w:rsid w:val="0049682C"/>
    <w:rsid w:val="004A168E"/>
    <w:rsid w:val="004A4EC7"/>
    <w:rsid w:val="004B0003"/>
    <w:rsid w:val="004C020A"/>
    <w:rsid w:val="004C03A3"/>
    <w:rsid w:val="004C44B8"/>
    <w:rsid w:val="004C7629"/>
    <w:rsid w:val="004D0D5D"/>
    <w:rsid w:val="004E27DD"/>
    <w:rsid w:val="004E3350"/>
    <w:rsid w:val="004E5292"/>
    <w:rsid w:val="004F2C5B"/>
    <w:rsid w:val="004F641B"/>
    <w:rsid w:val="004F71F3"/>
    <w:rsid w:val="005052FA"/>
    <w:rsid w:val="005069E1"/>
    <w:rsid w:val="00507E59"/>
    <w:rsid w:val="005122B5"/>
    <w:rsid w:val="0052381C"/>
    <w:rsid w:val="005346B3"/>
    <w:rsid w:val="0054051C"/>
    <w:rsid w:val="00546A84"/>
    <w:rsid w:val="00547BE2"/>
    <w:rsid w:val="0055353D"/>
    <w:rsid w:val="0056187C"/>
    <w:rsid w:val="00576B03"/>
    <w:rsid w:val="00581E1A"/>
    <w:rsid w:val="00591655"/>
    <w:rsid w:val="00591BEC"/>
    <w:rsid w:val="005940EA"/>
    <w:rsid w:val="00594448"/>
    <w:rsid w:val="005A1D6F"/>
    <w:rsid w:val="005A4D82"/>
    <w:rsid w:val="005A52A6"/>
    <w:rsid w:val="005B0DEC"/>
    <w:rsid w:val="005B368E"/>
    <w:rsid w:val="005B6E69"/>
    <w:rsid w:val="005C0015"/>
    <w:rsid w:val="005C1E82"/>
    <w:rsid w:val="005C2BCE"/>
    <w:rsid w:val="005C2CA5"/>
    <w:rsid w:val="005C7062"/>
    <w:rsid w:val="005C7788"/>
    <w:rsid w:val="005D10B9"/>
    <w:rsid w:val="005D18DA"/>
    <w:rsid w:val="005E00DC"/>
    <w:rsid w:val="005E3BBC"/>
    <w:rsid w:val="005E3EC6"/>
    <w:rsid w:val="005E4E07"/>
    <w:rsid w:val="005E4E46"/>
    <w:rsid w:val="005E5275"/>
    <w:rsid w:val="005E7DC8"/>
    <w:rsid w:val="005E7EC9"/>
    <w:rsid w:val="005F7087"/>
    <w:rsid w:val="00611BE4"/>
    <w:rsid w:val="0061219B"/>
    <w:rsid w:val="00621419"/>
    <w:rsid w:val="00626446"/>
    <w:rsid w:val="00626BE8"/>
    <w:rsid w:val="00631827"/>
    <w:rsid w:val="00632804"/>
    <w:rsid w:val="006376DA"/>
    <w:rsid w:val="006459DA"/>
    <w:rsid w:val="006502E8"/>
    <w:rsid w:val="00654A2B"/>
    <w:rsid w:val="0065675C"/>
    <w:rsid w:val="0065793F"/>
    <w:rsid w:val="0066263B"/>
    <w:rsid w:val="0066713A"/>
    <w:rsid w:val="0067195C"/>
    <w:rsid w:val="006724F7"/>
    <w:rsid w:val="0067511A"/>
    <w:rsid w:val="0067539B"/>
    <w:rsid w:val="00675543"/>
    <w:rsid w:val="00677396"/>
    <w:rsid w:val="00677AD9"/>
    <w:rsid w:val="00681970"/>
    <w:rsid w:val="00690641"/>
    <w:rsid w:val="00690D88"/>
    <w:rsid w:val="00691844"/>
    <w:rsid w:val="00693DDF"/>
    <w:rsid w:val="00696F9E"/>
    <w:rsid w:val="006A374A"/>
    <w:rsid w:val="006A505E"/>
    <w:rsid w:val="006A513E"/>
    <w:rsid w:val="006A5265"/>
    <w:rsid w:val="006B0CB9"/>
    <w:rsid w:val="006B2609"/>
    <w:rsid w:val="006B2750"/>
    <w:rsid w:val="006B3678"/>
    <w:rsid w:val="006B7390"/>
    <w:rsid w:val="006C0084"/>
    <w:rsid w:val="006C107D"/>
    <w:rsid w:val="006C3600"/>
    <w:rsid w:val="006C4534"/>
    <w:rsid w:val="006C5205"/>
    <w:rsid w:val="006C75F6"/>
    <w:rsid w:val="006D3F53"/>
    <w:rsid w:val="006D60AF"/>
    <w:rsid w:val="006E4722"/>
    <w:rsid w:val="00701651"/>
    <w:rsid w:val="007049BF"/>
    <w:rsid w:val="00704E79"/>
    <w:rsid w:val="00707A26"/>
    <w:rsid w:val="0071120F"/>
    <w:rsid w:val="00716380"/>
    <w:rsid w:val="00722165"/>
    <w:rsid w:val="00724B1C"/>
    <w:rsid w:val="007428F0"/>
    <w:rsid w:val="007512EF"/>
    <w:rsid w:val="007551AC"/>
    <w:rsid w:val="0076101C"/>
    <w:rsid w:val="00763D87"/>
    <w:rsid w:val="007670B2"/>
    <w:rsid w:val="00771795"/>
    <w:rsid w:val="00774925"/>
    <w:rsid w:val="0079279F"/>
    <w:rsid w:val="00793E69"/>
    <w:rsid w:val="007A063C"/>
    <w:rsid w:val="007A16B0"/>
    <w:rsid w:val="007A19EA"/>
    <w:rsid w:val="007A6092"/>
    <w:rsid w:val="007A60B7"/>
    <w:rsid w:val="007A64A6"/>
    <w:rsid w:val="007A6EE1"/>
    <w:rsid w:val="007A7C89"/>
    <w:rsid w:val="007B1487"/>
    <w:rsid w:val="007B2A43"/>
    <w:rsid w:val="007B326F"/>
    <w:rsid w:val="007B6A58"/>
    <w:rsid w:val="007B6C06"/>
    <w:rsid w:val="007B7B78"/>
    <w:rsid w:val="007C32B1"/>
    <w:rsid w:val="007C7A22"/>
    <w:rsid w:val="007C7C62"/>
    <w:rsid w:val="007D1076"/>
    <w:rsid w:val="007D12B7"/>
    <w:rsid w:val="007D2A49"/>
    <w:rsid w:val="007D5E38"/>
    <w:rsid w:val="007D7AC4"/>
    <w:rsid w:val="007E0340"/>
    <w:rsid w:val="007E1D4A"/>
    <w:rsid w:val="007E53C0"/>
    <w:rsid w:val="007E7703"/>
    <w:rsid w:val="007F4558"/>
    <w:rsid w:val="007F64DF"/>
    <w:rsid w:val="008050EF"/>
    <w:rsid w:val="0080652C"/>
    <w:rsid w:val="0080715F"/>
    <w:rsid w:val="008113D6"/>
    <w:rsid w:val="00812BA7"/>
    <w:rsid w:val="00813A87"/>
    <w:rsid w:val="00813F63"/>
    <w:rsid w:val="00815926"/>
    <w:rsid w:val="00815F57"/>
    <w:rsid w:val="0081760B"/>
    <w:rsid w:val="008218AC"/>
    <w:rsid w:val="00825359"/>
    <w:rsid w:val="00825E13"/>
    <w:rsid w:val="00826F07"/>
    <w:rsid w:val="008337CB"/>
    <w:rsid w:val="00834A3C"/>
    <w:rsid w:val="008360A0"/>
    <w:rsid w:val="00837658"/>
    <w:rsid w:val="00837CD4"/>
    <w:rsid w:val="00837F78"/>
    <w:rsid w:val="008400EE"/>
    <w:rsid w:val="00840791"/>
    <w:rsid w:val="00845576"/>
    <w:rsid w:val="00850708"/>
    <w:rsid w:val="00851024"/>
    <w:rsid w:val="008526D7"/>
    <w:rsid w:val="0086238C"/>
    <w:rsid w:val="008655DC"/>
    <w:rsid w:val="0086732D"/>
    <w:rsid w:val="00870183"/>
    <w:rsid w:val="00875726"/>
    <w:rsid w:val="00877F10"/>
    <w:rsid w:val="0088225D"/>
    <w:rsid w:val="00882F8D"/>
    <w:rsid w:val="00884FB0"/>
    <w:rsid w:val="008853A5"/>
    <w:rsid w:val="008944DA"/>
    <w:rsid w:val="00894D78"/>
    <w:rsid w:val="008A6A18"/>
    <w:rsid w:val="008B033F"/>
    <w:rsid w:val="008B4003"/>
    <w:rsid w:val="008B7443"/>
    <w:rsid w:val="008C179E"/>
    <w:rsid w:val="008C2379"/>
    <w:rsid w:val="008C4FF7"/>
    <w:rsid w:val="008C5C4C"/>
    <w:rsid w:val="008C7056"/>
    <w:rsid w:val="008C706D"/>
    <w:rsid w:val="008D3145"/>
    <w:rsid w:val="008E1A54"/>
    <w:rsid w:val="008E1F95"/>
    <w:rsid w:val="008E36B6"/>
    <w:rsid w:val="008E4267"/>
    <w:rsid w:val="008E4847"/>
    <w:rsid w:val="008E5FF1"/>
    <w:rsid w:val="008E63D2"/>
    <w:rsid w:val="008E6E14"/>
    <w:rsid w:val="008F1528"/>
    <w:rsid w:val="008F1AE5"/>
    <w:rsid w:val="008F55D9"/>
    <w:rsid w:val="009057DE"/>
    <w:rsid w:val="00905F97"/>
    <w:rsid w:val="00906FA3"/>
    <w:rsid w:val="0091239D"/>
    <w:rsid w:val="00912825"/>
    <w:rsid w:val="009129B8"/>
    <w:rsid w:val="00912B99"/>
    <w:rsid w:val="00912C78"/>
    <w:rsid w:val="00927892"/>
    <w:rsid w:val="009319B9"/>
    <w:rsid w:val="009351E9"/>
    <w:rsid w:val="00937862"/>
    <w:rsid w:val="00942279"/>
    <w:rsid w:val="009524EB"/>
    <w:rsid w:val="00962013"/>
    <w:rsid w:val="00963942"/>
    <w:rsid w:val="0096716C"/>
    <w:rsid w:val="009672B2"/>
    <w:rsid w:val="00971C66"/>
    <w:rsid w:val="00972363"/>
    <w:rsid w:val="0098419C"/>
    <w:rsid w:val="009843EF"/>
    <w:rsid w:val="009867F2"/>
    <w:rsid w:val="00991347"/>
    <w:rsid w:val="00996018"/>
    <w:rsid w:val="0099738E"/>
    <w:rsid w:val="009A493E"/>
    <w:rsid w:val="009A531F"/>
    <w:rsid w:val="009A6931"/>
    <w:rsid w:val="009B1F9A"/>
    <w:rsid w:val="009B1FA9"/>
    <w:rsid w:val="009B349F"/>
    <w:rsid w:val="009B4293"/>
    <w:rsid w:val="009B6715"/>
    <w:rsid w:val="009C7B74"/>
    <w:rsid w:val="009D0BE2"/>
    <w:rsid w:val="009D114E"/>
    <w:rsid w:val="009D210F"/>
    <w:rsid w:val="009D309C"/>
    <w:rsid w:val="009D37B1"/>
    <w:rsid w:val="009D4717"/>
    <w:rsid w:val="009D694D"/>
    <w:rsid w:val="009E264E"/>
    <w:rsid w:val="009F0C98"/>
    <w:rsid w:val="009F0F81"/>
    <w:rsid w:val="009F2543"/>
    <w:rsid w:val="009F256D"/>
    <w:rsid w:val="009F341E"/>
    <w:rsid w:val="009F57CE"/>
    <w:rsid w:val="00A117CA"/>
    <w:rsid w:val="00A12225"/>
    <w:rsid w:val="00A14C18"/>
    <w:rsid w:val="00A25898"/>
    <w:rsid w:val="00A3071D"/>
    <w:rsid w:val="00A3182E"/>
    <w:rsid w:val="00A31A89"/>
    <w:rsid w:val="00A32F06"/>
    <w:rsid w:val="00A34934"/>
    <w:rsid w:val="00A34EFE"/>
    <w:rsid w:val="00A36546"/>
    <w:rsid w:val="00A4069C"/>
    <w:rsid w:val="00A413B5"/>
    <w:rsid w:val="00A429CB"/>
    <w:rsid w:val="00A44E87"/>
    <w:rsid w:val="00A5063C"/>
    <w:rsid w:val="00A52749"/>
    <w:rsid w:val="00A5422E"/>
    <w:rsid w:val="00A56EC1"/>
    <w:rsid w:val="00A6350C"/>
    <w:rsid w:val="00A6370B"/>
    <w:rsid w:val="00A63A73"/>
    <w:rsid w:val="00A6655C"/>
    <w:rsid w:val="00A66CBB"/>
    <w:rsid w:val="00A6704E"/>
    <w:rsid w:val="00A67EA4"/>
    <w:rsid w:val="00A773FF"/>
    <w:rsid w:val="00A83AA1"/>
    <w:rsid w:val="00A906F4"/>
    <w:rsid w:val="00A9343A"/>
    <w:rsid w:val="00A9706C"/>
    <w:rsid w:val="00A97B34"/>
    <w:rsid w:val="00AA1B5C"/>
    <w:rsid w:val="00AA7A27"/>
    <w:rsid w:val="00AB3FB0"/>
    <w:rsid w:val="00AB465D"/>
    <w:rsid w:val="00AB713D"/>
    <w:rsid w:val="00AC114C"/>
    <w:rsid w:val="00AC1478"/>
    <w:rsid w:val="00AC6C2D"/>
    <w:rsid w:val="00AC6E17"/>
    <w:rsid w:val="00AD2FF3"/>
    <w:rsid w:val="00AD7764"/>
    <w:rsid w:val="00AD7FE2"/>
    <w:rsid w:val="00AE1284"/>
    <w:rsid w:val="00AE1B18"/>
    <w:rsid w:val="00AE7339"/>
    <w:rsid w:val="00AF1B0B"/>
    <w:rsid w:val="00AF242C"/>
    <w:rsid w:val="00AF3CC4"/>
    <w:rsid w:val="00B05903"/>
    <w:rsid w:val="00B12C7A"/>
    <w:rsid w:val="00B12E10"/>
    <w:rsid w:val="00B22BC3"/>
    <w:rsid w:val="00B25865"/>
    <w:rsid w:val="00B272B6"/>
    <w:rsid w:val="00B2771B"/>
    <w:rsid w:val="00B336E9"/>
    <w:rsid w:val="00B33AE5"/>
    <w:rsid w:val="00B35BE5"/>
    <w:rsid w:val="00B46965"/>
    <w:rsid w:val="00B54ED0"/>
    <w:rsid w:val="00B55D47"/>
    <w:rsid w:val="00B6204E"/>
    <w:rsid w:val="00B649EC"/>
    <w:rsid w:val="00B728DD"/>
    <w:rsid w:val="00B72D43"/>
    <w:rsid w:val="00B74121"/>
    <w:rsid w:val="00B80ABA"/>
    <w:rsid w:val="00B859FF"/>
    <w:rsid w:val="00B85C1B"/>
    <w:rsid w:val="00B85FF0"/>
    <w:rsid w:val="00B86150"/>
    <w:rsid w:val="00B878F9"/>
    <w:rsid w:val="00B9044A"/>
    <w:rsid w:val="00B960F3"/>
    <w:rsid w:val="00B96A31"/>
    <w:rsid w:val="00BA05E6"/>
    <w:rsid w:val="00BA51B0"/>
    <w:rsid w:val="00BA6319"/>
    <w:rsid w:val="00BC03B0"/>
    <w:rsid w:val="00BC06A3"/>
    <w:rsid w:val="00BC0CEA"/>
    <w:rsid w:val="00BC2220"/>
    <w:rsid w:val="00BC26B9"/>
    <w:rsid w:val="00BC26FA"/>
    <w:rsid w:val="00BC4E01"/>
    <w:rsid w:val="00BC73F6"/>
    <w:rsid w:val="00BD1177"/>
    <w:rsid w:val="00BD1374"/>
    <w:rsid w:val="00BD3531"/>
    <w:rsid w:val="00BD4E35"/>
    <w:rsid w:val="00BE34CA"/>
    <w:rsid w:val="00BF116A"/>
    <w:rsid w:val="00C0623C"/>
    <w:rsid w:val="00C06A07"/>
    <w:rsid w:val="00C132B6"/>
    <w:rsid w:val="00C21A6C"/>
    <w:rsid w:val="00C24A10"/>
    <w:rsid w:val="00C27003"/>
    <w:rsid w:val="00C27597"/>
    <w:rsid w:val="00C32BD4"/>
    <w:rsid w:val="00C33E48"/>
    <w:rsid w:val="00C3618B"/>
    <w:rsid w:val="00C403FB"/>
    <w:rsid w:val="00C4316E"/>
    <w:rsid w:val="00C441A2"/>
    <w:rsid w:val="00C5076B"/>
    <w:rsid w:val="00C512D4"/>
    <w:rsid w:val="00C51CF4"/>
    <w:rsid w:val="00C531E2"/>
    <w:rsid w:val="00C53204"/>
    <w:rsid w:val="00C57E34"/>
    <w:rsid w:val="00C64659"/>
    <w:rsid w:val="00C662E9"/>
    <w:rsid w:val="00C66C2D"/>
    <w:rsid w:val="00C7190B"/>
    <w:rsid w:val="00C76852"/>
    <w:rsid w:val="00C77210"/>
    <w:rsid w:val="00C777FA"/>
    <w:rsid w:val="00C77989"/>
    <w:rsid w:val="00C811F4"/>
    <w:rsid w:val="00C81E51"/>
    <w:rsid w:val="00C87B73"/>
    <w:rsid w:val="00C92444"/>
    <w:rsid w:val="00C92FBB"/>
    <w:rsid w:val="00C93327"/>
    <w:rsid w:val="00C97B4D"/>
    <w:rsid w:val="00CA5602"/>
    <w:rsid w:val="00CA5CA9"/>
    <w:rsid w:val="00CA78E2"/>
    <w:rsid w:val="00CB1BBE"/>
    <w:rsid w:val="00CB65DB"/>
    <w:rsid w:val="00CB6BD9"/>
    <w:rsid w:val="00CC293A"/>
    <w:rsid w:val="00CE19F6"/>
    <w:rsid w:val="00CE6B76"/>
    <w:rsid w:val="00CF366B"/>
    <w:rsid w:val="00CF5D9D"/>
    <w:rsid w:val="00CF606C"/>
    <w:rsid w:val="00CF7423"/>
    <w:rsid w:val="00D001F5"/>
    <w:rsid w:val="00D03E80"/>
    <w:rsid w:val="00D1505F"/>
    <w:rsid w:val="00D15B9F"/>
    <w:rsid w:val="00D15DD6"/>
    <w:rsid w:val="00D25548"/>
    <w:rsid w:val="00D2601F"/>
    <w:rsid w:val="00D27759"/>
    <w:rsid w:val="00D30028"/>
    <w:rsid w:val="00D325D3"/>
    <w:rsid w:val="00D408D6"/>
    <w:rsid w:val="00D511DD"/>
    <w:rsid w:val="00D55C2A"/>
    <w:rsid w:val="00D571C1"/>
    <w:rsid w:val="00D602F4"/>
    <w:rsid w:val="00D6457E"/>
    <w:rsid w:val="00D742E2"/>
    <w:rsid w:val="00D7580E"/>
    <w:rsid w:val="00D87DAF"/>
    <w:rsid w:val="00D9446D"/>
    <w:rsid w:val="00DA2994"/>
    <w:rsid w:val="00DB08E8"/>
    <w:rsid w:val="00DB0DED"/>
    <w:rsid w:val="00DB3073"/>
    <w:rsid w:val="00DB3BA9"/>
    <w:rsid w:val="00DB50FE"/>
    <w:rsid w:val="00DB5EDA"/>
    <w:rsid w:val="00DC2349"/>
    <w:rsid w:val="00DC3026"/>
    <w:rsid w:val="00DD1EDB"/>
    <w:rsid w:val="00DD57AA"/>
    <w:rsid w:val="00DE1578"/>
    <w:rsid w:val="00DE7F67"/>
    <w:rsid w:val="00DF0529"/>
    <w:rsid w:val="00DF09EF"/>
    <w:rsid w:val="00DF0D0F"/>
    <w:rsid w:val="00DF13D6"/>
    <w:rsid w:val="00DF27D6"/>
    <w:rsid w:val="00DF2BEA"/>
    <w:rsid w:val="00DF4488"/>
    <w:rsid w:val="00DF5B98"/>
    <w:rsid w:val="00DF6FA8"/>
    <w:rsid w:val="00DF701E"/>
    <w:rsid w:val="00DF7BE5"/>
    <w:rsid w:val="00E00D49"/>
    <w:rsid w:val="00E019A8"/>
    <w:rsid w:val="00E03A46"/>
    <w:rsid w:val="00E03C6D"/>
    <w:rsid w:val="00E0476F"/>
    <w:rsid w:val="00E04899"/>
    <w:rsid w:val="00E0796F"/>
    <w:rsid w:val="00E10948"/>
    <w:rsid w:val="00E24371"/>
    <w:rsid w:val="00E243AB"/>
    <w:rsid w:val="00E26641"/>
    <w:rsid w:val="00E2778F"/>
    <w:rsid w:val="00E278B0"/>
    <w:rsid w:val="00E33023"/>
    <w:rsid w:val="00E331F3"/>
    <w:rsid w:val="00E3498D"/>
    <w:rsid w:val="00E42425"/>
    <w:rsid w:val="00E43E55"/>
    <w:rsid w:val="00E4554E"/>
    <w:rsid w:val="00E46D22"/>
    <w:rsid w:val="00E4768F"/>
    <w:rsid w:val="00E53C0E"/>
    <w:rsid w:val="00E54F7E"/>
    <w:rsid w:val="00E560CE"/>
    <w:rsid w:val="00E5674E"/>
    <w:rsid w:val="00E63783"/>
    <w:rsid w:val="00E650E2"/>
    <w:rsid w:val="00E75CAD"/>
    <w:rsid w:val="00E76922"/>
    <w:rsid w:val="00E8595B"/>
    <w:rsid w:val="00E915EC"/>
    <w:rsid w:val="00EA11B1"/>
    <w:rsid w:val="00EA2224"/>
    <w:rsid w:val="00EA7194"/>
    <w:rsid w:val="00EB1329"/>
    <w:rsid w:val="00EB2987"/>
    <w:rsid w:val="00EB2D75"/>
    <w:rsid w:val="00EB34BE"/>
    <w:rsid w:val="00EB571A"/>
    <w:rsid w:val="00EC2804"/>
    <w:rsid w:val="00EC6117"/>
    <w:rsid w:val="00EC6138"/>
    <w:rsid w:val="00ED1DCF"/>
    <w:rsid w:val="00ED43C9"/>
    <w:rsid w:val="00EE2C60"/>
    <w:rsid w:val="00EE2E58"/>
    <w:rsid w:val="00EE487A"/>
    <w:rsid w:val="00EE734C"/>
    <w:rsid w:val="00EF6907"/>
    <w:rsid w:val="00EF6D91"/>
    <w:rsid w:val="00F01F54"/>
    <w:rsid w:val="00F04D4D"/>
    <w:rsid w:val="00F11DD8"/>
    <w:rsid w:val="00F12745"/>
    <w:rsid w:val="00F13766"/>
    <w:rsid w:val="00F20A77"/>
    <w:rsid w:val="00F22C60"/>
    <w:rsid w:val="00F231A4"/>
    <w:rsid w:val="00F23252"/>
    <w:rsid w:val="00F27B2A"/>
    <w:rsid w:val="00F31762"/>
    <w:rsid w:val="00F345D3"/>
    <w:rsid w:val="00F356ED"/>
    <w:rsid w:val="00F359B5"/>
    <w:rsid w:val="00F4144F"/>
    <w:rsid w:val="00F433F3"/>
    <w:rsid w:val="00F47F64"/>
    <w:rsid w:val="00F522D9"/>
    <w:rsid w:val="00F52F54"/>
    <w:rsid w:val="00F53584"/>
    <w:rsid w:val="00F61B24"/>
    <w:rsid w:val="00F62DE5"/>
    <w:rsid w:val="00F63F8A"/>
    <w:rsid w:val="00F6514E"/>
    <w:rsid w:val="00F703DC"/>
    <w:rsid w:val="00F71D06"/>
    <w:rsid w:val="00F73B46"/>
    <w:rsid w:val="00F73D01"/>
    <w:rsid w:val="00F7642B"/>
    <w:rsid w:val="00F76A43"/>
    <w:rsid w:val="00F80334"/>
    <w:rsid w:val="00F8139D"/>
    <w:rsid w:val="00F83DF9"/>
    <w:rsid w:val="00F85DA0"/>
    <w:rsid w:val="00F930AF"/>
    <w:rsid w:val="00F9352C"/>
    <w:rsid w:val="00F975B0"/>
    <w:rsid w:val="00FA15F1"/>
    <w:rsid w:val="00FA19F5"/>
    <w:rsid w:val="00FA4A69"/>
    <w:rsid w:val="00FA649A"/>
    <w:rsid w:val="00FB1248"/>
    <w:rsid w:val="00FB208D"/>
    <w:rsid w:val="00FB3CF4"/>
    <w:rsid w:val="00FB4A27"/>
    <w:rsid w:val="00FB4A49"/>
    <w:rsid w:val="00FB69B3"/>
    <w:rsid w:val="00FC6FBE"/>
    <w:rsid w:val="00FD1162"/>
    <w:rsid w:val="00FD2232"/>
    <w:rsid w:val="00FD4AE7"/>
    <w:rsid w:val="00FD65A9"/>
    <w:rsid w:val="00FD7508"/>
    <w:rsid w:val="00FE1E51"/>
    <w:rsid w:val="00FE2496"/>
    <w:rsid w:val="00FE6A2B"/>
    <w:rsid w:val="00FF0275"/>
    <w:rsid w:val="00FF07B3"/>
    <w:rsid w:val="00FF1E37"/>
    <w:rsid w:val="025A1155"/>
    <w:rsid w:val="026B1E6A"/>
    <w:rsid w:val="02F120AB"/>
    <w:rsid w:val="032B5196"/>
    <w:rsid w:val="04C3537C"/>
    <w:rsid w:val="064662E7"/>
    <w:rsid w:val="079004AC"/>
    <w:rsid w:val="097C05F3"/>
    <w:rsid w:val="0BA148CA"/>
    <w:rsid w:val="0C1165C4"/>
    <w:rsid w:val="0D6D544B"/>
    <w:rsid w:val="0DD136FE"/>
    <w:rsid w:val="0DF260B1"/>
    <w:rsid w:val="0F8E2C57"/>
    <w:rsid w:val="1059665E"/>
    <w:rsid w:val="10AC13BA"/>
    <w:rsid w:val="11980797"/>
    <w:rsid w:val="145A6C1B"/>
    <w:rsid w:val="14B73493"/>
    <w:rsid w:val="167A2FF9"/>
    <w:rsid w:val="17E05399"/>
    <w:rsid w:val="1824203D"/>
    <w:rsid w:val="18581C69"/>
    <w:rsid w:val="186D28E5"/>
    <w:rsid w:val="19EB59A1"/>
    <w:rsid w:val="19F6426B"/>
    <w:rsid w:val="1AEC0734"/>
    <w:rsid w:val="1C203C3A"/>
    <w:rsid w:val="1DEF20B0"/>
    <w:rsid w:val="214243FA"/>
    <w:rsid w:val="21AD613C"/>
    <w:rsid w:val="22467189"/>
    <w:rsid w:val="23132847"/>
    <w:rsid w:val="257A14F5"/>
    <w:rsid w:val="27196C26"/>
    <w:rsid w:val="29AD70E5"/>
    <w:rsid w:val="29EF086F"/>
    <w:rsid w:val="2A014A0F"/>
    <w:rsid w:val="2EFFE297"/>
    <w:rsid w:val="301437CA"/>
    <w:rsid w:val="30AC4649"/>
    <w:rsid w:val="3101107C"/>
    <w:rsid w:val="32791381"/>
    <w:rsid w:val="337C7E98"/>
    <w:rsid w:val="349D1F0A"/>
    <w:rsid w:val="34DD0473"/>
    <w:rsid w:val="35ED3775"/>
    <w:rsid w:val="3C181CA7"/>
    <w:rsid w:val="3C684897"/>
    <w:rsid w:val="3CC531AF"/>
    <w:rsid w:val="3FB37D5F"/>
    <w:rsid w:val="41C6204F"/>
    <w:rsid w:val="431735B0"/>
    <w:rsid w:val="433E495C"/>
    <w:rsid w:val="44277E74"/>
    <w:rsid w:val="471D79D5"/>
    <w:rsid w:val="47E67C3A"/>
    <w:rsid w:val="489F2FD7"/>
    <w:rsid w:val="4AC27CB3"/>
    <w:rsid w:val="4BF72BEF"/>
    <w:rsid w:val="4E670580"/>
    <w:rsid w:val="4F0C730B"/>
    <w:rsid w:val="4FA90297"/>
    <w:rsid w:val="4FC41A43"/>
    <w:rsid w:val="51DB3C59"/>
    <w:rsid w:val="550C0952"/>
    <w:rsid w:val="55762E42"/>
    <w:rsid w:val="55A27016"/>
    <w:rsid w:val="55CC7091"/>
    <w:rsid w:val="56EA5E2A"/>
    <w:rsid w:val="57A7B272"/>
    <w:rsid w:val="57CA4CAF"/>
    <w:rsid w:val="58470068"/>
    <w:rsid w:val="58747CAC"/>
    <w:rsid w:val="5A1720F9"/>
    <w:rsid w:val="5B9C37C2"/>
    <w:rsid w:val="5BA7C654"/>
    <w:rsid w:val="5CF871E9"/>
    <w:rsid w:val="60A54109"/>
    <w:rsid w:val="60E87A7A"/>
    <w:rsid w:val="61D01CDF"/>
    <w:rsid w:val="64C0607C"/>
    <w:rsid w:val="64F51B27"/>
    <w:rsid w:val="65756C86"/>
    <w:rsid w:val="65D9682D"/>
    <w:rsid w:val="674D385B"/>
    <w:rsid w:val="676F09E1"/>
    <w:rsid w:val="68537682"/>
    <w:rsid w:val="6AF17E47"/>
    <w:rsid w:val="6B0159AE"/>
    <w:rsid w:val="6B0A396B"/>
    <w:rsid w:val="6BA74ADE"/>
    <w:rsid w:val="6E4E5568"/>
    <w:rsid w:val="6F551E8A"/>
    <w:rsid w:val="6F78429C"/>
    <w:rsid w:val="70BD3BD6"/>
    <w:rsid w:val="71793A80"/>
    <w:rsid w:val="72646715"/>
    <w:rsid w:val="7357290B"/>
    <w:rsid w:val="74851049"/>
    <w:rsid w:val="76A241FC"/>
    <w:rsid w:val="798524E4"/>
    <w:rsid w:val="7A7F1C49"/>
    <w:rsid w:val="7B5B7AE6"/>
    <w:rsid w:val="7B7B6628"/>
    <w:rsid w:val="7BA7071E"/>
    <w:rsid w:val="7BDF6DA8"/>
    <w:rsid w:val="7BDF7589"/>
    <w:rsid w:val="7C7EDC1A"/>
    <w:rsid w:val="7CCED98D"/>
    <w:rsid w:val="7D08410F"/>
    <w:rsid w:val="7D2759BE"/>
    <w:rsid w:val="7DAA6A61"/>
    <w:rsid w:val="7DB96DED"/>
    <w:rsid w:val="7DD3AD81"/>
    <w:rsid w:val="7E4C1AA0"/>
    <w:rsid w:val="7F7FE70F"/>
    <w:rsid w:val="7FFF772F"/>
    <w:rsid w:val="95F35EF6"/>
    <w:rsid w:val="9BFFD860"/>
    <w:rsid w:val="AC5F73DE"/>
    <w:rsid w:val="B5DDD2C8"/>
    <w:rsid w:val="B9DFABD9"/>
    <w:rsid w:val="BC0D83FC"/>
    <w:rsid w:val="BF3BDEFB"/>
    <w:rsid w:val="C75F6086"/>
    <w:rsid w:val="C7F7ED2D"/>
    <w:rsid w:val="CFAF854E"/>
    <w:rsid w:val="D8D7928E"/>
    <w:rsid w:val="D8FE3136"/>
    <w:rsid w:val="DDDE60B7"/>
    <w:rsid w:val="DE9F6A22"/>
    <w:rsid w:val="DF4FCE6A"/>
    <w:rsid w:val="E4FED278"/>
    <w:rsid w:val="EDAA365C"/>
    <w:rsid w:val="EDADFC12"/>
    <w:rsid w:val="F2FD229B"/>
    <w:rsid w:val="F7F709E9"/>
    <w:rsid w:val="F7FF3690"/>
    <w:rsid w:val="F9BD3900"/>
    <w:rsid w:val="FC8B9876"/>
    <w:rsid w:val="FEDFF218"/>
    <w:rsid w:val="FEDFFF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100" w:beforeAutospacing="1" w:after="100" w:afterAutospacing="1"/>
      <w:outlineLvl w:val="1"/>
    </w:pPr>
    <w:rPr>
      <w:rFonts w:ascii="Cambria" w:hAnsi="Cambria" w:eastAsia="黑体"/>
      <w:b/>
      <w:bCs/>
      <w:kern w:val="0"/>
      <w:sz w:val="36"/>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200" w:firstLineChars="200"/>
    </w:pPr>
  </w:style>
  <w:style w:type="paragraph" w:styleId="4">
    <w:name w:val="Body Text Indent"/>
    <w:basedOn w:val="1"/>
    <w:qFormat/>
    <w:uiPriority w:val="0"/>
    <w:pPr>
      <w:ind w:firstLine="645"/>
    </w:pPr>
    <w:rPr>
      <w:rFonts w:ascii="仿宋_GB2312" w:hAnsi="Calibri" w:eastAsia="仿宋_GB2312"/>
      <w:sz w:val="32"/>
      <w:szCs w:val="32"/>
    </w:rPr>
  </w:style>
  <w:style w:type="paragraph" w:styleId="5">
    <w:name w:val="Date"/>
    <w:basedOn w:val="1"/>
    <w:next w:val="1"/>
    <w:qFormat/>
    <w:uiPriority w:val="0"/>
    <w:pPr>
      <w:ind w:left="100" w:leftChars="2500"/>
    </w:pPr>
  </w:style>
  <w:style w:type="paragraph" w:styleId="6">
    <w:name w:val="Balloon Text"/>
    <w:basedOn w:val="1"/>
    <w:semiHidden/>
    <w:qFormat/>
    <w:uiPriority w:val="0"/>
    <w:rPr>
      <w:sz w:val="18"/>
      <w:szCs w:val="18"/>
    </w:rPr>
  </w:style>
  <w:style w:type="paragraph" w:styleId="7">
    <w:name w:val="footer"/>
    <w:basedOn w:val="1"/>
    <w:link w:val="14"/>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rFonts w:ascii="Calibri" w:hAnsi="Calibri"/>
      <w:sz w:val="18"/>
      <w:szCs w:val="18"/>
    </w:rPr>
  </w:style>
  <w:style w:type="paragraph" w:styleId="9">
    <w:name w:val="Normal (Web)"/>
    <w:basedOn w:val="1"/>
    <w:unhideWhenUsed/>
    <w:qFormat/>
    <w:uiPriority w:val="0"/>
    <w:pPr>
      <w:spacing w:before="100" w:beforeAutospacing="1" w:after="100" w:afterAutospacing="1"/>
      <w:ind w:right="238"/>
      <w:jc w:val="left"/>
    </w:pPr>
    <w:rPr>
      <w:b/>
      <w:kern w:val="0"/>
      <w:sz w:val="24"/>
      <w:szCs w:val="20"/>
    </w:rPr>
  </w:style>
  <w:style w:type="character" w:styleId="12">
    <w:name w:val="Strong"/>
    <w:qFormat/>
    <w:uiPriority w:val="0"/>
    <w:rPr>
      <w:b/>
    </w:rPr>
  </w:style>
  <w:style w:type="character" w:styleId="13">
    <w:name w:val="page number"/>
    <w:qFormat/>
    <w:uiPriority w:val="0"/>
  </w:style>
  <w:style w:type="character" w:customStyle="1" w:styleId="14">
    <w:name w:val="页脚 Char"/>
    <w:link w:val="7"/>
    <w:qFormat/>
    <w:uiPriority w:val="0"/>
    <w:rPr>
      <w:rFonts w:eastAsia="宋体"/>
      <w:kern w:val="2"/>
      <w:sz w:val="18"/>
      <w:szCs w:val="18"/>
      <w:lang w:val="en-US" w:eastAsia="zh-CN" w:bidi="ar-SA"/>
    </w:rPr>
  </w:style>
  <w:style w:type="character" w:customStyle="1" w:styleId="15">
    <w:name w:val="页眉 Char"/>
    <w:link w:val="8"/>
    <w:qFormat/>
    <w:uiPriority w:val="0"/>
    <w:rPr>
      <w:rFonts w:ascii="Calibri" w:hAnsi="Calibri" w:eastAsia="宋体"/>
      <w:kern w:val="2"/>
      <w:sz w:val="18"/>
      <w:szCs w:val="18"/>
      <w:lang w:val="en-US" w:eastAsia="zh-CN" w:bidi="ar-SA"/>
    </w:rPr>
  </w:style>
  <w:style w:type="paragraph" w:customStyle="1" w:styleId="16">
    <w:name w:val="Char Char Char Char Char Char Char"/>
    <w:basedOn w:val="1"/>
    <w:qFormat/>
    <w:uiPriority w:val="0"/>
    <w:rPr>
      <w:rFonts w:ascii="Tahoma" w:hAnsi="Tahoma"/>
      <w:sz w:val="24"/>
      <w:szCs w:val="20"/>
    </w:rPr>
  </w:style>
  <w:style w:type="paragraph" w:customStyle="1" w:styleId="17">
    <w:name w:val="Char1 Char Char Char"/>
    <w:basedOn w:val="1"/>
    <w:qFormat/>
    <w:uiPriority w:val="0"/>
    <w:pPr>
      <w:widowControl/>
      <w:spacing w:after="160" w:line="240" w:lineRule="exact"/>
      <w:jc w:val="left"/>
    </w:pPr>
    <w:rPr>
      <w:szCs w:val="20"/>
    </w:rPr>
  </w:style>
  <w:style w:type="paragraph" w:customStyle="1" w:styleId="18">
    <w:name w:val="Char"/>
    <w:basedOn w:val="1"/>
    <w:qFormat/>
    <w:uiPriority w:val="0"/>
    <w:rPr>
      <w:rFonts w:ascii="Tahoma" w:hAnsi="Tahoma"/>
      <w:sz w:val="24"/>
      <w:szCs w:val="20"/>
    </w:rPr>
  </w:style>
  <w:style w:type="paragraph" w:customStyle="1" w:styleId="19">
    <w:name w:val="Char Char3 Char Char"/>
    <w:basedOn w:val="1"/>
    <w:qFormat/>
    <w:uiPriority w:val="0"/>
    <w:rPr>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收入</c:v>
                </c:pt>
              </c:strCache>
            </c:strRef>
          </c:tx>
          <c:explosion val="0"/>
          <c:dPt>
            <c:idx val="0"/>
            <c:bubble3D val="0"/>
          </c:dPt>
          <c:dPt>
            <c:idx val="1"/>
            <c:bubble3D val="0"/>
          </c:dPt>
          <c:dPt>
            <c:idx val="2"/>
            <c:bubble3D val="0"/>
          </c:dPt>
          <c:dPt>
            <c:idx val="3"/>
            <c:bubble3D val="0"/>
          </c:dPt>
          <c:dPt>
            <c:idx val="4"/>
            <c:bubble3D val="0"/>
          </c:dPt>
          <c:dPt>
            <c:idx val="5"/>
            <c:bubble3D val="0"/>
          </c:dPt>
          <c:dLbls>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Sheet1!$A$2:$A$7</c:f>
              <c:strCache>
                <c:ptCount val="6"/>
                <c:pt idx="0">
                  <c:v>财政拨款收入</c:v>
                </c:pt>
                <c:pt idx="1">
                  <c:v>上级补助收入</c:v>
                </c:pt>
                <c:pt idx="2">
                  <c:v>事业收入</c:v>
                </c:pt>
                <c:pt idx="3">
                  <c:v>经营收入</c:v>
                </c:pt>
                <c:pt idx="4">
                  <c:v>附属单位上缴</c:v>
                </c:pt>
                <c:pt idx="5">
                  <c:v>其他收入</c:v>
                </c:pt>
              </c:strCache>
            </c:strRef>
          </c:cat>
          <c:val>
            <c:numRef>
              <c:f>Sheet1!$B$2:$B$7</c:f>
              <c:numCache>
                <c:formatCode>General</c:formatCode>
                <c:ptCount val="6"/>
                <c:pt idx="0">
                  <c:v>3457.51</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Sheet0!$B$1</c:f>
              <c:strCache>
                <c:ptCount val="1"/>
                <c:pt idx="0">
                  <c:v>支出</c:v>
                </c:pt>
              </c:strCache>
            </c:strRef>
          </c:tx>
          <c:explosion val="0"/>
          <c:dPt>
            <c:idx val="0"/>
            <c:bubble3D val="0"/>
            <c:spPr>
              <a:solidFill>
                <a:srgbClr val="4F81BD"/>
              </a:solidFill>
              <a:ln w="19050">
                <a:solidFill>
                  <a:srgbClr val="FFFFFF"/>
                </a:solidFill>
              </a:ln>
              <a:effectLst/>
            </c:spPr>
          </c:dPt>
          <c:dPt>
            <c:idx val="1"/>
            <c:bubble3D val="0"/>
            <c:spPr>
              <a:solidFill>
                <a:srgbClr val="C0504D"/>
              </a:solidFill>
              <a:ln w="19050">
                <a:solidFill>
                  <a:srgbClr val="FFFFFF"/>
                </a:solidFill>
              </a:ln>
              <a:effectLst/>
            </c:spPr>
          </c:dPt>
          <c:dPt>
            <c:idx val="2"/>
            <c:bubble3D val="0"/>
            <c:spPr>
              <a:solidFill>
                <a:srgbClr val="9BBB59"/>
              </a:solidFill>
              <a:ln w="19050">
                <a:solidFill>
                  <a:srgbClr val="FFFFFF"/>
                </a:solidFill>
              </a:ln>
              <a:effectLst/>
            </c:spPr>
          </c:dPt>
          <c:dPt>
            <c:idx val="3"/>
            <c:bubble3D val="0"/>
            <c:spPr>
              <a:solidFill>
                <a:srgbClr val="8064A2"/>
              </a:solidFill>
              <a:ln w="19050">
                <a:solidFill>
                  <a:srgbClr val="FFFFFF"/>
                </a:solidFill>
              </a:ln>
              <a:effectLst/>
            </c:spPr>
          </c:dPt>
          <c:dPt>
            <c:idx val="4"/>
            <c:bubble3D val="0"/>
            <c:spPr>
              <a:solidFill>
                <a:srgbClr val="4BACC6"/>
              </a:solidFill>
              <a:ln w="19050">
                <a:solidFill>
                  <a:srgbClr val="FFFFFF"/>
                </a:solidFill>
              </a:ln>
              <a:effectLst/>
            </c:spPr>
          </c:dPt>
          <c:dLbls>
            <c:dLbl>
              <c:idx val="2"/>
              <c:layout>
                <c:manualLayout>
                  <c:x val="-0.03900372940115"/>
                  <c:y val="0.0328271436107878"/>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dLbl>
              <c:idx val="4"/>
              <c:layout>
                <c:manualLayout>
                  <c:x val="0.0389887693586102"/>
                  <c:y val="0.0105112295100623"/>
                </c:manualLayout>
              </c:layout>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A6A6A6">
                          <a:lumMod val="35000"/>
                          <a:lumOff val="65000"/>
                        </a:srgbClr>
                      </a:solidFill>
                      <a:prstDash val="solid"/>
                      <a:round/>
                    </a:ln>
                    <a:effectLst/>
                  </c:spPr>
                </c15:leaderLines>
              </c:ext>
            </c:extLst>
          </c:dLbls>
          <c:cat>
            <c:strRef>
              <c:f>Sheet0!$A$2:$A$6</c:f>
              <c:strCache>
                <c:ptCount val="5"/>
                <c:pt idx="0">
                  <c:v>基本支出</c:v>
                </c:pt>
                <c:pt idx="1">
                  <c:v>项目支出</c:v>
                </c:pt>
                <c:pt idx="2">
                  <c:v>上缴上级支出</c:v>
                </c:pt>
                <c:pt idx="3">
                  <c:v>经营支出</c:v>
                </c:pt>
                <c:pt idx="4">
                  <c:v>对附属单位补助支出</c:v>
                </c:pt>
              </c:strCache>
            </c:strRef>
          </c:cat>
          <c:val>
            <c:numRef>
              <c:f>Sheet0!$B$2:$B$6</c:f>
              <c:numCache>
                <c:formatCode>General</c:formatCode>
                <c:ptCount val="5"/>
                <c:pt idx="0">
                  <c:v>486.1</c:v>
                </c:pt>
                <c:pt idx="1">
                  <c:v>2971.41</c:v>
                </c:pt>
                <c:pt idx="2">
                  <c:v>0</c:v>
                </c:pt>
                <c:pt idx="3">
                  <c:v>0</c:v>
                </c:pt>
                <c:pt idx="4">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egendEntry>
        <c:idx val="0"/>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1"/>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2"/>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3"/>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4"/>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
    <c:plotVisOnly val="1"/>
    <c:dispBlanksAs val="gap"/>
    <c:showDLblsOverMax val="0"/>
  </c:chart>
  <c:spPr>
    <a:ln w="9525" cap="flat" cmpd="sng" algn="ctr">
      <a:solidFill>
        <a:srgbClr val="D9D9D9">
          <a:lumMod val="15000"/>
          <a:lumOff val="85000"/>
        </a:srgb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3958</Words>
  <Characters>6108</Characters>
  <Lines>47</Lines>
  <Paragraphs>13</Paragraphs>
  <TotalTime>40</TotalTime>
  <ScaleCrop>false</ScaleCrop>
  <LinksUpToDate>false</LinksUpToDate>
  <CharactersWithSpaces>6191</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2017-07-11T15:16:00Z</dcterms:created>
  <dc:creator>常程</dc:creator>
  <cp:lastModifiedBy>Lenovo-t</cp:lastModifiedBy>
  <cp:lastPrinted>2020-08-07T11:39:00Z</cp:lastPrinted>
  <dcterms:modified xsi:type="dcterms:W3CDTF">2026-09-03T02:07:19Z</dcterms:modified>
  <dc:title>北京市财政局关于做好向市人大常委会报送2015年度市级部门决算（草案）</dc:title>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435078ACFECC4A5A8A519EF4C3681114_13</vt:lpwstr>
  </property>
  <property fmtid="{D5CDD505-2E9C-101B-9397-08002B2CF9AE}" pid="4" name="KSOTemplateDocerSaveRecord">
    <vt:lpwstr>eyJoZGlkIjoiYjNlN2I2OGQxOGI1NmIxMWI3ZTg2MzgyOGIwNzE1YjAiLCJ1c2VySWQiOiI2NzgwOTI3MjgifQ==</vt:lpwstr>
  </property>
</Properties>
</file>