
<file path=[Content_Types].xml><?xml version="1.0" encoding="utf-8"?>
<Types xmlns="http://schemas.openxmlformats.org/package/2006/content-types">
  <Default Extension="xlsx" ContentType="application/vnd.openxmlformats-officedocument.spreadsheetml.sheet"/>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eastAsia="仿宋_GB2312"/>
          <w:b/>
          <w:sz w:val="32"/>
          <w:szCs w:val="32"/>
        </w:rPr>
      </w:pPr>
    </w:p>
    <w:p>
      <w:pPr>
        <w:jc w:val="center"/>
        <w:rPr>
          <w:rFonts w:ascii="黑体" w:eastAsia="黑体"/>
          <w:sz w:val="72"/>
          <w:szCs w:val="72"/>
        </w:rPr>
      </w:pPr>
    </w:p>
    <w:p>
      <w:pPr>
        <w:jc w:val="center"/>
        <w:rPr>
          <w:rFonts w:ascii="黑体" w:eastAsia="黑体"/>
          <w:sz w:val="72"/>
          <w:szCs w:val="72"/>
        </w:rPr>
      </w:pPr>
    </w:p>
    <w:p>
      <w:pPr>
        <w:jc w:val="center"/>
        <w:rPr>
          <w:rFonts w:ascii="黑体" w:eastAsia="黑体"/>
          <w:sz w:val="72"/>
          <w:szCs w:val="72"/>
        </w:rPr>
      </w:pPr>
    </w:p>
    <w:p>
      <w:pPr>
        <w:jc w:val="center"/>
        <w:rPr>
          <w:rFonts w:ascii="黑体" w:eastAsia="黑体"/>
          <w:sz w:val="72"/>
          <w:szCs w:val="72"/>
        </w:rPr>
      </w:pPr>
    </w:p>
    <w:p>
      <w:pPr>
        <w:jc w:val="center"/>
        <w:rPr>
          <w:rFonts w:hint="eastAsia" w:ascii="黑体" w:eastAsia="黑体"/>
          <w:sz w:val="72"/>
          <w:szCs w:val="72"/>
          <w:lang w:eastAsia="zh-CN"/>
        </w:rPr>
      </w:pPr>
      <w:r>
        <w:rPr>
          <w:rFonts w:hint="eastAsia" w:ascii="黑体" w:eastAsia="黑体"/>
          <w:sz w:val="72"/>
          <w:szCs w:val="72"/>
        </w:rPr>
        <w:t>2025年度</w:t>
      </w:r>
      <w:r>
        <w:rPr>
          <w:rFonts w:hint="eastAsia" w:ascii="黑体" w:eastAsia="黑体"/>
          <w:sz w:val="72"/>
          <w:szCs w:val="72"/>
          <w:lang w:eastAsia="zh-CN"/>
        </w:rPr>
        <w:t>北京市门头沟区应急管理局</w:t>
      </w:r>
    </w:p>
    <w:p>
      <w:pPr>
        <w:jc w:val="center"/>
        <w:rPr>
          <w:rFonts w:hint="eastAsia" w:ascii="黑体" w:eastAsia="黑体"/>
          <w:sz w:val="72"/>
          <w:szCs w:val="72"/>
          <w:lang w:eastAsia="zh-CN"/>
        </w:rPr>
      </w:pPr>
      <w:r>
        <w:rPr>
          <w:rFonts w:hint="eastAsia" w:ascii="黑体" w:eastAsia="黑体"/>
          <w:sz w:val="72"/>
          <w:szCs w:val="72"/>
          <w:lang w:eastAsia="zh-CN"/>
        </w:rPr>
        <w:t>单位</w:t>
      </w:r>
      <w:r>
        <w:rPr>
          <w:rFonts w:hint="eastAsia" w:ascii="黑体" w:eastAsia="黑体"/>
          <w:sz w:val="72"/>
          <w:szCs w:val="72"/>
        </w:rPr>
        <w:t>决算</w:t>
      </w:r>
      <w:r>
        <w:rPr>
          <w:rFonts w:hint="eastAsia" w:ascii="黑体" w:eastAsia="黑体"/>
          <w:sz w:val="72"/>
          <w:szCs w:val="72"/>
          <w:lang w:eastAsia="zh-CN"/>
        </w:rPr>
        <w:t>公开说明</w:t>
      </w:r>
    </w:p>
    <w:p>
      <w:pPr>
        <w:jc w:val="center"/>
        <w:rPr>
          <w:rFonts w:ascii="黑体" w:eastAsia="黑体"/>
          <w:sz w:val="52"/>
          <w:szCs w:val="52"/>
        </w:rPr>
      </w:pPr>
    </w:p>
    <w:p>
      <w:pPr>
        <w:jc w:val="center"/>
        <w:rPr>
          <w:rFonts w:ascii="黑体" w:eastAsia="黑体"/>
          <w:sz w:val="52"/>
          <w:szCs w:val="52"/>
        </w:rPr>
      </w:pPr>
    </w:p>
    <w:p>
      <w:pPr>
        <w:jc w:val="center"/>
        <w:rPr>
          <w:rFonts w:ascii="黑体" w:eastAsia="黑体"/>
          <w:sz w:val="52"/>
          <w:szCs w:val="52"/>
        </w:rPr>
      </w:pPr>
    </w:p>
    <w:p>
      <w:pPr>
        <w:jc w:val="both"/>
        <w:rPr>
          <w:rFonts w:ascii="黑体" w:eastAsia="黑体"/>
          <w:sz w:val="32"/>
          <w:szCs w:val="32"/>
        </w:rPr>
      </w:pPr>
    </w:p>
    <w:p>
      <w:pPr>
        <w:spacing w:line="500" w:lineRule="exact"/>
        <w:ind w:firstLine="645"/>
        <w:jc w:val="center"/>
        <w:rPr>
          <w:rFonts w:ascii="宋体" w:hAnsi="宋体" w:cs="宋体"/>
          <w:b/>
          <w:bCs/>
          <w:kern w:val="0"/>
          <w:sz w:val="44"/>
          <w:szCs w:val="36"/>
        </w:rPr>
      </w:pPr>
      <w:r>
        <w:rPr>
          <w:rFonts w:hint="eastAsia" w:ascii="宋体" w:hAnsi="宋体" w:cs="宋体"/>
          <w:b/>
          <w:bCs/>
          <w:kern w:val="0"/>
          <w:sz w:val="44"/>
          <w:szCs w:val="36"/>
        </w:rPr>
        <w:t>目    录</w:t>
      </w:r>
    </w:p>
    <w:p>
      <w:pPr>
        <w:spacing w:line="500" w:lineRule="exact"/>
        <w:ind w:firstLine="645"/>
        <w:jc w:val="center"/>
        <w:rPr>
          <w:rFonts w:ascii="宋体" w:hAnsi="宋体" w:cs="宋体"/>
          <w:b/>
          <w:bCs/>
          <w:kern w:val="0"/>
          <w:sz w:val="36"/>
          <w:szCs w:val="36"/>
        </w:rPr>
      </w:pPr>
    </w:p>
    <w:p>
      <w:pPr>
        <w:tabs>
          <w:tab w:val="center" w:pos="6979"/>
        </w:tabs>
        <w:spacing w:line="500" w:lineRule="exact"/>
        <w:ind w:firstLine="1600" w:firstLineChars="400"/>
        <w:jc w:val="left"/>
        <w:rPr>
          <w:rFonts w:ascii="宋体" w:hAnsi="宋体" w:cs="宋体"/>
          <w:bCs/>
          <w:spacing w:val="40"/>
          <w:kern w:val="0"/>
          <w:sz w:val="32"/>
          <w:szCs w:val="32"/>
        </w:rPr>
      </w:pPr>
      <w:r>
        <w:rPr>
          <w:rFonts w:hint="eastAsia" w:ascii="宋体" w:hAnsi="宋体" w:cs="宋体"/>
          <w:bCs/>
          <w:spacing w:val="40"/>
          <w:kern w:val="0"/>
          <w:sz w:val="32"/>
          <w:szCs w:val="32"/>
        </w:rPr>
        <w:t>第一部分 2025年度</w:t>
      </w:r>
      <w:r>
        <w:rPr>
          <w:rFonts w:hint="eastAsia" w:ascii="宋体" w:hAnsi="宋体" w:cs="宋体"/>
          <w:bCs/>
          <w:spacing w:val="40"/>
          <w:kern w:val="0"/>
          <w:sz w:val="32"/>
          <w:szCs w:val="32"/>
          <w:lang w:eastAsia="zh-CN"/>
        </w:rPr>
        <w:t>单位</w:t>
      </w:r>
      <w:r>
        <w:rPr>
          <w:rFonts w:hint="eastAsia" w:ascii="宋体" w:hAnsi="宋体" w:cs="宋体"/>
          <w:bCs/>
          <w:spacing w:val="40"/>
          <w:kern w:val="0"/>
          <w:sz w:val="32"/>
          <w:szCs w:val="32"/>
        </w:rPr>
        <w:t>决算报表</w:t>
      </w:r>
    </w:p>
    <w:p>
      <w:pPr>
        <w:tabs>
          <w:tab w:val="center" w:pos="6979"/>
        </w:tabs>
        <w:spacing w:line="500" w:lineRule="exact"/>
        <w:ind w:firstLine="2400" w:firstLineChars="600"/>
        <w:jc w:val="left"/>
        <w:rPr>
          <w:rFonts w:ascii="仿宋_GB2312" w:hAnsi="仿宋" w:eastAsia="仿宋_GB2312"/>
          <w:spacing w:val="40"/>
          <w:sz w:val="32"/>
          <w:szCs w:val="32"/>
        </w:rPr>
      </w:pPr>
      <w:r>
        <w:rPr>
          <w:rFonts w:hint="eastAsia" w:ascii="仿宋_GB2312" w:hAnsi="仿宋" w:eastAsia="仿宋_GB2312" w:cs="宋体"/>
          <w:bCs/>
          <w:spacing w:val="40"/>
          <w:kern w:val="0"/>
          <w:sz w:val="32"/>
          <w:szCs w:val="32"/>
        </w:rPr>
        <w:t>一、收入支出决算总表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二、收入决算表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三、支出决算表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四、财政拨款收入支出决算总表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五、一般公共预算财政拨款支出决算表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六、一般公共预算财政拨款</w:t>
      </w:r>
      <w:r>
        <w:rPr>
          <w:rFonts w:ascii="仿宋_GB2312" w:hAnsi="仿宋" w:eastAsia="仿宋_GB2312" w:cs="宋体"/>
          <w:bCs/>
          <w:spacing w:val="40"/>
          <w:kern w:val="0"/>
          <w:sz w:val="32"/>
          <w:szCs w:val="32"/>
        </w:rPr>
        <w:t>基本支出决算表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七</w:t>
      </w:r>
      <w:r>
        <w:rPr>
          <w:rFonts w:ascii="仿宋_GB2312" w:hAnsi="仿宋" w:eastAsia="仿宋_GB2312" w:cs="宋体"/>
          <w:bCs/>
          <w:spacing w:val="40"/>
          <w:kern w:val="0"/>
          <w:sz w:val="32"/>
          <w:szCs w:val="32"/>
        </w:rPr>
        <w:t>、</w:t>
      </w:r>
      <w:r>
        <w:rPr>
          <w:rFonts w:hint="eastAsia" w:ascii="仿宋_GB2312" w:hAnsi="仿宋" w:eastAsia="仿宋_GB2312" w:cs="宋体"/>
          <w:bCs/>
          <w:spacing w:val="40"/>
          <w:kern w:val="0"/>
          <w:sz w:val="32"/>
          <w:szCs w:val="32"/>
        </w:rPr>
        <w:t>政府性基金预算财政拨款收入支出决算表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八、</w:t>
      </w:r>
      <w:r>
        <w:rPr>
          <w:rFonts w:ascii="仿宋_GB2312" w:hAnsi="仿宋" w:eastAsia="仿宋_GB2312" w:cs="宋体"/>
          <w:bCs/>
          <w:spacing w:val="40"/>
          <w:kern w:val="0"/>
          <w:sz w:val="32"/>
          <w:szCs w:val="32"/>
        </w:rPr>
        <w:t>政府性基金</w:t>
      </w:r>
      <w:r>
        <w:rPr>
          <w:rFonts w:hint="eastAsia" w:ascii="仿宋_GB2312" w:hAnsi="仿宋" w:eastAsia="仿宋_GB2312" w:cs="宋体"/>
          <w:bCs/>
          <w:spacing w:val="40"/>
          <w:kern w:val="0"/>
          <w:sz w:val="32"/>
          <w:szCs w:val="32"/>
        </w:rPr>
        <w:t>预算</w:t>
      </w:r>
      <w:r>
        <w:rPr>
          <w:rFonts w:ascii="仿宋_GB2312" w:hAnsi="仿宋" w:eastAsia="仿宋_GB2312" w:cs="宋体"/>
          <w:bCs/>
          <w:spacing w:val="40"/>
          <w:kern w:val="0"/>
          <w:sz w:val="32"/>
          <w:szCs w:val="32"/>
        </w:rPr>
        <w:t>财政拨款基本支出决算表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九、国有资本经营预算财政拨款支出决算表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十、财政拨款“三公”经费支出决算表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十一、政府采购情况表</w:t>
      </w:r>
    </w:p>
    <w:p>
      <w:pPr>
        <w:tabs>
          <w:tab w:val="center" w:pos="6979"/>
        </w:tabs>
        <w:spacing w:line="500" w:lineRule="exact"/>
        <w:ind w:firstLine="1600" w:firstLineChars="400"/>
        <w:jc w:val="left"/>
        <w:rPr>
          <w:rFonts w:ascii="宋体" w:hAnsi="宋体" w:cs="宋体"/>
          <w:bCs/>
          <w:spacing w:val="40"/>
          <w:kern w:val="0"/>
          <w:sz w:val="32"/>
          <w:szCs w:val="32"/>
        </w:rPr>
      </w:pPr>
      <w:r>
        <w:rPr>
          <w:rFonts w:hint="eastAsia" w:ascii="宋体" w:hAnsi="宋体" w:cs="宋体"/>
          <w:bCs/>
          <w:spacing w:val="40"/>
          <w:kern w:val="0"/>
          <w:sz w:val="32"/>
          <w:szCs w:val="32"/>
        </w:rPr>
        <w:t xml:space="preserve">第二部分 </w:t>
      </w:r>
      <w:r>
        <w:rPr>
          <w:rFonts w:hint="eastAsia" w:ascii="宋体" w:hAnsi="宋体"/>
          <w:spacing w:val="40"/>
          <w:sz w:val="32"/>
          <w:szCs w:val="32"/>
        </w:rPr>
        <w:t>2025年度</w:t>
      </w:r>
      <w:r>
        <w:rPr>
          <w:rFonts w:hint="eastAsia" w:ascii="宋体" w:hAnsi="宋体"/>
          <w:spacing w:val="40"/>
          <w:sz w:val="32"/>
          <w:szCs w:val="32"/>
          <w:lang w:eastAsia="zh-CN"/>
        </w:rPr>
        <w:t>单位</w:t>
      </w:r>
      <w:r>
        <w:rPr>
          <w:rFonts w:hint="eastAsia" w:ascii="宋体" w:hAnsi="宋体"/>
          <w:spacing w:val="40"/>
          <w:sz w:val="32"/>
          <w:szCs w:val="32"/>
        </w:rPr>
        <w:t>决算说明</w:t>
      </w:r>
    </w:p>
    <w:p>
      <w:pPr>
        <w:tabs>
          <w:tab w:val="center" w:pos="6979"/>
        </w:tabs>
        <w:spacing w:line="500" w:lineRule="exact"/>
        <w:ind w:firstLine="1600" w:firstLineChars="400"/>
        <w:jc w:val="left"/>
        <w:rPr>
          <w:rFonts w:ascii="宋体" w:hAnsi="宋体" w:cs="宋体"/>
          <w:spacing w:val="40"/>
          <w:kern w:val="0"/>
          <w:sz w:val="32"/>
          <w:szCs w:val="32"/>
        </w:rPr>
      </w:pPr>
      <w:r>
        <w:rPr>
          <w:rFonts w:hint="eastAsia" w:ascii="宋体" w:hAnsi="宋体" w:cs="宋体"/>
          <w:bCs/>
          <w:spacing w:val="40"/>
          <w:kern w:val="0"/>
          <w:sz w:val="32"/>
          <w:szCs w:val="32"/>
        </w:rPr>
        <w:t xml:space="preserve">第三部分 </w:t>
      </w:r>
      <w:r>
        <w:rPr>
          <w:rFonts w:hint="eastAsia" w:ascii="宋体" w:hAnsi="宋体"/>
          <w:spacing w:val="40"/>
          <w:sz w:val="32"/>
          <w:szCs w:val="32"/>
        </w:rPr>
        <w:t>2025年度</w:t>
      </w:r>
      <w:r>
        <w:rPr>
          <w:rFonts w:hint="eastAsia" w:ascii="宋体" w:hAnsi="宋体" w:cs="宋体"/>
          <w:spacing w:val="40"/>
          <w:kern w:val="0"/>
          <w:sz w:val="32"/>
          <w:szCs w:val="32"/>
        </w:rPr>
        <w:t>其他重要事项的情况说明</w:t>
      </w:r>
    </w:p>
    <w:p>
      <w:pPr>
        <w:tabs>
          <w:tab w:val="center" w:pos="6979"/>
        </w:tabs>
        <w:spacing w:line="500" w:lineRule="exact"/>
        <w:ind w:firstLine="1600" w:firstLineChars="400"/>
        <w:jc w:val="left"/>
        <w:rPr>
          <w:rFonts w:ascii="宋体" w:hAnsi="宋体" w:cs="宋体"/>
          <w:spacing w:val="40"/>
          <w:kern w:val="0"/>
          <w:sz w:val="36"/>
          <w:szCs w:val="32"/>
        </w:rPr>
      </w:pPr>
      <w:r>
        <w:rPr>
          <w:rFonts w:hint="eastAsia" w:ascii="宋体" w:hAnsi="宋体" w:cs="宋体"/>
          <w:spacing w:val="40"/>
          <w:kern w:val="0"/>
          <w:sz w:val="32"/>
          <w:szCs w:val="32"/>
        </w:rPr>
        <w:t>第四部分 2025年度</w:t>
      </w:r>
      <w:r>
        <w:rPr>
          <w:rFonts w:hint="eastAsia" w:ascii="宋体" w:hAnsi="宋体" w:cs="宋体"/>
          <w:spacing w:val="40"/>
          <w:kern w:val="0"/>
          <w:sz w:val="32"/>
          <w:szCs w:val="32"/>
          <w:lang w:eastAsia="zh-CN"/>
        </w:rPr>
        <w:t>单位</w:t>
      </w:r>
      <w:r>
        <w:rPr>
          <w:rFonts w:hint="eastAsia" w:ascii="宋体" w:hAnsi="宋体" w:cs="宋体"/>
          <w:spacing w:val="40"/>
          <w:kern w:val="0"/>
          <w:sz w:val="32"/>
          <w:szCs w:val="32"/>
        </w:rPr>
        <w:t>绩效评价情况</w:t>
      </w:r>
    </w:p>
    <w:p>
      <w:pPr>
        <w:tabs>
          <w:tab w:val="center" w:pos="6979"/>
        </w:tabs>
        <w:spacing w:before="156" w:beforeLines="50" w:after="156" w:afterLines="50"/>
        <w:jc w:val="center"/>
        <w:rPr>
          <w:rFonts w:ascii="宋体" w:hAnsi="宋体" w:cs="宋体"/>
          <w:b/>
          <w:bCs/>
          <w:spacing w:val="40"/>
          <w:kern w:val="0"/>
          <w:sz w:val="32"/>
          <w:szCs w:val="32"/>
        </w:rPr>
      </w:pPr>
    </w:p>
    <w:p>
      <w:pPr>
        <w:tabs>
          <w:tab w:val="center" w:pos="6979"/>
        </w:tabs>
        <w:spacing w:before="156" w:beforeLines="50" w:after="156" w:afterLines="50"/>
        <w:jc w:val="center"/>
        <w:rPr>
          <w:rFonts w:ascii="宋体" w:hAnsi="宋体" w:cs="宋体"/>
          <w:b/>
          <w:bCs/>
          <w:spacing w:val="40"/>
          <w:kern w:val="0"/>
          <w:sz w:val="32"/>
          <w:szCs w:val="32"/>
        </w:rPr>
      </w:pPr>
    </w:p>
    <w:p>
      <w:pPr>
        <w:tabs>
          <w:tab w:val="center" w:pos="6979"/>
        </w:tabs>
        <w:spacing w:before="156" w:beforeLines="50" w:after="156" w:afterLines="50"/>
        <w:jc w:val="center"/>
        <w:rPr>
          <w:rFonts w:ascii="宋体" w:hAnsi="宋体" w:cs="宋体"/>
          <w:b/>
          <w:bCs/>
          <w:spacing w:val="40"/>
          <w:kern w:val="0"/>
          <w:sz w:val="32"/>
          <w:szCs w:val="32"/>
        </w:rPr>
      </w:pPr>
    </w:p>
    <w:p>
      <w:pPr>
        <w:tabs>
          <w:tab w:val="center" w:pos="6979"/>
        </w:tabs>
        <w:spacing w:before="156" w:beforeLines="50" w:after="156" w:afterLines="50"/>
        <w:jc w:val="center"/>
        <w:rPr>
          <w:rFonts w:ascii="宋体" w:hAnsi="宋体" w:cs="宋体"/>
          <w:b/>
          <w:bCs/>
          <w:spacing w:val="40"/>
          <w:kern w:val="0"/>
          <w:sz w:val="32"/>
          <w:szCs w:val="32"/>
        </w:rPr>
      </w:pPr>
    </w:p>
    <w:p>
      <w:pPr>
        <w:tabs>
          <w:tab w:val="center" w:pos="6979"/>
        </w:tabs>
        <w:spacing w:before="156" w:beforeLines="50" w:after="156" w:afterLines="50"/>
        <w:jc w:val="center"/>
        <w:rPr>
          <w:rFonts w:ascii="宋体" w:hAnsi="宋体" w:cs="宋体"/>
          <w:b/>
          <w:bCs/>
          <w:spacing w:val="40"/>
          <w:kern w:val="0"/>
          <w:sz w:val="32"/>
          <w:szCs w:val="32"/>
        </w:rPr>
      </w:pPr>
    </w:p>
    <w:p>
      <w:pPr>
        <w:tabs>
          <w:tab w:val="center" w:pos="6979"/>
        </w:tabs>
        <w:spacing w:before="156" w:beforeLines="50" w:after="156" w:afterLines="50"/>
        <w:jc w:val="center"/>
        <w:rPr>
          <w:rFonts w:ascii="宋体" w:hAnsi="宋体" w:cs="宋体"/>
          <w:b/>
          <w:bCs/>
          <w:spacing w:val="40"/>
          <w:kern w:val="0"/>
          <w:sz w:val="32"/>
          <w:szCs w:val="32"/>
        </w:rPr>
      </w:pPr>
      <w:r>
        <w:rPr>
          <w:rFonts w:hint="eastAsia" w:ascii="宋体" w:hAnsi="宋体" w:cs="宋体"/>
          <w:b/>
          <w:bCs/>
          <w:spacing w:val="40"/>
          <w:kern w:val="0"/>
          <w:sz w:val="44"/>
          <w:szCs w:val="44"/>
        </w:rPr>
        <w:t>第一部分 2025年度</w:t>
      </w:r>
      <w:r>
        <w:rPr>
          <w:rFonts w:hint="eastAsia" w:ascii="宋体" w:hAnsi="宋体" w:cs="宋体"/>
          <w:b/>
          <w:bCs/>
          <w:spacing w:val="40"/>
          <w:kern w:val="0"/>
          <w:sz w:val="44"/>
          <w:szCs w:val="44"/>
          <w:lang w:eastAsia="zh-CN"/>
        </w:rPr>
        <w:t>单位</w:t>
      </w:r>
      <w:r>
        <w:rPr>
          <w:rFonts w:hint="eastAsia" w:ascii="宋体" w:hAnsi="宋体" w:cs="宋体"/>
          <w:b/>
          <w:bCs/>
          <w:spacing w:val="40"/>
          <w:kern w:val="0"/>
          <w:sz w:val="44"/>
          <w:szCs w:val="44"/>
        </w:rPr>
        <w:t>决算报表</w:t>
      </w:r>
    </w:p>
    <w:p>
      <w:pPr>
        <w:pStyle w:val="2"/>
        <w:rPr>
          <w:b w:val="0"/>
          <w:bCs w:val="0"/>
        </w:rPr>
        <w:sectPr>
          <w:footerReference r:id="rId3" w:type="default"/>
          <w:pgSz w:w="16838" w:h="11906" w:orient="landscape"/>
          <w:pgMar w:top="1134" w:right="1134" w:bottom="1134" w:left="1134" w:header="851" w:footer="992" w:gutter="0"/>
          <w:cols w:space="720" w:num="1"/>
          <w:docGrid w:type="linesAndChars" w:linePitch="312" w:charSpace="0"/>
        </w:sectPr>
      </w:pPr>
      <w:r>
        <w:rPr>
          <w:rFonts w:hint="eastAsia" w:ascii="仿宋_GB2312" w:eastAsia="仿宋_GB2312"/>
          <w:sz w:val="28"/>
          <w:szCs w:val="28"/>
        </w:rPr>
        <w:t xml:space="preserve">   </w:t>
      </w:r>
      <w:r>
        <w:rPr>
          <w:rFonts w:hint="eastAsia" w:ascii="仿宋_GB2312" w:eastAsia="仿宋_GB2312"/>
          <w:b w:val="0"/>
          <w:bCs w:val="0"/>
          <w:sz w:val="28"/>
          <w:szCs w:val="28"/>
        </w:rPr>
        <w:t>报表详见附件。</w:t>
      </w:r>
    </w:p>
    <w:p>
      <w:pPr>
        <w:tabs>
          <w:tab w:val="center" w:pos="6979"/>
        </w:tabs>
        <w:spacing w:before="156" w:beforeLines="50" w:after="156" w:afterLines="50"/>
        <w:jc w:val="center"/>
        <w:rPr>
          <w:rFonts w:ascii="宋体" w:hAnsi="宋体"/>
          <w:b/>
          <w:sz w:val="32"/>
          <w:szCs w:val="32"/>
        </w:rPr>
      </w:pPr>
      <w:r>
        <w:rPr>
          <w:rFonts w:hint="eastAsia" w:ascii="宋体" w:hAnsi="宋体" w:cs="宋体"/>
          <w:b/>
          <w:bCs/>
          <w:spacing w:val="40"/>
          <w:kern w:val="0"/>
          <w:sz w:val="32"/>
          <w:szCs w:val="32"/>
        </w:rPr>
        <w:t xml:space="preserve">第二部分 </w:t>
      </w:r>
      <w:r>
        <w:rPr>
          <w:rFonts w:hint="eastAsia" w:ascii="宋体" w:hAnsi="宋体"/>
          <w:b/>
          <w:spacing w:val="40"/>
          <w:sz w:val="32"/>
          <w:szCs w:val="32"/>
        </w:rPr>
        <w:t>2025年度</w:t>
      </w:r>
      <w:r>
        <w:rPr>
          <w:rFonts w:hint="eastAsia" w:ascii="宋体" w:hAnsi="宋体"/>
          <w:b/>
          <w:spacing w:val="40"/>
          <w:sz w:val="32"/>
          <w:szCs w:val="32"/>
          <w:lang w:eastAsia="zh-CN"/>
        </w:rPr>
        <w:t>单位</w:t>
      </w:r>
      <w:r>
        <w:rPr>
          <w:rFonts w:hint="eastAsia" w:ascii="宋体" w:hAnsi="宋体"/>
          <w:b/>
          <w:spacing w:val="40"/>
          <w:sz w:val="32"/>
          <w:szCs w:val="32"/>
        </w:rPr>
        <w:t>决算说明</w:t>
      </w:r>
    </w:p>
    <w:p>
      <w:pPr>
        <w:tabs>
          <w:tab w:val="center" w:pos="6979"/>
        </w:tabs>
        <w:spacing w:line="580" w:lineRule="exact"/>
        <w:ind w:firstLine="548" w:firstLineChars="196"/>
        <w:rPr>
          <w:rFonts w:ascii="黑体" w:eastAsia="黑体"/>
          <w:b/>
          <w:sz w:val="28"/>
          <w:szCs w:val="28"/>
        </w:rPr>
      </w:pPr>
      <w:r>
        <w:rPr>
          <w:rFonts w:hint="eastAsia" w:ascii="黑体" w:eastAsia="黑体"/>
          <w:b/>
          <w:sz w:val="28"/>
          <w:szCs w:val="28"/>
        </w:rPr>
        <w:t>一、单位基本情况</w:t>
      </w:r>
    </w:p>
    <w:p>
      <w:pPr>
        <w:tabs>
          <w:tab w:val="center" w:pos="6979"/>
        </w:tabs>
        <w:spacing w:line="520" w:lineRule="exact"/>
        <w:ind w:firstLine="560" w:firstLineChars="200"/>
        <w:rPr>
          <w:rFonts w:ascii="仿宋_GB2312" w:eastAsia="仿宋_GB2312"/>
          <w:sz w:val="28"/>
          <w:szCs w:val="28"/>
        </w:rPr>
      </w:pPr>
      <w:r>
        <w:rPr>
          <w:rFonts w:hint="eastAsia" w:ascii="仿宋_GB2312" w:eastAsia="仿宋_GB2312" w:cs="Times New Roman"/>
          <w:sz w:val="28"/>
          <w:szCs w:val="28"/>
          <w:lang w:eastAsia="zh-CN"/>
        </w:rPr>
        <w:t>（一）单位性质、职责等情况</w:t>
      </w:r>
    </w:p>
    <w:p>
      <w:pPr>
        <w:tabs>
          <w:tab w:val="center" w:pos="6979"/>
        </w:tabs>
        <w:spacing w:line="580" w:lineRule="exact"/>
        <w:ind w:firstLine="560" w:firstLineChars="200"/>
        <w:rPr>
          <w:rFonts w:hint="eastAsia" w:ascii="仿宋_GB2312" w:eastAsia="仿宋_GB2312" w:cs="Times New Roman"/>
          <w:sz w:val="28"/>
          <w:szCs w:val="28"/>
        </w:rPr>
      </w:pPr>
      <w:r>
        <w:rPr>
          <w:rFonts w:hint="eastAsia" w:ascii="仿宋_GB2312" w:eastAsia="仿宋_GB2312" w:cs="Times New Roman"/>
          <w:sz w:val="28"/>
          <w:szCs w:val="28"/>
          <w:lang w:val="en-US" w:eastAsia="zh-CN"/>
        </w:rPr>
        <w:t>1.</w:t>
      </w:r>
      <w:r>
        <w:rPr>
          <w:rFonts w:hint="eastAsia" w:ascii="仿宋_GB2312" w:eastAsia="仿宋_GB2312" w:cs="Times New Roman"/>
          <w:sz w:val="28"/>
          <w:szCs w:val="28"/>
        </w:rPr>
        <w:t>负责本区应急管理工作，指导各镇街各部门各单位应对安全生产类、自然灾害类等突发事件和综合防灾减灾救灾工作。负责安全生产综合监督管理和工矿商贸行业安全生产监督管理工作。</w:t>
      </w:r>
    </w:p>
    <w:p>
      <w:pPr>
        <w:tabs>
          <w:tab w:val="center" w:pos="6979"/>
        </w:tabs>
        <w:spacing w:line="580" w:lineRule="exact"/>
        <w:ind w:firstLine="560" w:firstLineChars="200"/>
        <w:rPr>
          <w:rFonts w:hint="eastAsia" w:ascii="仿宋_GB2312" w:eastAsia="仿宋_GB2312" w:cs="Times New Roman"/>
          <w:sz w:val="28"/>
          <w:szCs w:val="28"/>
        </w:rPr>
      </w:pPr>
      <w:r>
        <w:rPr>
          <w:rFonts w:hint="eastAsia" w:ascii="仿宋_GB2312" w:eastAsia="仿宋_GB2312" w:cs="Times New Roman"/>
          <w:sz w:val="28"/>
          <w:szCs w:val="28"/>
          <w:lang w:val="en-US" w:eastAsia="zh-CN"/>
        </w:rPr>
        <w:t>2.</w:t>
      </w:r>
      <w:r>
        <w:rPr>
          <w:rFonts w:hint="eastAsia" w:ascii="仿宋_GB2312" w:eastAsia="仿宋_GB2312" w:cs="Times New Roman"/>
          <w:sz w:val="28"/>
          <w:szCs w:val="28"/>
        </w:rPr>
        <w:t>贯彻落实本市应急管理、安全生产等政策，组织编制应急体系建设、安全生产和综合防灾减灾规划，组织实施相关规程和标准。</w:t>
      </w:r>
    </w:p>
    <w:p>
      <w:pPr>
        <w:tabs>
          <w:tab w:val="center" w:pos="6979"/>
        </w:tabs>
        <w:spacing w:line="580" w:lineRule="exact"/>
        <w:ind w:firstLine="560" w:firstLineChars="200"/>
        <w:rPr>
          <w:rFonts w:hint="eastAsia" w:ascii="仿宋_GB2312" w:eastAsia="仿宋_GB2312" w:cs="Times New Roman"/>
          <w:sz w:val="28"/>
          <w:szCs w:val="28"/>
        </w:rPr>
      </w:pPr>
      <w:r>
        <w:rPr>
          <w:rFonts w:hint="eastAsia" w:ascii="仿宋_GB2312" w:eastAsia="仿宋_GB2312" w:cs="Times New Roman"/>
          <w:sz w:val="28"/>
          <w:szCs w:val="28"/>
          <w:lang w:val="en-US" w:eastAsia="zh-CN"/>
        </w:rPr>
        <w:t>3.</w:t>
      </w:r>
      <w:r>
        <w:rPr>
          <w:rFonts w:hint="eastAsia" w:ascii="仿宋_GB2312" w:eastAsia="仿宋_GB2312" w:cs="Times New Roman"/>
          <w:sz w:val="28"/>
          <w:szCs w:val="28"/>
        </w:rPr>
        <w:t>指导本区应急预案体系建设，建立完善事故灾难和自然灾害分级应对制度，组织编制本区总体应急预案和安全生产类、自然灾害类专项预案，综合协调应急预案衔接工作，组织开展预案演练，推动应急避难设施建设。</w:t>
      </w:r>
    </w:p>
    <w:p>
      <w:pPr>
        <w:tabs>
          <w:tab w:val="center" w:pos="6979"/>
        </w:tabs>
        <w:spacing w:line="580" w:lineRule="exact"/>
        <w:ind w:firstLine="560" w:firstLineChars="200"/>
        <w:rPr>
          <w:rFonts w:hint="eastAsia" w:ascii="仿宋_GB2312" w:eastAsia="仿宋_GB2312" w:cs="Times New Roman"/>
          <w:sz w:val="28"/>
          <w:szCs w:val="28"/>
        </w:rPr>
      </w:pPr>
      <w:r>
        <w:rPr>
          <w:rFonts w:hint="eastAsia" w:ascii="仿宋_GB2312" w:eastAsia="仿宋_GB2312" w:cs="Times New Roman"/>
          <w:sz w:val="28"/>
          <w:szCs w:val="28"/>
          <w:lang w:val="en-US" w:eastAsia="zh-CN"/>
        </w:rPr>
        <w:t>4.</w:t>
      </w:r>
      <w:r>
        <w:rPr>
          <w:rFonts w:hint="eastAsia" w:ascii="仿宋_GB2312" w:eastAsia="仿宋_GB2312" w:cs="Times New Roman"/>
          <w:sz w:val="28"/>
          <w:szCs w:val="28"/>
        </w:rPr>
        <w:t>牵头建立本区统一的应急管理信息系统，负责信息传输渠道的规划和布局，建立监测预警和灾情报告制度，健全自然灾害信息资源获取和共享机制，依法统一发布灾情。</w:t>
      </w:r>
    </w:p>
    <w:p>
      <w:pPr>
        <w:tabs>
          <w:tab w:val="center" w:pos="6979"/>
        </w:tabs>
        <w:spacing w:line="580" w:lineRule="exact"/>
        <w:ind w:firstLine="560" w:firstLineChars="200"/>
        <w:rPr>
          <w:rFonts w:hint="eastAsia" w:ascii="仿宋_GB2312" w:eastAsia="仿宋_GB2312" w:cs="Times New Roman"/>
          <w:sz w:val="28"/>
          <w:szCs w:val="28"/>
        </w:rPr>
      </w:pPr>
      <w:r>
        <w:rPr>
          <w:rFonts w:hint="eastAsia" w:ascii="仿宋_GB2312" w:eastAsia="仿宋_GB2312" w:cs="Times New Roman"/>
          <w:sz w:val="28"/>
          <w:szCs w:val="28"/>
          <w:lang w:val="en-US" w:eastAsia="zh-CN"/>
        </w:rPr>
        <w:t>5.</w:t>
      </w:r>
      <w:r>
        <w:rPr>
          <w:rFonts w:hint="eastAsia" w:ascii="仿宋_GB2312" w:eastAsia="仿宋_GB2312" w:cs="Times New Roman"/>
          <w:sz w:val="28"/>
          <w:szCs w:val="28"/>
        </w:rPr>
        <w:t>组织指导协调本区安全生产类、自然灾害类等突发事件应急救援，综合研判突发事件发展态势并提出应对建议，协助区委、区政府指定的负责同志组织重大灾害应急处置工作。</w:t>
      </w:r>
    </w:p>
    <w:p>
      <w:pPr>
        <w:tabs>
          <w:tab w:val="center" w:pos="6979"/>
        </w:tabs>
        <w:spacing w:line="580" w:lineRule="exact"/>
        <w:ind w:firstLine="560" w:firstLineChars="200"/>
        <w:rPr>
          <w:rFonts w:hint="eastAsia" w:ascii="仿宋_GB2312" w:eastAsia="仿宋_GB2312" w:cs="Times New Roman"/>
          <w:sz w:val="28"/>
          <w:szCs w:val="28"/>
        </w:rPr>
      </w:pPr>
      <w:r>
        <w:rPr>
          <w:rFonts w:hint="eastAsia" w:ascii="仿宋_GB2312" w:eastAsia="仿宋_GB2312" w:cs="Times New Roman"/>
          <w:sz w:val="28"/>
          <w:szCs w:val="28"/>
          <w:lang w:val="en-US" w:eastAsia="zh-CN"/>
        </w:rPr>
        <w:t>6.</w:t>
      </w:r>
      <w:r>
        <w:rPr>
          <w:rFonts w:hint="eastAsia" w:ascii="仿宋_GB2312" w:eastAsia="仿宋_GB2312" w:cs="Times New Roman"/>
          <w:sz w:val="28"/>
          <w:szCs w:val="28"/>
        </w:rPr>
        <w:t>统一协调指挥本区各类应急专业队伍，建立应急协调联动机制，推进指挥平台对接，衔接解放军和武警部队参与应急救援工作，指导本区综合性消防救援队伍开展有关应急救援工作。</w:t>
      </w:r>
    </w:p>
    <w:p>
      <w:pPr>
        <w:tabs>
          <w:tab w:val="center" w:pos="6979"/>
        </w:tabs>
        <w:spacing w:line="580" w:lineRule="exact"/>
        <w:ind w:firstLine="560" w:firstLineChars="200"/>
        <w:rPr>
          <w:rFonts w:hint="eastAsia" w:ascii="仿宋_GB2312" w:eastAsia="仿宋_GB2312" w:cs="Times New Roman"/>
          <w:sz w:val="28"/>
          <w:szCs w:val="28"/>
        </w:rPr>
      </w:pPr>
      <w:r>
        <w:rPr>
          <w:rFonts w:hint="eastAsia" w:ascii="仿宋_GB2312" w:eastAsia="仿宋_GB2312" w:cs="Times New Roman"/>
          <w:sz w:val="28"/>
          <w:szCs w:val="28"/>
          <w:lang w:val="en-US" w:eastAsia="zh-CN"/>
        </w:rPr>
        <w:t>7.</w:t>
      </w:r>
      <w:r>
        <w:rPr>
          <w:rFonts w:hint="eastAsia" w:ascii="仿宋_GB2312" w:eastAsia="仿宋_GB2312" w:cs="Times New Roman"/>
          <w:sz w:val="28"/>
          <w:szCs w:val="28"/>
        </w:rPr>
        <w:t>统筹本区应急救援力量建设，负责组织消防、森林火灾扑救、抗洪抢险、地震和地质灾害救援、生产安全事故救援等专业应急救援力量建设，指导综合性应急救援队伍建设和各镇街及社会应急救援力量建设。</w:t>
      </w:r>
    </w:p>
    <w:p>
      <w:pPr>
        <w:tabs>
          <w:tab w:val="center" w:pos="6979"/>
        </w:tabs>
        <w:spacing w:line="580" w:lineRule="exact"/>
        <w:ind w:firstLine="560" w:firstLineChars="200"/>
        <w:rPr>
          <w:rFonts w:hint="eastAsia" w:ascii="仿宋_GB2312" w:eastAsia="仿宋_GB2312" w:cs="Times New Roman"/>
          <w:sz w:val="28"/>
          <w:szCs w:val="28"/>
        </w:rPr>
      </w:pPr>
      <w:r>
        <w:rPr>
          <w:rFonts w:hint="eastAsia" w:ascii="仿宋_GB2312" w:eastAsia="仿宋_GB2312" w:cs="Times New Roman"/>
          <w:sz w:val="28"/>
          <w:szCs w:val="28"/>
          <w:lang w:val="en-US" w:eastAsia="zh-CN"/>
        </w:rPr>
        <w:t>8.</w:t>
      </w:r>
      <w:r>
        <w:rPr>
          <w:rFonts w:hint="eastAsia" w:ascii="仿宋_GB2312" w:eastAsia="仿宋_GB2312" w:cs="Times New Roman"/>
          <w:sz w:val="28"/>
          <w:szCs w:val="28"/>
        </w:rPr>
        <w:t>负责本区消防管理工作，指导消防监督、火灾预防火灾扑救等工作。</w:t>
      </w:r>
    </w:p>
    <w:p>
      <w:pPr>
        <w:tabs>
          <w:tab w:val="center" w:pos="6979"/>
        </w:tabs>
        <w:spacing w:line="580" w:lineRule="exact"/>
        <w:ind w:firstLine="560" w:firstLineChars="200"/>
        <w:rPr>
          <w:rFonts w:hint="eastAsia" w:ascii="仿宋_GB2312" w:eastAsia="仿宋_GB2312" w:cs="Times New Roman"/>
          <w:sz w:val="28"/>
          <w:szCs w:val="28"/>
        </w:rPr>
      </w:pPr>
      <w:r>
        <w:rPr>
          <w:rFonts w:hint="eastAsia" w:ascii="仿宋_GB2312" w:eastAsia="仿宋_GB2312" w:cs="Times New Roman"/>
          <w:sz w:val="28"/>
          <w:szCs w:val="28"/>
          <w:lang w:val="en-US" w:eastAsia="zh-CN"/>
        </w:rPr>
        <w:t>9.</w:t>
      </w:r>
      <w:r>
        <w:rPr>
          <w:rFonts w:hint="eastAsia" w:ascii="仿宋_GB2312" w:eastAsia="仿宋_GB2312" w:cs="Times New Roman"/>
          <w:sz w:val="28"/>
          <w:szCs w:val="28"/>
        </w:rPr>
        <w:t>指导协调本区森林火灾、水旱灾害、地震和地质灾害等防治工作，负责自然灾害综合监测预警工作，指导开展自然灾害综合风险评估工作。</w:t>
      </w:r>
    </w:p>
    <w:p>
      <w:pPr>
        <w:tabs>
          <w:tab w:val="center" w:pos="6979"/>
        </w:tabs>
        <w:spacing w:line="580" w:lineRule="exact"/>
        <w:ind w:firstLine="560" w:firstLineChars="200"/>
        <w:rPr>
          <w:rFonts w:hint="eastAsia" w:ascii="仿宋_GB2312" w:eastAsia="仿宋_GB2312" w:cs="Times New Roman"/>
          <w:sz w:val="28"/>
          <w:szCs w:val="28"/>
        </w:rPr>
      </w:pPr>
      <w:r>
        <w:rPr>
          <w:rFonts w:hint="eastAsia" w:ascii="仿宋_GB2312" w:eastAsia="仿宋_GB2312" w:cs="Times New Roman"/>
          <w:sz w:val="28"/>
          <w:szCs w:val="28"/>
          <w:lang w:val="en-US" w:eastAsia="zh-CN"/>
        </w:rPr>
        <w:t>10.</w:t>
      </w:r>
      <w:r>
        <w:rPr>
          <w:rFonts w:hint="eastAsia" w:ascii="仿宋_GB2312" w:eastAsia="仿宋_GB2312" w:cs="Times New Roman"/>
          <w:sz w:val="28"/>
          <w:szCs w:val="28"/>
        </w:rPr>
        <w:t>组织协调本区灾害救助工作，组织指导灾情核查、损失评估、救灾捐赠工作，管理、分配区级救灾款物并监督使用。</w:t>
      </w:r>
    </w:p>
    <w:p>
      <w:pPr>
        <w:tabs>
          <w:tab w:val="center" w:pos="6979"/>
        </w:tabs>
        <w:spacing w:line="580" w:lineRule="exact"/>
        <w:ind w:firstLine="560" w:firstLineChars="200"/>
        <w:rPr>
          <w:rFonts w:hint="eastAsia" w:ascii="仿宋_GB2312" w:eastAsia="仿宋_GB2312" w:cs="Times New Roman"/>
          <w:sz w:val="28"/>
          <w:szCs w:val="28"/>
        </w:rPr>
      </w:pPr>
      <w:r>
        <w:rPr>
          <w:rFonts w:hint="eastAsia" w:ascii="仿宋_GB2312" w:eastAsia="仿宋_GB2312" w:cs="Times New Roman"/>
          <w:sz w:val="28"/>
          <w:szCs w:val="28"/>
          <w:lang w:val="en-US" w:eastAsia="zh-CN"/>
        </w:rPr>
        <w:t>11.</w:t>
      </w:r>
      <w:r>
        <w:rPr>
          <w:rFonts w:hint="eastAsia" w:ascii="仿宋_GB2312" w:eastAsia="仿宋_GB2312" w:cs="Times New Roman"/>
          <w:sz w:val="28"/>
          <w:szCs w:val="28"/>
        </w:rPr>
        <w:t>依法行使本区安全生产综合监督管理职权，指导协调、监督检查区政府有关部门和各镇政府、各街道办事处安全生产工作，组织开展安全生产督查、考核工作。</w:t>
      </w:r>
    </w:p>
    <w:p>
      <w:pPr>
        <w:tabs>
          <w:tab w:val="center" w:pos="6979"/>
        </w:tabs>
        <w:spacing w:line="580" w:lineRule="exact"/>
        <w:ind w:firstLine="560" w:firstLineChars="200"/>
        <w:rPr>
          <w:rFonts w:hint="eastAsia" w:ascii="仿宋_GB2312" w:eastAsia="仿宋_GB2312" w:cs="Times New Roman"/>
          <w:sz w:val="28"/>
          <w:szCs w:val="28"/>
        </w:rPr>
      </w:pPr>
      <w:r>
        <w:rPr>
          <w:rFonts w:hint="eastAsia" w:ascii="仿宋_GB2312" w:eastAsia="仿宋_GB2312" w:cs="Times New Roman"/>
          <w:sz w:val="28"/>
          <w:szCs w:val="28"/>
          <w:lang w:val="en-US" w:eastAsia="zh-CN"/>
        </w:rPr>
        <w:t>12.</w:t>
      </w:r>
      <w:r>
        <w:rPr>
          <w:rFonts w:hint="eastAsia" w:ascii="仿宋_GB2312" w:eastAsia="仿宋_GB2312" w:cs="Times New Roman"/>
          <w:sz w:val="28"/>
          <w:szCs w:val="28"/>
        </w:rPr>
        <w:t>按照分级、属地原则，依法监督检查本区工矿商贸生产经营单位贯彻执行安全生产法律法规和标准情况及其安全生产条件和有关设备(特种设备除外)、材料、劳动防护用品的安全生产管理工作依法组织并指导监督实施安全生产准入制度。负责危险化学品安全监督管理综合工作和烟花爆竹经营单位安全监督管理工作。负责煤矿、非煤矿山安全生产监督管理工作。</w:t>
      </w:r>
    </w:p>
    <w:p>
      <w:pPr>
        <w:tabs>
          <w:tab w:val="center" w:pos="6979"/>
        </w:tabs>
        <w:spacing w:line="580" w:lineRule="exact"/>
        <w:ind w:firstLine="560" w:firstLineChars="200"/>
        <w:rPr>
          <w:rFonts w:hint="eastAsia" w:ascii="仿宋_GB2312" w:eastAsia="仿宋_GB2312" w:cs="Times New Roman"/>
          <w:sz w:val="28"/>
          <w:szCs w:val="28"/>
        </w:rPr>
      </w:pPr>
      <w:r>
        <w:rPr>
          <w:rFonts w:hint="eastAsia" w:ascii="仿宋_GB2312" w:eastAsia="仿宋_GB2312" w:cs="Times New Roman"/>
          <w:sz w:val="28"/>
          <w:szCs w:val="28"/>
          <w:lang w:val="en-US" w:eastAsia="zh-CN"/>
        </w:rPr>
        <w:t>13.</w:t>
      </w:r>
      <w:r>
        <w:rPr>
          <w:rFonts w:hint="eastAsia" w:ascii="仿宋_GB2312" w:eastAsia="仿宋_GB2312" w:cs="Times New Roman"/>
          <w:sz w:val="28"/>
          <w:szCs w:val="28"/>
        </w:rPr>
        <w:t>依法组织指导本区生产安全事故调查处理，监督事故查处和责任追究落实情况。组织开展自然灾害类突发事件的调查评估工作。</w:t>
      </w:r>
    </w:p>
    <w:p>
      <w:pPr>
        <w:tabs>
          <w:tab w:val="center" w:pos="6979"/>
        </w:tabs>
        <w:spacing w:line="580" w:lineRule="exact"/>
        <w:ind w:firstLine="560" w:firstLineChars="200"/>
        <w:rPr>
          <w:rFonts w:hint="eastAsia" w:ascii="仿宋_GB2312" w:eastAsia="仿宋_GB2312" w:cs="Times New Roman"/>
          <w:sz w:val="28"/>
          <w:szCs w:val="28"/>
        </w:rPr>
      </w:pPr>
      <w:r>
        <w:rPr>
          <w:rFonts w:hint="eastAsia" w:ascii="仿宋_GB2312" w:eastAsia="仿宋_GB2312" w:cs="Times New Roman"/>
          <w:sz w:val="28"/>
          <w:szCs w:val="28"/>
          <w:lang w:val="en-US" w:eastAsia="zh-CN"/>
        </w:rPr>
        <w:t>14.</w:t>
      </w:r>
      <w:r>
        <w:rPr>
          <w:rFonts w:hint="eastAsia" w:ascii="仿宋_GB2312" w:eastAsia="仿宋_GB2312" w:cs="Times New Roman"/>
          <w:sz w:val="28"/>
          <w:szCs w:val="28"/>
        </w:rPr>
        <w:t>开展应急管理方面的对外交流与合作，组织参与安全生产类、自然灾害类等突发事件的对外救援工作。</w:t>
      </w:r>
    </w:p>
    <w:p>
      <w:pPr>
        <w:tabs>
          <w:tab w:val="center" w:pos="6979"/>
        </w:tabs>
        <w:spacing w:line="580" w:lineRule="exact"/>
        <w:ind w:firstLine="560" w:firstLineChars="200"/>
        <w:rPr>
          <w:rFonts w:hint="eastAsia" w:ascii="仿宋_GB2312" w:eastAsia="仿宋_GB2312" w:cs="Times New Roman"/>
          <w:sz w:val="28"/>
          <w:szCs w:val="28"/>
        </w:rPr>
      </w:pPr>
      <w:r>
        <w:rPr>
          <w:rFonts w:hint="eastAsia" w:ascii="仿宋_GB2312" w:eastAsia="仿宋_GB2312" w:cs="Times New Roman"/>
          <w:sz w:val="28"/>
          <w:szCs w:val="28"/>
          <w:lang w:val="en-US" w:eastAsia="zh-CN"/>
        </w:rPr>
        <w:t>15.</w:t>
      </w:r>
      <w:r>
        <w:rPr>
          <w:rFonts w:hint="eastAsia" w:ascii="仿宋_GB2312" w:eastAsia="仿宋_GB2312" w:cs="Times New Roman"/>
          <w:sz w:val="28"/>
          <w:szCs w:val="28"/>
        </w:rPr>
        <w:t>制定本区应急物资储备和应急救援装备规划并组织实施，会同区粮食和储备局等部门建立健全应急物资信息平台和调拨制度，在救灾时统一调度。</w:t>
      </w:r>
    </w:p>
    <w:p>
      <w:pPr>
        <w:tabs>
          <w:tab w:val="center" w:pos="6979"/>
        </w:tabs>
        <w:spacing w:line="580" w:lineRule="exact"/>
        <w:ind w:firstLine="560" w:firstLineChars="200"/>
        <w:rPr>
          <w:rFonts w:hint="eastAsia" w:ascii="仿宋_GB2312" w:eastAsia="仿宋_GB2312" w:cs="Times New Roman"/>
          <w:sz w:val="28"/>
          <w:szCs w:val="28"/>
        </w:rPr>
      </w:pPr>
      <w:r>
        <w:rPr>
          <w:rFonts w:hint="eastAsia" w:ascii="仿宋_GB2312" w:eastAsia="仿宋_GB2312" w:cs="Times New Roman"/>
          <w:sz w:val="28"/>
          <w:szCs w:val="28"/>
          <w:lang w:val="en-US" w:eastAsia="zh-CN"/>
        </w:rPr>
        <w:t>16.</w:t>
      </w:r>
      <w:r>
        <w:rPr>
          <w:rFonts w:hint="eastAsia" w:ascii="仿宋_GB2312" w:eastAsia="仿宋_GB2312" w:cs="Times New Roman"/>
          <w:sz w:val="28"/>
          <w:szCs w:val="28"/>
        </w:rPr>
        <w:t>负责本区应急管理、安全生产宣传教育和培训工作，组织指导应急管理、安全生产的科学技术研究、推广应用和信息化建设工作。</w:t>
      </w:r>
    </w:p>
    <w:p>
      <w:pPr>
        <w:tabs>
          <w:tab w:val="center" w:pos="6979"/>
        </w:tabs>
        <w:spacing w:line="580" w:lineRule="exact"/>
        <w:ind w:firstLine="560" w:firstLineChars="200"/>
        <w:rPr>
          <w:rFonts w:hint="eastAsia" w:ascii="仿宋_GB2312" w:eastAsia="仿宋_GB2312" w:cs="Times New Roman"/>
          <w:sz w:val="28"/>
          <w:szCs w:val="28"/>
        </w:rPr>
      </w:pPr>
      <w:r>
        <w:rPr>
          <w:rFonts w:hint="eastAsia" w:ascii="仿宋_GB2312" w:eastAsia="仿宋_GB2312" w:cs="Times New Roman"/>
          <w:sz w:val="28"/>
          <w:szCs w:val="28"/>
          <w:lang w:val="en-US" w:eastAsia="zh-CN"/>
        </w:rPr>
        <w:t>17.</w:t>
      </w:r>
      <w:r>
        <w:rPr>
          <w:rFonts w:hint="eastAsia" w:ascii="仿宋_GB2312" w:eastAsia="仿宋_GB2312" w:cs="Times New Roman"/>
          <w:sz w:val="28"/>
          <w:szCs w:val="28"/>
        </w:rPr>
        <w:t>承担区突发事件应急委员会的具体工作，负责规划、组织、协调、指导、检查本区突发事件应对工作及应急管理的预案、体制、机制和法制建设。承担区安全生产委员会、区防火安全委员会、区森林防火应急指挥部、区防汛抗旱应急指挥部的具体工作。</w:t>
      </w:r>
    </w:p>
    <w:p>
      <w:pPr>
        <w:tabs>
          <w:tab w:val="center" w:pos="6979"/>
        </w:tabs>
        <w:spacing w:line="580" w:lineRule="exact"/>
        <w:ind w:firstLine="560" w:firstLineChars="200"/>
        <w:rPr>
          <w:rFonts w:hint="eastAsia" w:ascii="仿宋_GB2312" w:eastAsia="仿宋_GB2312" w:cs="Times New Roman"/>
          <w:sz w:val="28"/>
          <w:szCs w:val="28"/>
        </w:rPr>
      </w:pPr>
      <w:r>
        <w:rPr>
          <w:rFonts w:hint="eastAsia" w:ascii="仿宋_GB2312" w:eastAsia="仿宋_GB2312" w:cs="Times New Roman"/>
          <w:sz w:val="28"/>
          <w:szCs w:val="28"/>
          <w:lang w:val="en-US" w:eastAsia="zh-CN"/>
        </w:rPr>
        <w:t>18.</w:t>
      </w:r>
      <w:r>
        <w:rPr>
          <w:rFonts w:hint="eastAsia" w:ascii="仿宋_GB2312" w:eastAsia="仿宋_GB2312" w:cs="Times New Roman"/>
          <w:sz w:val="28"/>
          <w:szCs w:val="28"/>
        </w:rPr>
        <w:t>负责本区地震领域的行政职能。</w:t>
      </w:r>
    </w:p>
    <w:p>
      <w:pPr>
        <w:tabs>
          <w:tab w:val="center" w:pos="6979"/>
        </w:tabs>
        <w:spacing w:line="580" w:lineRule="exact"/>
        <w:ind w:firstLine="560" w:firstLineChars="200"/>
        <w:rPr>
          <w:rFonts w:hint="eastAsia" w:ascii="仿宋_GB2312" w:eastAsia="仿宋_GB2312" w:cs="Times New Roman"/>
          <w:sz w:val="28"/>
          <w:szCs w:val="28"/>
        </w:rPr>
      </w:pPr>
      <w:r>
        <w:rPr>
          <w:rFonts w:hint="eastAsia" w:ascii="仿宋_GB2312" w:eastAsia="仿宋_GB2312" w:cs="Times New Roman"/>
          <w:sz w:val="28"/>
          <w:szCs w:val="28"/>
          <w:lang w:val="en-US" w:eastAsia="zh-CN"/>
        </w:rPr>
        <w:t>19.</w:t>
      </w:r>
      <w:r>
        <w:rPr>
          <w:rFonts w:hint="eastAsia" w:ascii="仿宋_GB2312" w:eastAsia="仿宋_GB2312" w:cs="Times New Roman"/>
          <w:sz w:val="28"/>
          <w:szCs w:val="28"/>
        </w:rPr>
        <w:t>区地震局归区应急局管理。</w:t>
      </w:r>
    </w:p>
    <w:p>
      <w:pPr>
        <w:tabs>
          <w:tab w:val="center" w:pos="6979"/>
        </w:tabs>
        <w:spacing w:line="580" w:lineRule="exact"/>
        <w:ind w:firstLine="560" w:firstLineChars="200"/>
        <w:rPr>
          <w:rFonts w:hint="eastAsia" w:ascii="仿宋_GB2312" w:eastAsia="仿宋_GB2312" w:cs="Times New Roman"/>
          <w:sz w:val="28"/>
          <w:szCs w:val="28"/>
        </w:rPr>
      </w:pPr>
      <w:r>
        <w:rPr>
          <w:rFonts w:hint="eastAsia" w:ascii="仿宋_GB2312" w:eastAsia="仿宋_GB2312" w:cs="Times New Roman"/>
          <w:sz w:val="28"/>
          <w:szCs w:val="28"/>
          <w:lang w:val="en-US" w:eastAsia="zh-CN"/>
        </w:rPr>
        <w:t>20.</w:t>
      </w:r>
      <w:r>
        <w:rPr>
          <w:rFonts w:hint="eastAsia" w:ascii="仿宋_GB2312" w:eastAsia="仿宋_GB2312" w:cs="Times New Roman"/>
          <w:sz w:val="28"/>
          <w:szCs w:val="28"/>
        </w:rPr>
        <w:t>完成区委、区政府交办的其他任务。</w:t>
      </w:r>
    </w:p>
    <w:p>
      <w:pPr>
        <w:tabs>
          <w:tab w:val="center" w:pos="6979"/>
        </w:tabs>
        <w:spacing w:line="580" w:lineRule="exact"/>
        <w:ind w:firstLine="560" w:firstLineChars="200"/>
        <w:rPr>
          <w:rFonts w:hint="eastAsia" w:ascii="仿宋_GB2312" w:eastAsia="仿宋_GB2312" w:cs="Times New Roman"/>
          <w:sz w:val="28"/>
          <w:szCs w:val="28"/>
        </w:rPr>
      </w:pPr>
      <w:r>
        <w:rPr>
          <w:rFonts w:hint="eastAsia" w:ascii="仿宋_GB2312" w:eastAsia="仿宋_GB2312" w:cs="Times New Roman"/>
          <w:sz w:val="28"/>
          <w:szCs w:val="28"/>
          <w:lang w:val="en-US" w:eastAsia="zh-CN"/>
        </w:rPr>
        <w:t>21.</w:t>
      </w:r>
      <w:r>
        <w:rPr>
          <w:rFonts w:hint="eastAsia" w:ascii="仿宋_GB2312" w:eastAsia="仿宋_GB2312" w:cs="Times New Roman"/>
          <w:sz w:val="28"/>
          <w:szCs w:val="28"/>
        </w:rPr>
        <w:t>职能转变。区应急局应加强、优化、统筹全区应急能力建设，构建统一领导、权责一致、权威高效的应急能力体系，推动形成统一指挥、专常兼备、反应灵敏、上下联动、平战结合的应急管理体制。一是坚持以防为主、防抗救结合，坚持常态减灾和非常态救灾相统一，努力实现从注重灾后救助向注重灾前预防转变，从应对单一灾种向综合减灾转变，从减少灾害损失向减轻灾害风险转变，提高本区应急管理水平和防灾减灾救灾能力，防范化解重特大安全风险。二是坚持以人为本，把人民群众生命安全放在首位，确保受灾群众基本生活，加强应急预案演练，增强全民防灾减灾意识，提升公众知识普及和自救互救技能，切实减少人员伤亡和财产损失。三是树立安全发展理念，坚持生命至上、安全第一，完善安全生产责任制，坚决遏制重特大安全事故发生。</w:t>
      </w:r>
    </w:p>
    <w:p>
      <w:pPr>
        <w:tabs>
          <w:tab w:val="center" w:pos="6979"/>
        </w:tabs>
        <w:spacing w:line="580" w:lineRule="exact"/>
        <w:ind w:firstLine="560" w:firstLineChars="200"/>
        <w:rPr>
          <w:rFonts w:hint="eastAsia" w:ascii="仿宋_GB2312" w:eastAsia="仿宋_GB2312" w:cs="Times New Roman"/>
          <w:sz w:val="28"/>
          <w:szCs w:val="28"/>
        </w:rPr>
      </w:pPr>
      <w:r>
        <w:rPr>
          <w:rFonts w:hint="eastAsia" w:ascii="仿宋_GB2312" w:eastAsia="仿宋_GB2312" w:cs="Times New Roman"/>
          <w:sz w:val="28"/>
          <w:szCs w:val="28"/>
          <w:lang w:val="en-US" w:eastAsia="zh-CN"/>
        </w:rPr>
        <w:t>22.</w:t>
      </w:r>
      <w:r>
        <w:rPr>
          <w:rFonts w:hint="eastAsia" w:ascii="仿宋_GB2312" w:eastAsia="仿宋_GB2312" w:cs="Times New Roman"/>
          <w:sz w:val="28"/>
          <w:szCs w:val="28"/>
        </w:rPr>
        <w:t>有关职责分工</w:t>
      </w:r>
    </w:p>
    <w:p>
      <w:pPr>
        <w:tabs>
          <w:tab w:val="center" w:pos="6979"/>
        </w:tabs>
        <w:spacing w:line="580" w:lineRule="exact"/>
        <w:ind w:firstLine="560" w:firstLineChars="200"/>
        <w:rPr>
          <w:rFonts w:hint="eastAsia" w:ascii="仿宋_GB2312" w:eastAsia="仿宋_GB2312" w:cs="Times New Roman"/>
          <w:sz w:val="28"/>
          <w:szCs w:val="28"/>
        </w:rPr>
      </w:pPr>
      <w:r>
        <w:rPr>
          <w:rFonts w:hint="eastAsia" w:ascii="仿宋_GB2312" w:eastAsia="仿宋_GB2312" w:cs="Times New Roman"/>
          <w:sz w:val="28"/>
          <w:szCs w:val="28"/>
        </w:rPr>
        <w:t>（1）与市规划自然资源委门头沟分局、区水务局、区园林绿化局等部门在自然灾害防救方面的职责分工。</w:t>
      </w:r>
    </w:p>
    <w:p>
      <w:pPr>
        <w:tabs>
          <w:tab w:val="center" w:pos="6979"/>
        </w:tabs>
        <w:spacing w:line="580" w:lineRule="exact"/>
        <w:ind w:firstLine="560" w:firstLineChars="200"/>
        <w:rPr>
          <w:rFonts w:hint="eastAsia" w:ascii="仿宋_GB2312" w:eastAsia="仿宋_GB2312" w:cs="Times New Roman"/>
          <w:sz w:val="28"/>
          <w:szCs w:val="28"/>
        </w:rPr>
      </w:pPr>
      <w:r>
        <w:rPr>
          <w:rFonts w:hint="eastAsia" w:ascii="仿宋_GB2312" w:eastAsia="仿宋_GB2312" w:cs="Times New Roman"/>
          <w:sz w:val="28"/>
          <w:szCs w:val="28"/>
        </w:rPr>
        <w:t>①区应急局负责组织编制全区总体应急预案和安全生产类、自然灾害类专项预案，综合协调应急预案衔接工作，组织开展预案演练。按照分级负责的原则，指导自然灾害类应急救援;组织协调重大灾害应急救援工作，并按权限作出决定;协助区委区政府指定的负责同志组织重大灾害应急处置工作。组织编制综合防灾减灾规划，指导协调相关部门森林火灾、水旱灾害、地震和地质灾害等防治工作;会同市规划自然资源委门头沟分局、区水务局、区园林绿化局和区气象局、区地震局等有关部门建立统一的应急管理信息平台，建立监测预警和灾情报告制度，健全自然灾害信息资源获取和共享机制，依法统一发布灾情，开展多灾种和灾害链综合监测预警，指导开展自然灾害综合风险评估。负责森林火情监测预警工作，发布森林火险、火灾信息。</w:t>
      </w:r>
    </w:p>
    <w:p>
      <w:pPr>
        <w:tabs>
          <w:tab w:val="center" w:pos="6979"/>
        </w:tabs>
        <w:spacing w:line="580" w:lineRule="exact"/>
        <w:ind w:firstLine="560" w:firstLineChars="200"/>
        <w:rPr>
          <w:rFonts w:hint="eastAsia" w:ascii="仿宋_GB2312" w:eastAsia="仿宋_GB2312" w:cs="Times New Roman"/>
          <w:sz w:val="28"/>
          <w:szCs w:val="28"/>
        </w:rPr>
      </w:pPr>
      <w:r>
        <w:rPr>
          <w:rFonts w:hint="eastAsia" w:ascii="仿宋_GB2312" w:eastAsia="仿宋_GB2312" w:cs="Times New Roman"/>
          <w:sz w:val="28"/>
          <w:szCs w:val="28"/>
        </w:rPr>
        <w:t>②市规划自然资源委门头沟分局负责落实综合防灾减灾规划相关要求，组织编制地质灾害防治规划和防护标准并指导实施;组织指导协调和监督地质灾害调查评价及隐患的普查、详查、排查;指导开展群测群防、专业监测和预报预警等工作，指导开展地质灾害工程治理工作;承担地质灾害应急救援的技术支撑工作。</w:t>
      </w:r>
    </w:p>
    <w:p>
      <w:pPr>
        <w:tabs>
          <w:tab w:val="center" w:pos="6979"/>
        </w:tabs>
        <w:spacing w:line="580" w:lineRule="exact"/>
        <w:ind w:firstLine="560" w:firstLineChars="200"/>
        <w:rPr>
          <w:rFonts w:hint="eastAsia" w:ascii="仿宋_GB2312" w:eastAsia="仿宋_GB2312" w:cs="Times New Roman"/>
          <w:sz w:val="28"/>
          <w:szCs w:val="28"/>
        </w:rPr>
      </w:pPr>
      <w:r>
        <w:rPr>
          <w:rFonts w:hint="eastAsia" w:ascii="仿宋_GB2312" w:eastAsia="仿宋_GB2312" w:cs="Times New Roman"/>
          <w:sz w:val="28"/>
          <w:szCs w:val="28"/>
        </w:rPr>
        <w:t>③区水务局负责落实综合防灾减灾规划相关要求，组织编制洪水干旱灾害和城市内涝防治规划及防护标准并指导实施;承担水情旱情监测预警工作;组织编制防御洪水抗御旱灾调度和应急水量调度方案，按程序报批并组织实施;承担防御洪水和城市内涝应急抢险的技术支撑工作。</w:t>
      </w:r>
    </w:p>
    <w:p>
      <w:pPr>
        <w:tabs>
          <w:tab w:val="center" w:pos="6979"/>
        </w:tabs>
        <w:spacing w:line="580" w:lineRule="exact"/>
        <w:ind w:firstLine="560" w:firstLineChars="200"/>
        <w:rPr>
          <w:rFonts w:hint="eastAsia" w:ascii="仿宋_GB2312" w:eastAsia="仿宋_GB2312" w:cs="Times New Roman"/>
          <w:sz w:val="28"/>
          <w:szCs w:val="28"/>
        </w:rPr>
      </w:pPr>
      <w:r>
        <w:rPr>
          <w:rFonts w:hint="eastAsia" w:ascii="仿宋_GB2312" w:eastAsia="仿宋_GB2312" w:cs="Times New Roman"/>
          <w:sz w:val="28"/>
          <w:szCs w:val="28"/>
        </w:rPr>
        <w:t>④区园林绿化局负责落实综合防灾减灾规划相关要求组织编制森林火灾防治规划和防护标准并指导实施;指导开展防火巡护、火源管理、防火设施建设、防火宣传教育等工作;组织指导国有林场开展监测预警、督促检查等工作。</w:t>
      </w:r>
    </w:p>
    <w:p>
      <w:pPr>
        <w:tabs>
          <w:tab w:val="center" w:pos="6979"/>
        </w:tabs>
        <w:spacing w:line="580" w:lineRule="exact"/>
        <w:ind w:firstLine="560" w:firstLineChars="200"/>
        <w:rPr>
          <w:rFonts w:hint="eastAsia" w:ascii="仿宋_GB2312" w:eastAsia="仿宋_GB2312" w:cs="Times New Roman"/>
          <w:sz w:val="28"/>
          <w:szCs w:val="28"/>
        </w:rPr>
      </w:pPr>
      <w:r>
        <w:rPr>
          <w:rFonts w:hint="eastAsia" w:ascii="仿宋_GB2312" w:eastAsia="仿宋_GB2312" w:cs="Times New Roman"/>
          <w:sz w:val="28"/>
          <w:szCs w:val="28"/>
        </w:rPr>
        <w:t>⑤必要时，市规划自然资源委门头沟分局、区水务局、区园林绿化局等部门可以提请区应急局，以本区相关应急指挥机构名义部署相关防治工作。</w:t>
      </w:r>
    </w:p>
    <w:p>
      <w:pPr>
        <w:tabs>
          <w:tab w:val="center" w:pos="6979"/>
        </w:tabs>
        <w:spacing w:line="580" w:lineRule="exact"/>
        <w:ind w:firstLine="560" w:firstLineChars="200"/>
        <w:rPr>
          <w:rFonts w:hint="eastAsia" w:ascii="仿宋_GB2312" w:eastAsia="仿宋_GB2312" w:cs="Times New Roman"/>
          <w:sz w:val="28"/>
          <w:szCs w:val="28"/>
        </w:rPr>
      </w:pPr>
      <w:r>
        <w:rPr>
          <w:rFonts w:hint="eastAsia" w:ascii="仿宋_GB2312" w:eastAsia="仿宋_GB2312" w:cs="Times New Roman"/>
          <w:sz w:val="28"/>
          <w:szCs w:val="28"/>
        </w:rPr>
        <w:t>（</w:t>
      </w:r>
      <w:r>
        <w:rPr>
          <w:rFonts w:hint="eastAsia" w:ascii="仿宋_GB2312" w:eastAsia="仿宋_GB2312" w:cs="Times New Roman"/>
          <w:sz w:val="28"/>
          <w:szCs w:val="28"/>
          <w:lang w:val="en-US" w:eastAsia="zh-CN"/>
        </w:rPr>
        <w:t>2</w:t>
      </w:r>
      <w:r>
        <w:rPr>
          <w:rFonts w:hint="eastAsia" w:ascii="仿宋_GB2312" w:eastAsia="仿宋_GB2312" w:cs="Times New Roman"/>
          <w:sz w:val="28"/>
          <w:szCs w:val="28"/>
        </w:rPr>
        <w:t>）与区粮食和储备局在区级救灾物资储备方面的职责分工。</w:t>
      </w:r>
    </w:p>
    <w:p>
      <w:pPr>
        <w:tabs>
          <w:tab w:val="center" w:pos="6979"/>
        </w:tabs>
        <w:spacing w:line="580" w:lineRule="exact"/>
        <w:ind w:firstLine="560" w:firstLineChars="200"/>
        <w:rPr>
          <w:rFonts w:hint="eastAsia" w:ascii="仿宋_GB2312" w:eastAsia="仿宋_GB2312" w:cs="Times New Roman"/>
          <w:sz w:val="28"/>
          <w:szCs w:val="28"/>
        </w:rPr>
      </w:pPr>
      <w:r>
        <w:rPr>
          <w:rFonts w:hint="eastAsia" w:ascii="仿宋_GB2312" w:eastAsia="仿宋_GB2312" w:cs="Times New Roman"/>
          <w:sz w:val="28"/>
          <w:szCs w:val="28"/>
        </w:rPr>
        <w:t>①区应急局负责提出区级救灾物资的储备需求和动用决策，组织编制区级救灾物资储备规划、品种目录和标准，会同区粮食和储备局等部门确定年度购置计划，根据需要下达动用指令。</w:t>
      </w:r>
    </w:p>
    <w:p>
      <w:pPr>
        <w:tabs>
          <w:tab w:val="center" w:pos="6979"/>
        </w:tabs>
        <w:spacing w:line="580" w:lineRule="exact"/>
        <w:ind w:firstLine="560" w:firstLineChars="200"/>
        <w:rPr>
          <w:rFonts w:hint="eastAsia" w:ascii="仿宋_GB2312" w:eastAsia="仿宋_GB2312" w:cs="Times New Roman"/>
          <w:sz w:val="28"/>
          <w:szCs w:val="28"/>
        </w:rPr>
      </w:pPr>
      <w:r>
        <w:rPr>
          <w:rFonts w:hint="eastAsia" w:ascii="仿宋_GB2312" w:eastAsia="仿宋_GB2312" w:cs="Times New Roman"/>
          <w:sz w:val="28"/>
          <w:szCs w:val="28"/>
        </w:rPr>
        <w:t>②区粮食和储备局根据区级救灾物资储备规划，品种目录和标准、年度购置计划，负责区级救灾物资的收储、轮换和日常管理，根据区应急局的动用指令按程序组织调出。</w:t>
      </w:r>
    </w:p>
    <w:p>
      <w:pPr>
        <w:autoSpaceDE w:val="0"/>
        <w:autoSpaceDN w:val="0"/>
        <w:adjustRightInd w:val="0"/>
        <w:spacing w:line="580" w:lineRule="exact"/>
        <w:ind w:firstLine="560" w:firstLineChars="200"/>
        <w:jc w:val="left"/>
        <w:rPr>
          <w:rFonts w:hint="eastAsia" w:ascii="仿宋_GB2312" w:eastAsia="仿宋_GB2312" w:cs="Times New Roman"/>
          <w:sz w:val="28"/>
          <w:szCs w:val="28"/>
          <w:lang w:eastAsia="zh-CN"/>
        </w:rPr>
      </w:pPr>
      <w:r>
        <w:rPr>
          <w:rFonts w:hint="eastAsia" w:ascii="仿宋_GB2312" w:eastAsia="仿宋_GB2312" w:cs="Times New Roman"/>
          <w:sz w:val="28"/>
          <w:szCs w:val="28"/>
          <w:lang w:eastAsia="zh-CN"/>
        </w:rPr>
        <w:t>（二）机构设置情况</w:t>
      </w:r>
    </w:p>
    <w:p>
      <w:pPr>
        <w:tabs>
          <w:tab w:val="center" w:pos="6979"/>
        </w:tabs>
        <w:spacing w:line="580" w:lineRule="exact"/>
        <w:rPr>
          <w:rFonts w:hint="eastAsia" w:ascii="仿宋_GB2312" w:eastAsia="仿宋_GB2312"/>
          <w:sz w:val="28"/>
          <w:szCs w:val="32"/>
        </w:rPr>
      </w:pPr>
      <w:r>
        <w:rPr>
          <w:rFonts w:hint="eastAsia" w:ascii="仿宋_GB2312" w:eastAsia="仿宋_GB2312"/>
          <w:sz w:val="28"/>
          <w:szCs w:val="32"/>
        </w:rPr>
        <w:t>本部门共设</w:t>
      </w:r>
      <w:r>
        <w:rPr>
          <w:rFonts w:hint="eastAsia" w:ascii="仿宋_GB2312" w:eastAsia="仿宋_GB2312"/>
          <w:sz w:val="28"/>
          <w:szCs w:val="32"/>
          <w:lang w:val="en-US" w:eastAsia="zh-CN"/>
        </w:rPr>
        <w:t>5</w:t>
      </w:r>
      <w:r>
        <w:rPr>
          <w:rFonts w:hint="eastAsia" w:ascii="仿宋_GB2312" w:eastAsia="仿宋_GB2312"/>
          <w:sz w:val="28"/>
          <w:szCs w:val="32"/>
        </w:rPr>
        <w:t>个内设机构。行政编制</w:t>
      </w:r>
      <w:r>
        <w:rPr>
          <w:rFonts w:hint="eastAsia" w:ascii="仿宋_GB2312" w:eastAsia="仿宋_GB2312"/>
          <w:sz w:val="28"/>
          <w:szCs w:val="32"/>
          <w:lang w:val="en-US" w:eastAsia="zh-CN"/>
        </w:rPr>
        <w:t>52</w:t>
      </w:r>
      <w:r>
        <w:rPr>
          <w:rFonts w:hint="eastAsia" w:ascii="仿宋_GB2312" w:eastAsia="仿宋_GB2312"/>
          <w:sz w:val="28"/>
          <w:szCs w:val="32"/>
        </w:rPr>
        <w:t>名，实际</w:t>
      </w:r>
      <w:r>
        <w:rPr>
          <w:rFonts w:hint="eastAsia" w:ascii="仿宋_GB2312" w:eastAsia="仿宋_GB2312"/>
          <w:sz w:val="28"/>
          <w:szCs w:val="32"/>
          <w:lang w:val="en-US" w:eastAsia="zh-CN"/>
        </w:rPr>
        <w:t>52</w:t>
      </w:r>
      <w:r>
        <w:rPr>
          <w:rFonts w:hint="eastAsia" w:ascii="仿宋_GB2312" w:eastAsia="仿宋_GB2312"/>
          <w:sz w:val="28"/>
          <w:szCs w:val="32"/>
        </w:rPr>
        <w:t>人；事业编制</w:t>
      </w:r>
      <w:r>
        <w:rPr>
          <w:rFonts w:hint="eastAsia" w:ascii="仿宋_GB2312" w:eastAsia="仿宋_GB2312"/>
          <w:sz w:val="28"/>
          <w:szCs w:val="32"/>
          <w:lang w:val="en-US" w:eastAsia="zh-CN"/>
        </w:rPr>
        <w:t>0</w:t>
      </w:r>
      <w:r>
        <w:rPr>
          <w:rFonts w:hint="eastAsia" w:ascii="仿宋_GB2312" w:eastAsia="仿宋_GB2312"/>
          <w:sz w:val="28"/>
          <w:szCs w:val="32"/>
        </w:rPr>
        <w:t>名，实际</w:t>
      </w:r>
      <w:r>
        <w:rPr>
          <w:rFonts w:hint="eastAsia" w:ascii="仿宋_GB2312" w:eastAsia="仿宋_GB2312"/>
          <w:sz w:val="28"/>
          <w:szCs w:val="32"/>
          <w:lang w:val="en-US" w:eastAsia="zh-CN"/>
        </w:rPr>
        <w:t>0</w:t>
      </w:r>
      <w:r>
        <w:rPr>
          <w:rFonts w:hint="eastAsia" w:ascii="仿宋_GB2312" w:eastAsia="仿宋_GB2312"/>
          <w:sz w:val="28"/>
          <w:szCs w:val="32"/>
        </w:rPr>
        <w:t>人；离退休人员人，其中：离休</w:t>
      </w:r>
      <w:r>
        <w:rPr>
          <w:rFonts w:hint="eastAsia" w:ascii="仿宋_GB2312" w:eastAsia="仿宋_GB2312"/>
          <w:sz w:val="28"/>
          <w:szCs w:val="32"/>
          <w:lang w:val="en-US" w:eastAsia="zh-CN"/>
        </w:rPr>
        <w:t>0</w:t>
      </w:r>
      <w:r>
        <w:rPr>
          <w:rFonts w:hint="eastAsia" w:ascii="仿宋_GB2312" w:eastAsia="仿宋_GB2312"/>
          <w:sz w:val="28"/>
          <w:szCs w:val="32"/>
        </w:rPr>
        <w:t>人，行政退休</w:t>
      </w:r>
      <w:r>
        <w:rPr>
          <w:rFonts w:hint="eastAsia" w:ascii="仿宋_GB2312" w:eastAsia="仿宋_GB2312"/>
          <w:sz w:val="28"/>
          <w:szCs w:val="32"/>
          <w:lang w:val="en-US" w:eastAsia="zh-CN"/>
        </w:rPr>
        <w:t>22</w:t>
      </w:r>
      <w:r>
        <w:rPr>
          <w:rFonts w:hint="eastAsia" w:ascii="仿宋_GB2312" w:eastAsia="仿宋_GB2312"/>
          <w:sz w:val="28"/>
          <w:szCs w:val="32"/>
        </w:rPr>
        <w:t>人，事业退休</w:t>
      </w:r>
      <w:r>
        <w:rPr>
          <w:rFonts w:hint="eastAsia" w:ascii="仿宋_GB2312" w:eastAsia="仿宋_GB2312"/>
          <w:sz w:val="28"/>
          <w:szCs w:val="32"/>
          <w:lang w:val="en-US" w:eastAsia="zh-CN"/>
        </w:rPr>
        <w:t>0</w:t>
      </w:r>
      <w:r>
        <w:rPr>
          <w:rFonts w:hint="eastAsia" w:ascii="仿宋_GB2312" w:eastAsia="仿宋_GB2312"/>
          <w:sz w:val="28"/>
          <w:szCs w:val="32"/>
        </w:rPr>
        <w:t>人；其他人员</w:t>
      </w:r>
      <w:r>
        <w:rPr>
          <w:rFonts w:hint="eastAsia" w:ascii="仿宋_GB2312" w:eastAsia="仿宋_GB2312"/>
          <w:sz w:val="28"/>
          <w:szCs w:val="32"/>
          <w:lang w:val="en-US" w:eastAsia="zh-CN"/>
        </w:rPr>
        <w:t>0</w:t>
      </w:r>
      <w:r>
        <w:rPr>
          <w:rFonts w:hint="eastAsia" w:ascii="仿宋_GB2312" w:eastAsia="仿宋_GB2312"/>
          <w:sz w:val="28"/>
          <w:szCs w:val="32"/>
        </w:rPr>
        <w:t>人，其中：社会化用工</w:t>
      </w:r>
      <w:r>
        <w:rPr>
          <w:rFonts w:hint="eastAsia" w:ascii="仿宋_GB2312" w:eastAsia="仿宋_GB2312"/>
          <w:sz w:val="28"/>
          <w:szCs w:val="32"/>
          <w:lang w:val="en-US" w:eastAsia="zh-CN"/>
        </w:rPr>
        <w:t>2</w:t>
      </w:r>
      <w:r>
        <w:rPr>
          <w:rFonts w:hint="eastAsia" w:ascii="仿宋_GB2312" w:eastAsia="仿宋_GB2312"/>
          <w:sz w:val="28"/>
          <w:szCs w:val="32"/>
        </w:rPr>
        <w:t>人。</w:t>
      </w:r>
    </w:p>
    <w:p>
      <w:pPr>
        <w:tabs>
          <w:tab w:val="center" w:pos="6979"/>
        </w:tabs>
        <w:spacing w:line="580" w:lineRule="exact"/>
        <w:rPr>
          <w:rFonts w:ascii="黑体" w:eastAsia="黑体"/>
          <w:b/>
          <w:sz w:val="28"/>
          <w:szCs w:val="28"/>
        </w:rPr>
      </w:pPr>
      <w:r>
        <w:rPr>
          <w:rFonts w:hint="eastAsia" w:ascii="仿宋_GB2312" w:eastAsia="仿宋_GB2312"/>
          <w:b/>
          <w:sz w:val="32"/>
          <w:szCs w:val="32"/>
        </w:rPr>
        <w:t xml:space="preserve">   </w:t>
      </w:r>
      <w:r>
        <w:rPr>
          <w:rFonts w:hint="eastAsia" w:ascii="黑体" w:eastAsia="黑体"/>
          <w:b/>
          <w:sz w:val="28"/>
          <w:szCs w:val="28"/>
        </w:rPr>
        <w:t>二、收入支出决算总体情况说明</w:t>
      </w:r>
    </w:p>
    <w:p>
      <w:pPr>
        <w:tabs>
          <w:tab w:val="center" w:pos="6979"/>
        </w:tabs>
        <w:spacing w:line="580" w:lineRule="exact"/>
        <w:ind w:firstLine="570"/>
        <w:rPr>
          <w:rFonts w:ascii="仿宋_GB2312" w:eastAsia="仿宋_GB2312"/>
          <w:sz w:val="28"/>
          <w:szCs w:val="28"/>
        </w:rPr>
      </w:pPr>
      <w:r>
        <w:rPr>
          <w:rFonts w:hint="eastAsia" w:ascii="仿宋_GB2312" w:eastAsia="仿宋_GB2312"/>
          <w:sz w:val="28"/>
          <w:szCs w:val="28"/>
        </w:rPr>
        <w:t>2025年度收、</w:t>
      </w:r>
      <w:r>
        <w:rPr>
          <w:rFonts w:ascii="仿宋_GB2312" w:eastAsia="仿宋_GB2312"/>
          <w:sz w:val="28"/>
          <w:szCs w:val="28"/>
        </w:rPr>
        <w:t>支</w:t>
      </w:r>
      <w:r>
        <w:rPr>
          <w:rFonts w:hint="eastAsia" w:ascii="仿宋_GB2312" w:eastAsia="仿宋_GB2312"/>
          <w:sz w:val="28"/>
          <w:szCs w:val="28"/>
        </w:rPr>
        <w:t>总计</w:t>
      </w:r>
      <w:r>
        <w:rPr>
          <w:rFonts w:ascii="仿宋_GB2312" w:eastAsia="仿宋_GB2312"/>
          <w:sz w:val="28"/>
          <w:szCs w:val="28"/>
        </w:rPr>
        <w:t>123</w:t>
      </w:r>
      <w:r>
        <w:rPr>
          <w:rFonts w:hint="eastAsia" w:ascii="仿宋_GB2312" w:eastAsia="仿宋_GB2312"/>
          <w:sz w:val="28"/>
          <w:szCs w:val="28"/>
          <w:lang w:val="en-US" w:eastAsia="zh-CN"/>
        </w:rPr>
        <w:t>,</w:t>
      </w:r>
      <w:r>
        <w:rPr>
          <w:rFonts w:ascii="仿宋_GB2312" w:eastAsia="仿宋_GB2312"/>
          <w:sz w:val="28"/>
          <w:szCs w:val="28"/>
        </w:rPr>
        <w:t>566</w:t>
      </w:r>
      <w:r>
        <w:rPr>
          <w:rFonts w:hint="eastAsia" w:ascii="仿宋_GB2312" w:eastAsia="仿宋_GB2312"/>
          <w:sz w:val="28"/>
          <w:szCs w:val="28"/>
          <w:lang w:val="en-US" w:eastAsia="zh-CN"/>
        </w:rPr>
        <w:t>,</w:t>
      </w:r>
      <w:r>
        <w:rPr>
          <w:rFonts w:ascii="仿宋_GB2312" w:eastAsia="仿宋_GB2312"/>
          <w:sz w:val="28"/>
          <w:szCs w:val="28"/>
        </w:rPr>
        <w:t>300.55</w:t>
      </w:r>
      <w:r>
        <w:rPr>
          <w:rFonts w:hint="eastAsia" w:ascii="仿宋_GB2312" w:eastAsia="仿宋_GB2312"/>
          <w:sz w:val="28"/>
          <w:szCs w:val="28"/>
        </w:rPr>
        <w:t>元，</w:t>
      </w:r>
      <w:r>
        <w:rPr>
          <w:rFonts w:ascii="仿宋_GB2312" w:eastAsia="仿宋_GB2312"/>
          <w:sz w:val="28"/>
          <w:szCs w:val="28"/>
        </w:rPr>
        <w:t>比上年</w:t>
      </w:r>
      <w:r>
        <w:rPr>
          <w:rFonts w:hint="eastAsia" w:ascii="仿宋_GB2312" w:eastAsia="仿宋_GB2312"/>
          <w:sz w:val="28"/>
          <w:szCs w:val="28"/>
        </w:rPr>
        <w:t>减少</w:t>
      </w:r>
      <w:r>
        <w:rPr>
          <w:rFonts w:hint="eastAsia" w:ascii="仿宋_GB2312" w:eastAsia="仿宋_GB2312"/>
          <w:sz w:val="28"/>
          <w:szCs w:val="28"/>
          <w:lang w:val="en-US" w:eastAsia="zh-CN"/>
        </w:rPr>
        <w:t>70,507,168.09</w:t>
      </w:r>
      <w:r>
        <w:rPr>
          <w:rFonts w:hint="eastAsia" w:ascii="仿宋_GB2312" w:eastAsia="仿宋_GB2312"/>
          <w:sz w:val="28"/>
          <w:szCs w:val="28"/>
        </w:rPr>
        <w:t>元，下降</w:t>
      </w:r>
      <w:r>
        <w:rPr>
          <w:rFonts w:hint="eastAsia" w:ascii="仿宋_GB2312" w:eastAsia="仿宋_GB2312"/>
          <w:sz w:val="28"/>
          <w:szCs w:val="28"/>
          <w:lang w:val="en-US" w:eastAsia="zh-CN"/>
        </w:rPr>
        <w:t>36.3</w:t>
      </w:r>
      <w:r>
        <w:rPr>
          <w:rFonts w:hint="eastAsia" w:ascii="仿宋_GB2312" w:eastAsia="仿宋_GB2312"/>
          <w:sz w:val="28"/>
          <w:szCs w:val="28"/>
        </w:rPr>
        <w:t>%。</w:t>
      </w:r>
    </w:p>
    <w:p>
      <w:pPr>
        <w:tabs>
          <w:tab w:val="center" w:pos="6979"/>
        </w:tabs>
        <w:spacing w:line="580" w:lineRule="exact"/>
        <w:ind w:firstLine="570"/>
        <w:rPr>
          <w:rFonts w:ascii="仿宋_GB2312" w:eastAsia="仿宋_GB2312"/>
          <w:sz w:val="28"/>
          <w:szCs w:val="28"/>
        </w:rPr>
      </w:pPr>
      <w:r>
        <w:rPr>
          <w:rFonts w:hint="eastAsia" w:ascii="仿宋_GB2312" w:eastAsia="仿宋_GB2312"/>
          <w:sz w:val="28"/>
          <w:szCs w:val="28"/>
        </w:rPr>
        <w:t>（一</w:t>
      </w:r>
      <w:r>
        <w:rPr>
          <w:rFonts w:ascii="仿宋_GB2312" w:eastAsia="仿宋_GB2312"/>
          <w:sz w:val="28"/>
          <w:szCs w:val="28"/>
        </w:rPr>
        <w:t>）</w:t>
      </w:r>
      <w:r>
        <w:rPr>
          <w:rFonts w:hint="eastAsia" w:ascii="仿宋_GB2312" w:eastAsia="仿宋_GB2312"/>
          <w:sz w:val="28"/>
          <w:szCs w:val="28"/>
        </w:rPr>
        <w:t>收入决算</w:t>
      </w:r>
      <w:r>
        <w:rPr>
          <w:rFonts w:ascii="仿宋_GB2312" w:eastAsia="仿宋_GB2312"/>
          <w:sz w:val="28"/>
          <w:szCs w:val="28"/>
        </w:rPr>
        <w:t>说明</w:t>
      </w:r>
    </w:p>
    <w:p>
      <w:pPr>
        <w:tabs>
          <w:tab w:val="center" w:pos="6979"/>
        </w:tabs>
        <w:spacing w:line="580" w:lineRule="exact"/>
        <w:ind w:firstLine="570"/>
        <w:rPr>
          <w:rFonts w:ascii="仿宋_GB2312" w:eastAsia="仿宋_GB2312"/>
          <w:sz w:val="28"/>
          <w:szCs w:val="28"/>
        </w:rPr>
      </w:pPr>
      <w:r>
        <w:rPr>
          <w:rFonts w:hint="eastAsia" w:ascii="仿宋_GB2312" w:eastAsia="仿宋_GB2312"/>
          <w:sz w:val="28"/>
          <w:szCs w:val="28"/>
        </w:rPr>
        <w:t>2025年度本年收入合计</w:t>
      </w:r>
      <w:r>
        <w:rPr>
          <w:rFonts w:ascii="仿宋_GB2312" w:eastAsia="仿宋_GB2312"/>
          <w:sz w:val="28"/>
          <w:szCs w:val="28"/>
        </w:rPr>
        <w:t>123</w:t>
      </w:r>
      <w:r>
        <w:rPr>
          <w:rFonts w:hint="eastAsia" w:ascii="仿宋_GB2312" w:eastAsia="仿宋_GB2312"/>
          <w:sz w:val="28"/>
          <w:szCs w:val="28"/>
          <w:lang w:val="en-US" w:eastAsia="zh-CN"/>
        </w:rPr>
        <w:t>,</w:t>
      </w:r>
      <w:r>
        <w:rPr>
          <w:rFonts w:ascii="仿宋_GB2312" w:eastAsia="仿宋_GB2312"/>
          <w:sz w:val="28"/>
          <w:szCs w:val="28"/>
        </w:rPr>
        <w:t>566</w:t>
      </w:r>
      <w:r>
        <w:rPr>
          <w:rFonts w:hint="eastAsia" w:ascii="仿宋_GB2312" w:eastAsia="仿宋_GB2312"/>
          <w:sz w:val="28"/>
          <w:szCs w:val="28"/>
          <w:lang w:val="en-US" w:eastAsia="zh-CN"/>
        </w:rPr>
        <w:t>,</w:t>
      </w:r>
      <w:r>
        <w:rPr>
          <w:rFonts w:ascii="仿宋_GB2312" w:eastAsia="仿宋_GB2312"/>
          <w:sz w:val="28"/>
          <w:szCs w:val="28"/>
        </w:rPr>
        <w:t>300.55</w:t>
      </w:r>
      <w:r>
        <w:rPr>
          <w:rFonts w:hint="eastAsia" w:ascii="仿宋_GB2312" w:eastAsia="仿宋_GB2312"/>
          <w:sz w:val="28"/>
          <w:szCs w:val="28"/>
        </w:rPr>
        <w:t>元，</w:t>
      </w:r>
      <w:r>
        <w:rPr>
          <w:rFonts w:ascii="仿宋_GB2312" w:eastAsia="仿宋_GB2312"/>
          <w:sz w:val="28"/>
          <w:szCs w:val="28"/>
        </w:rPr>
        <w:t>比上年</w:t>
      </w:r>
      <w:r>
        <w:rPr>
          <w:rFonts w:hint="eastAsia" w:ascii="仿宋_GB2312" w:eastAsia="仿宋_GB2312"/>
          <w:sz w:val="28"/>
          <w:szCs w:val="28"/>
        </w:rPr>
        <w:t>减少</w:t>
      </w:r>
      <w:r>
        <w:rPr>
          <w:rFonts w:hint="eastAsia" w:ascii="仿宋_GB2312" w:eastAsia="仿宋_GB2312"/>
          <w:sz w:val="28"/>
          <w:szCs w:val="28"/>
          <w:lang w:val="en-US" w:eastAsia="zh-CN"/>
        </w:rPr>
        <w:t>61,475,535.09</w:t>
      </w:r>
      <w:r>
        <w:rPr>
          <w:rFonts w:hint="eastAsia" w:ascii="仿宋_GB2312" w:eastAsia="仿宋_GB2312"/>
          <w:sz w:val="28"/>
          <w:szCs w:val="28"/>
        </w:rPr>
        <w:t>元，下降</w:t>
      </w:r>
      <w:r>
        <w:rPr>
          <w:rFonts w:hint="eastAsia" w:ascii="仿宋_GB2312" w:eastAsia="仿宋_GB2312"/>
          <w:sz w:val="28"/>
          <w:szCs w:val="28"/>
          <w:lang w:val="en-US" w:eastAsia="zh-CN"/>
        </w:rPr>
        <w:t>33.2</w:t>
      </w:r>
      <w:r>
        <w:rPr>
          <w:rFonts w:hint="eastAsia" w:ascii="仿宋_GB2312" w:eastAsia="仿宋_GB2312"/>
          <w:sz w:val="28"/>
          <w:szCs w:val="28"/>
        </w:rPr>
        <w:t>%。</w:t>
      </w:r>
    </w:p>
    <w:p>
      <w:pPr>
        <w:tabs>
          <w:tab w:val="center" w:pos="6979"/>
        </w:tabs>
        <w:spacing w:line="580" w:lineRule="exact"/>
        <w:ind w:firstLine="560" w:firstLineChars="200"/>
        <w:rPr>
          <w:rFonts w:ascii="仿宋_GB2312" w:eastAsia="仿宋_GB2312"/>
          <w:sz w:val="28"/>
          <w:szCs w:val="28"/>
        </w:rPr>
      </w:pPr>
      <w:r>
        <w:rPr>
          <w:rFonts w:hint="eastAsia" w:ascii="仿宋_GB2312" w:eastAsia="仿宋_GB2312"/>
          <w:sz w:val="28"/>
          <w:szCs w:val="28"/>
        </w:rPr>
        <w:t>1.财政拨款收入</w:t>
      </w:r>
      <w:r>
        <w:rPr>
          <w:rFonts w:ascii="仿宋_GB2312" w:eastAsia="仿宋_GB2312"/>
          <w:sz w:val="28"/>
          <w:szCs w:val="28"/>
        </w:rPr>
        <w:t>123</w:t>
      </w:r>
      <w:r>
        <w:rPr>
          <w:rFonts w:hint="eastAsia" w:ascii="仿宋_GB2312" w:eastAsia="仿宋_GB2312"/>
          <w:sz w:val="28"/>
          <w:szCs w:val="28"/>
          <w:lang w:val="en-US" w:eastAsia="zh-CN"/>
        </w:rPr>
        <w:t>,</w:t>
      </w:r>
      <w:r>
        <w:rPr>
          <w:rFonts w:ascii="仿宋_GB2312" w:eastAsia="仿宋_GB2312"/>
          <w:sz w:val="28"/>
          <w:szCs w:val="28"/>
        </w:rPr>
        <w:t>566</w:t>
      </w:r>
      <w:r>
        <w:rPr>
          <w:rFonts w:hint="eastAsia" w:ascii="仿宋_GB2312" w:eastAsia="仿宋_GB2312"/>
          <w:sz w:val="28"/>
          <w:szCs w:val="28"/>
          <w:lang w:val="en-US" w:eastAsia="zh-CN"/>
        </w:rPr>
        <w:t>,</w:t>
      </w:r>
      <w:r>
        <w:rPr>
          <w:rFonts w:ascii="仿宋_GB2312" w:eastAsia="仿宋_GB2312"/>
          <w:sz w:val="28"/>
          <w:szCs w:val="28"/>
        </w:rPr>
        <w:t>300.55</w:t>
      </w:r>
      <w:r>
        <w:rPr>
          <w:rFonts w:hint="eastAsia" w:ascii="仿宋_GB2312" w:eastAsia="仿宋_GB2312"/>
          <w:sz w:val="28"/>
          <w:szCs w:val="28"/>
        </w:rPr>
        <w:t>元，占收入合计的100</w:t>
      </w:r>
      <w:r>
        <w:rPr>
          <w:rFonts w:hint="eastAsia" w:ascii="仿宋_GB2312" w:eastAsia="仿宋_GB2312"/>
          <w:sz w:val="28"/>
          <w:szCs w:val="28"/>
          <w:lang w:val="en-US" w:eastAsia="zh-CN"/>
        </w:rPr>
        <w:t>.0</w:t>
      </w:r>
      <w:r>
        <w:rPr>
          <w:rFonts w:hint="eastAsia" w:ascii="仿宋_GB2312" w:eastAsia="仿宋_GB2312"/>
          <w:sz w:val="28"/>
          <w:szCs w:val="28"/>
        </w:rPr>
        <w:t>%。其中：一般公共预算财政拨款收入</w:t>
      </w:r>
      <w:r>
        <w:rPr>
          <w:rFonts w:ascii="仿宋_GB2312" w:eastAsia="仿宋_GB2312"/>
          <w:sz w:val="28"/>
          <w:szCs w:val="28"/>
        </w:rPr>
        <w:t>55</w:t>
      </w:r>
      <w:r>
        <w:rPr>
          <w:rFonts w:hint="eastAsia" w:ascii="仿宋_GB2312" w:eastAsia="仿宋_GB2312"/>
          <w:sz w:val="28"/>
          <w:szCs w:val="28"/>
          <w:lang w:val="en-US" w:eastAsia="zh-CN"/>
        </w:rPr>
        <w:t>,</w:t>
      </w:r>
      <w:r>
        <w:rPr>
          <w:rFonts w:ascii="仿宋_GB2312" w:eastAsia="仿宋_GB2312"/>
          <w:sz w:val="28"/>
          <w:szCs w:val="28"/>
        </w:rPr>
        <w:t>208</w:t>
      </w:r>
      <w:r>
        <w:rPr>
          <w:rFonts w:hint="eastAsia" w:ascii="仿宋_GB2312" w:eastAsia="仿宋_GB2312"/>
          <w:sz w:val="28"/>
          <w:szCs w:val="28"/>
          <w:lang w:val="en-US" w:eastAsia="zh-CN"/>
        </w:rPr>
        <w:t>,</w:t>
      </w:r>
      <w:r>
        <w:rPr>
          <w:rFonts w:ascii="仿宋_GB2312" w:eastAsia="仿宋_GB2312"/>
          <w:sz w:val="28"/>
          <w:szCs w:val="28"/>
        </w:rPr>
        <w:t>649.55</w:t>
      </w:r>
      <w:r>
        <w:rPr>
          <w:rFonts w:hint="eastAsia" w:ascii="仿宋_GB2312" w:eastAsia="仿宋_GB2312"/>
          <w:sz w:val="28"/>
          <w:szCs w:val="28"/>
        </w:rPr>
        <w:t>元，占收入合计的44.</w:t>
      </w:r>
      <w:r>
        <w:rPr>
          <w:rFonts w:hint="eastAsia" w:ascii="仿宋_GB2312" w:eastAsia="仿宋_GB2312"/>
          <w:sz w:val="28"/>
          <w:szCs w:val="28"/>
          <w:lang w:val="en-US" w:eastAsia="zh-CN"/>
        </w:rPr>
        <w:t>7</w:t>
      </w:r>
      <w:r>
        <w:rPr>
          <w:rFonts w:hint="eastAsia" w:ascii="仿宋_GB2312" w:eastAsia="仿宋_GB2312"/>
          <w:sz w:val="28"/>
          <w:szCs w:val="28"/>
        </w:rPr>
        <w:t>%；政府性基金预算财政拨款收入</w:t>
      </w:r>
      <w:r>
        <w:rPr>
          <w:rFonts w:ascii="仿宋_GB2312" w:eastAsia="仿宋_GB2312"/>
          <w:sz w:val="28"/>
          <w:szCs w:val="28"/>
        </w:rPr>
        <w:t>68</w:t>
      </w:r>
      <w:r>
        <w:rPr>
          <w:rFonts w:hint="eastAsia" w:ascii="仿宋_GB2312" w:eastAsia="仿宋_GB2312"/>
          <w:sz w:val="28"/>
          <w:szCs w:val="28"/>
          <w:lang w:val="en-US" w:eastAsia="zh-CN"/>
        </w:rPr>
        <w:t>,</w:t>
      </w:r>
      <w:r>
        <w:rPr>
          <w:rFonts w:ascii="仿宋_GB2312" w:eastAsia="仿宋_GB2312"/>
          <w:sz w:val="28"/>
          <w:szCs w:val="28"/>
        </w:rPr>
        <w:t>357</w:t>
      </w:r>
      <w:r>
        <w:rPr>
          <w:rFonts w:hint="eastAsia" w:ascii="仿宋_GB2312" w:eastAsia="仿宋_GB2312"/>
          <w:sz w:val="28"/>
          <w:szCs w:val="28"/>
          <w:lang w:val="en-US" w:eastAsia="zh-CN"/>
        </w:rPr>
        <w:t>,</w:t>
      </w:r>
      <w:r>
        <w:rPr>
          <w:rFonts w:ascii="仿宋_GB2312" w:eastAsia="仿宋_GB2312"/>
          <w:sz w:val="28"/>
          <w:szCs w:val="28"/>
        </w:rPr>
        <w:t>651</w:t>
      </w:r>
      <w:r>
        <w:rPr>
          <w:rFonts w:hint="eastAsia" w:ascii="仿宋_GB2312" w:eastAsia="仿宋_GB2312"/>
          <w:sz w:val="28"/>
          <w:szCs w:val="28"/>
          <w:lang w:val="en-US" w:eastAsia="zh-CN"/>
        </w:rPr>
        <w:t>.00</w:t>
      </w:r>
      <w:r>
        <w:rPr>
          <w:rFonts w:hint="eastAsia" w:ascii="仿宋_GB2312" w:eastAsia="仿宋_GB2312"/>
          <w:sz w:val="28"/>
          <w:szCs w:val="28"/>
        </w:rPr>
        <w:t>元，占收入合计的55.3%；国有资本经营预算财政拨款收入</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元，占收入合计的0</w:t>
      </w:r>
      <w:r>
        <w:rPr>
          <w:rFonts w:hint="eastAsia" w:ascii="仿宋_GB2312" w:eastAsia="仿宋_GB2312"/>
          <w:sz w:val="28"/>
          <w:szCs w:val="28"/>
          <w:lang w:val="en-US" w:eastAsia="zh-CN"/>
        </w:rPr>
        <w:t>.0</w:t>
      </w:r>
      <w:r>
        <w:rPr>
          <w:rFonts w:hint="eastAsia" w:ascii="仿宋_GB2312" w:eastAsia="仿宋_GB2312"/>
          <w:sz w:val="28"/>
          <w:szCs w:val="28"/>
        </w:rPr>
        <w:t>%；</w:t>
      </w:r>
    </w:p>
    <w:p>
      <w:pPr>
        <w:tabs>
          <w:tab w:val="center" w:pos="6979"/>
        </w:tabs>
        <w:spacing w:line="580" w:lineRule="exact"/>
        <w:ind w:firstLine="560" w:firstLineChars="200"/>
        <w:rPr>
          <w:rFonts w:ascii="仿宋_GB2312" w:eastAsia="仿宋_GB2312"/>
          <w:sz w:val="28"/>
          <w:szCs w:val="28"/>
        </w:rPr>
      </w:pPr>
      <w:r>
        <w:rPr>
          <w:rFonts w:hint="eastAsia" w:ascii="仿宋_GB2312" w:eastAsia="仿宋_GB2312"/>
          <w:sz w:val="28"/>
          <w:szCs w:val="28"/>
        </w:rPr>
        <w:t>2.上级补助收入</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元，占收入合计的0</w:t>
      </w:r>
      <w:r>
        <w:rPr>
          <w:rFonts w:hint="eastAsia" w:ascii="仿宋_GB2312" w:eastAsia="仿宋_GB2312"/>
          <w:sz w:val="28"/>
          <w:szCs w:val="28"/>
          <w:lang w:val="en-US" w:eastAsia="zh-CN"/>
        </w:rPr>
        <w:t>.0</w:t>
      </w:r>
      <w:r>
        <w:rPr>
          <w:rFonts w:hint="eastAsia" w:ascii="仿宋_GB2312" w:eastAsia="仿宋_GB2312"/>
          <w:sz w:val="28"/>
          <w:szCs w:val="28"/>
        </w:rPr>
        <w:t>%；</w:t>
      </w:r>
    </w:p>
    <w:p>
      <w:pPr>
        <w:tabs>
          <w:tab w:val="center" w:pos="6979"/>
        </w:tabs>
        <w:spacing w:line="580" w:lineRule="exact"/>
        <w:ind w:firstLine="560" w:firstLineChars="200"/>
        <w:rPr>
          <w:rFonts w:ascii="仿宋_GB2312" w:eastAsia="仿宋_GB2312"/>
          <w:sz w:val="28"/>
          <w:szCs w:val="28"/>
        </w:rPr>
      </w:pPr>
      <w:r>
        <w:rPr>
          <w:rFonts w:hint="eastAsia" w:ascii="仿宋_GB2312" w:eastAsia="仿宋_GB2312"/>
          <w:sz w:val="28"/>
          <w:szCs w:val="28"/>
        </w:rPr>
        <w:t>3.事业收入</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元，占收入合计的0</w:t>
      </w:r>
      <w:r>
        <w:rPr>
          <w:rFonts w:hint="eastAsia" w:ascii="仿宋_GB2312" w:eastAsia="仿宋_GB2312"/>
          <w:sz w:val="28"/>
          <w:szCs w:val="28"/>
          <w:lang w:val="en-US" w:eastAsia="zh-CN"/>
        </w:rPr>
        <w:t>.0</w:t>
      </w:r>
      <w:r>
        <w:rPr>
          <w:rFonts w:hint="eastAsia" w:ascii="仿宋_GB2312" w:eastAsia="仿宋_GB2312"/>
          <w:sz w:val="28"/>
          <w:szCs w:val="28"/>
        </w:rPr>
        <w:t>%；</w:t>
      </w:r>
    </w:p>
    <w:p>
      <w:pPr>
        <w:tabs>
          <w:tab w:val="center" w:pos="6979"/>
        </w:tabs>
        <w:spacing w:line="580" w:lineRule="exact"/>
        <w:ind w:firstLine="560" w:firstLineChars="200"/>
        <w:rPr>
          <w:rFonts w:ascii="仿宋_GB2312" w:eastAsia="仿宋_GB2312"/>
          <w:sz w:val="28"/>
          <w:szCs w:val="28"/>
        </w:rPr>
      </w:pPr>
      <w:r>
        <w:rPr>
          <w:rFonts w:hint="eastAsia" w:ascii="仿宋_GB2312" w:eastAsia="仿宋_GB2312"/>
          <w:sz w:val="28"/>
          <w:szCs w:val="28"/>
        </w:rPr>
        <w:t>4.经营收入</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元，占收入合计的0</w:t>
      </w:r>
      <w:r>
        <w:rPr>
          <w:rFonts w:hint="eastAsia" w:ascii="仿宋_GB2312" w:eastAsia="仿宋_GB2312"/>
          <w:sz w:val="28"/>
          <w:szCs w:val="28"/>
          <w:lang w:val="en-US" w:eastAsia="zh-CN"/>
        </w:rPr>
        <w:t>.0</w:t>
      </w:r>
      <w:r>
        <w:rPr>
          <w:rFonts w:hint="eastAsia" w:ascii="仿宋_GB2312" w:eastAsia="仿宋_GB2312"/>
          <w:sz w:val="28"/>
          <w:szCs w:val="28"/>
        </w:rPr>
        <w:t>%；</w:t>
      </w:r>
    </w:p>
    <w:p>
      <w:pPr>
        <w:tabs>
          <w:tab w:val="center" w:pos="6979"/>
        </w:tabs>
        <w:spacing w:line="580" w:lineRule="exact"/>
        <w:ind w:firstLine="560" w:firstLineChars="200"/>
        <w:rPr>
          <w:rFonts w:ascii="仿宋_GB2312" w:eastAsia="仿宋_GB2312"/>
          <w:sz w:val="28"/>
          <w:szCs w:val="28"/>
        </w:rPr>
      </w:pPr>
      <w:r>
        <w:rPr>
          <w:rFonts w:hint="eastAsia" w:ascii="仿宋_GB2312" w:eastAsia="仿宋_GB2312"/>
          <w:sz w:val="28"/>
          <w:szCs w:val="28"/>
        </w:rPr>
        <w:t>5.附属单位上缴收入</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元，占收入合计的0</w:t>
      </w:r>
      <w:r>
        <w:rPr>
          <w:rFonts w:hint="eastAsia" w:ascii="仿宋_GB2312" w:eastAsia="仿宋_GB2312"/>
          <w:sz w:val="28"/>
          <w:szCs w:val="28"/>
          <w:lang w:val="en-US" w:eastAsia="zh-CN"/>
        </w:rPr>
        <w:t>.0</w:t>
      </w:r>
      <w:r>
        <w:rPr>
          <w:rFonts w:hint="eastAsia" w:ascii="仿宋_GB2312" w:eastAsia="仿宋_GB2312"/>
          <w:sz w:val="28"/>
          <w:szCs w:val="28"/>
        </w:rPr>
        <w:t>%；</w:t>
      </w:r>
    </w:p>
    <w:p>
      <w:pPr>
        <w:tabs>
          <w:tab w:val="center" w:pos="6979"/>
        </w:tabs>
        <w:spacing w:line="580" w:lineRule="exact"/>
        <w:ind w:firstLine="560" w:firstLineChars="200"/>
        <w:rPr>
          <w:rFonts w:ascii="仿宋_GB2312" w:eastAsia="仿宋_GB2312"/>
          <w:sz w:val="28"/>
          <w:szCs w:val="28"/>
        </w:rPr>
      </w:pPr>
      <w:r>
        <w:rPr>
          <w:rFonts w:hint="eastAsia" w:ascii="仿宋_GB2312" w:eastAsia="仿宋_GB2312"/>
          <w:sz w:val="28"/>
          <w:szCs w:val="28"/>
        </w:rPr>
        <w:t>6.其他收入</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元，占收入合计的0</w:t>
      </w:r>
      <w:r>
        <w:rPr>
          <w:rFonts w:hint="eastAsia" w:ascii="仿宋_GB2312" w:eastAsia="仿宋_GB2312"/>
          <w:sz w:val="28"/>
          <w:szCs w:val="28"/>
          <w:lang w:val="en-US" w:eastAsia="zh-CN"/>
        </w:rPr>
        <w:t>.0</w:t>
      </w:r>
      <w:r>
        <w:rPr>
          <w:rFonts w:hint="eastAsia" w:ascii="仿宋_GB2312" w:eastAsia="仿宋_GB2312"/>
          <w:sz w:val="28"/>
          <w:szCs w:val="28"/>
        </w:rPr>
        <w:t>%。</w:t>
      </w:r>
    </w:p>
    <w:p>
      <w:pPr>
        <w:spacing w:line="560" w:lineRule="exact"/>
        <w:ind w:firstLine="640"/>
        <w:rPr>
          <w:rFonts w:ascii="仿宋_GB2312" w:eastAsia="仿宋_GB2312" w:cs="Droid Sans"/>
          <w:color w:val="000000"/>
          <w:sz w:val="32"/>
          <w:szCs w:val="32"/>
        </w:rPr>
      </w:pPr>
    </w:p>
    <w:p>
      <w:pPr>
        <w:pStyle w:val="2"/>
        <w:jc w:val="center"/>
      </w:pPr>
      <w:r>
        <w:rPr>
          <w:rFonts w:hint="eastAsia" w:ascii="仿宋_GB2312" w:eastAsia="仿宋_GB2312"/>
          <w:color w:val="000000"/>
          <w:sz w:val="32"/>
        </w:rPr>
        <w:t>图1：收入决算</w:t>
      </w:r>
    </w:p>
    <w:p>
      <w:pPr>
        <w:pStyle w:val="3"/>
        <w:ind w:firstLine="420"/>
        <w:jc w:val="center"/>
      </w:pPr>
      <w:r>
        <w:drawing>
          <wp:inline distT="0" distB="0" distL="0" distR="0">
            <wp:extent cx="4036695" cy="2328545"/>
            <wp:effectExtent l="0" t="0" r="20955" b="14605"/>
            <wp:docPr id="3" name="图表 3" title="{{pieChar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tabs>
          <w:tab w:val="center" w:pos="6979"/>
        </w:tabs>
        <w:spacing w:line="580" w:lineRule="exact"/>
        <w:ind w:firstLine="570"/>
        <w:rPr>
          <w:rFonts w:ascii="仿宋_GB2312" w:eastAsia="仿宋_GB2312"/>
          <w:sz w:val="28"/>
          <w:szCs w:val="28"/>
        </w:rPr>
      </w:pPr>
      <w:r>
        <w:rPr>
          <w:rFonts w:hint="eastAsia" w:ascii="仿宋_GB2312" w:eastAsia="仿宋_GB2312"/>
          <w:sz w:val="28"/>
          <w:szCs w:val="28"/>
        </w:rPr>
        <w:t>（二</w:t>
      </w:r>
      <w:r>
        <w:rPr>
          <w:rFonts w:ascii="仿宋_GB2312" w:eastAsia="仿宋_GB2312"/>
          <w:sz w:val="28"/>
          <w:szCs w:val="28"/>
        </w:rPr>
        <w:t>）</w:t>
      </w:r>
      <w:r>
        <w:rPr>
          <w:rFonts w:hint="eastAsia" w:ascii="仿宋_GB2312" w:eastAsia="仿宋_GB2312"/>
          <w:sz w:val="28"/>
          <w:szCs w:val="28"/>
        </w:rPr>
        <w:t>支出决算</w:t>
      </w:r>
      <w:r>
        <w:rPr>
          <w:rFonts w:ascii="仿宋_GB2312" w:eastAsia="仿宋_GB2312"/>
          <w:sz w:val="28"/>
          <w:szCs w:val="28"/>
        </w:rPr>
        <w:t>说明</w:t>
      </w:r>
    </w:p>
    <w:p>
      <w:pPr>
        <w:tabs>
          <w:tab w:val="center" w:pos="6979"/>
        </w:tabs>
        <w:spacing w:line="580" w:lineRule="exact"/>
        <w:ind w:firstLine="570"/>
        <w:rPr>
          <w:rFonts w:ascii="仿宋_GB2312" w:eastAsia="仿宋_GB2312"/>
          <w:sz w:val="28"/>
          <w:szCs w:val="28"/>
        </w:rPr>
      </w:pPr>
      <w:r>
        <w:rPr>
          <w:rFonts w:hint="eastAsia" w:ascii="仿宋_GB2312" w:eastAsia="仿宋_GB2312"/>
          <w:sz w:val="28"/>
          <w:szCs w:val="28"/>
        </w:rPr>
        <w:t>2025年度本年支出合计</w:t>
      </w:r>
      <w:r>
        <w:rPr>
          <w:rFonts w:ascii="仿宋_GB2312" w:eastAsia="仿宋_GB2312"/>
          <w:sz w:val="28"/>
          <w:szCs w:val="28"/>
        </w:rPr>
        <w:t>123</w:t>
      </w:r>
      <w:r>
        <w:rPr>
          <w:rFonts w:hint="eastAsia" w:ascii="仿宋_GB2312" w:eastAsia="仿宋_GB2312"/>
          <w:sz w:val="28"/>
          <w:szCs w:val="28"/>
          <w:lang w:val="en-US" w:eastAsia="zh-CN"/>
        </w:rPr>
        <w:t>,</w:t>
      </w:r>
      <w:r>
        <w:rPr>
          <w:rFonts w:ascii="仿宋_GB2312" w:eastAsia="仿宋_GB2312"/>
          <w:sz w:val="28"/>
          <w:szCs w:val="28"/>
        </w:rPr>
        <w:t>566</w:t>
      </w:r>
      <w:r>
        <w:rPr>
          <w:rFonts w:hint="eastAsia" w:ascii="仿宋_GB2312" w:eastAsia="仿宋_GB2312"/>
          <w:sz w:val="28"/>
          <w:szCs w:val="28"/>
          <w:lang w:val="en-US" w:eastAsia="zh-CN"/>
        </w:rPr>
        <w:t>,</w:t>
      </w:r>
      <w:r>
        <w:rPr>
          <w:rFonts w:ascii="仿宋_GB2312" w:eastAsia="仿宋_GB2312"/>
          <w:sz w:val="28"/>
          <w:szCs w:val="28"/>
        </w:rPr>
        <w:t>300.55</w:t>
      </w:r>
      <w:r>
        <w:rPr>
          <w:rFonts w:hint="eastAsia" w:ascii="仿宋_GB2312" w:eastAsia="仿宋_GB2312"/>
          <w:sz w:val="28"/>
          <w:szCs w:val="28"/>
        </w:rPr>
        <w:t>元，</w:t>
      </w:r>
      <w:r>
        <w:rPr>
          <w:rFonts w:ascii="仿宋_GB2312" w:eastAsia="仿宋_GB2312"/>
          <w:sz w:val="28"/>
          <w:szCs w:val="28"/>
        </w:rPr>
        <w:t>比上年</w:t>
      </w:r>
      <w:r>
        <w:rPr>
          <w:rFonts w:hint="eastAsia" w:ascii="仿宋_GB2312" w:eastAsia="仿宋_GB2312"/>
          <w:sz w:val="28"/>
          <w:szCs w:val="28"/>
        </w:rPr>
        <w:t>减少</w:t>
      </w:r>
      <w:r>
        <w:rPr>
          <w:rFonts w:hint="eastAsia" w:ascii="仿宋_GB2312" w:eastAsia="仿宋_GB2312"/>
          <w:sz w:val="28"/>
          <w:szCs w:val="28"/>
          <w:lang w:val="en-US" w:eastAsia="zh-CN"/>
        </w:rPr>
        <w:t>70,507,168.09</w:t>
      </w:r>
      <w:r>
        <w:rPr>
          <w:rFonts w:hint="eastAsia" w:ascii="仿宋_GB2312" w:eastAsia="仿宋_GB2312"/>
          <w:sz w:val="28"/>
          <w:szCs w:val="28"/>
        </w:rPr>
        <w:t>元，下降</w:t>
      </w:r>
      <w:r>
        <w:rPr>
          <w:rFonts w:hint="eastAsia" w:ascii="仿宋_GB2312" w:eastAsia="仿宋_GB2312"/>
          <w:sz w:val="28"/>
          <w:szCs w:val="28"/>
          <w:lang w:val="en-US" w:eastAsia="zh-CN"/>
        </w:rPr>
        <w:t>36.3</w:t>
      </w:r>
      <w:r>
        <w:rPr>
          <w:rFonts w:hint="eastAsia" w:ascii="仿宋_GB2312" w:eastAsia="仿宋_GB2312"/>
          <w:sz w:val="28"/>
          <w:szCs w:val="28"/>
        </w:rPr>
        <w:t>%，其中：基本支出</w:t>
      </w:r>
      <w:r>
        <w:rPr>
          <w:rFonts w:ascii="仿宋_GB2312" w:eastAsia="仿宋_GB2312"/>
          <w:sz w:val="28"/>
          <w:szCs w:val="28"/>
        </w:rPr>
        <w:t>18</w:t>
      </w:r>
      <w:r>
        <w:rPr>
          <w:rFonts w:hint="eastAsia" w:ascii="仿宋_GB2312" w:eastAsia="仿宋_GB2312"/>
          <w:sz w:val="28"/>
          <w:szCs w:val="28"/>
          <w:lang w:val="en-US" w:eastAsia="zh-CN"/>
        </w:rPr>
        <w:t>,</w:t>
      </w:r>
      <w:r>
        <w:rPr>
          <w:rFonts w:ascii="仿宋_GB2312" w:eastAsia="仿宋_GB2312"/>
          <w:sz w:val="28"/>
          <w:szCs w:val="28"/>
        </w:rPr>
        <w:t>612</w:t>
      </w:r>
      <w:r>
        <w:rPr>
          <w:rFonts w:hint="eastAsia" w:ascii="仿宋_GB2312" w:eastAsia="仿宋_GB2312"/>
          <w:sz w:val="28"/>
          <w:szCs w:val="28"/>
          <w:lang w:val="en-US" w:eastAsia="zh-CN"/>
        </w:rPr>
        <w:t>,</w:t>
      </w:r>
      <w:r>
        <w:rPr>
          <w:rFonts w:ascii="仿宋_GB2312" w:eastAsia="仿宋_GB2312"/>
          <w:sz w:val="28"/>
          <w:szCs w:val="28"/>
        </w:rPr>
        <w:t>064</w:t>
      </w:r>
      <w:r>
        <w:rPr>
          <w:rFonts w:hint="eastAsia" w:ascii="仿宋_GB2312" w:eastAsia="仿宋_GB2312"/>
          <w:sz w:val="28"/>
          <w:szCs w:val="28"/>
          <w:lang w:val="en-US" w:eastAsia="zh-CN"/>
        </w:rPr>
        <w:t>.00</w:t>
      </w:r>
      <w:r>
        <w:rPr>
          <w:rFonts w:hint="eastAsia" w:ascii="仿宋_GB2312" w:eastAsia="仿宋_GB2312"/>
          <w:sz w:val="28"/>
          <w:szCs w:val="28"/>
        </w:rPr>
        <w:t>元，占支出合计的15.</w:t>
      </w:r>
      <w:r>
        <w:rPr>
          <w:rFonts w:hint="eastAsia" w:ascii="仿宋_GB2312" w:eastAsia="仿宋_GB2312"/>
          <w:sz w:val="28"/>
          <w:szCs w:val="28"/>
          <w:lang w:val="en-US" w:eastAsia="zh-CN"/>
        </w:rPr>
        <w:t>1</w:t>
      </w:r>
      <w:r>
        <w:rPr>
          <w:rFonts w:hint="eastAsia" w:ascii="仿宋_GB2312" w:eastAsia="仿宋_GB2312"/>
          <w:sz w:val="28"/>
          <w:szCs w:val="28"/>
        </w:rPr>
        <w:t>%；项目支出</w:t>
      </w:r>
      <w:r>
        <w:rPr>
          <w:rFonts w:ascii="仿宋_GB2312" w:eastAsia="仿宋_GB2312"/>
          <w:sz w:val="28"/>
          <w:szCs w:val="28"/>
        </w:rPr>
        <w:t>104</w:t>
      </w:r>
      <w:r>
        <w:rPr>
          <w:rFonts w:hint="eastAsia" w:ascii="仿宋_GB2312" w:eastAsia="仿宋_GB2312"/>
          <w:sz w:val="28"/>
          <w:szCs w:val="28"/>
          <w:lang w:val="en-US" w:eastAsia="zh-CN"/>
        </w:rPr>
        <w:t>,</w:t>
      </w:r>
      <w:r>
        <w:rPr>
          <w:rFonts w:ascii="仿宋_GB2312" w:eastAsia="仿宋_GB2312"/>
          <w:sz w:val="28"/>
          <w:szCs w:val="28"/>
        </w:rPr>
        <w:t>954</w:t>
      </w:r>
      <w:r>
        <w:rPr>
          <w:rFonts w:hint="eastAsia" w:ascii="仿宋_GB2312" w:eastAsia="仿宋_GB2312"/>
          <w:sz w:val="28"/>
          <w:szCs w:val="28"/>
          <w:lang w:val="en-US" w:eastAsia="zh-CN"/>
        </w:rPr>
        <w:t>,</w:t>
      </w:r>
      <w:r>
        <w:rPr>
          <w:rFonts w:ascii="仿宋_GB2312" w:eastAsia="仿宋_GB2312"/>
          <w:sz w:val="28"/>
          <w:szCs w:val="28"/>
        </w:rPr>
        <w:t>236.55</w:t>
      </w:r>
      <w:r>
        <w:rPr>
          <w:rFonts w:hint="eastAsia" w:ascii="仿宋_GB2312" w:eastAsia="仿宋_GB2312"/>
          <w:sz w:val="28"/>
          <w:szCs w:val="28"/>
        </w:rPr>
        <w:t>元，占支出合计的84.9%;上缴上级支出</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元，占支出合计的0</w:t>
      </w:r>
      <w:r>
        <w:rPr>
          <w:rFonts w:hint="eastAsia" w:ascii="仿宋_GB2312" w:eastAsia="仿宋_GB2312"/>
          <w:sz w:val="28"/>
          <w:szCs w:val="28"/>
          <w:lang w:val="en-US" w:eastAsia="zh-CN"/>
        </w:rPr>
        <w:t>.0</w:t>
      </w:r>
      <w:r>
        <w:rPr>
          <w:rFonts w:hint="eastAsia" w:ascii="仿宋_GB2312" w:eastAsia="仿宋_GB2312"/>
          <w:sz w:val="28"/>
          <w:szCs w:val="28"/>
        </w:rPr>
        <w:t>%；经营支出</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元，占支出合计的0</w:t>
      </w:r>
      <w:r>
        <w:rPr>
          <w:rFonts w:hint="eastAsia" w:ascii="仿宋_GB2312" w:eastAsia="仿宋_GB2312"/>
          <w:sz w:val="28"/>
          <w:szCs w:val="28"/>
          <w:lang w:val="en-US" w:eastAsia="zh-CN"/>
        </w:rPr>
        <w:t>.0</w:t>
      </w:r>
      <w:r>
        <w:rPr>
          <w:rFonts w:hint="eastAsia" w:ascii="仿宋_GB2312" w:eastAsia="仿宋_GB2312"/>
          <w:sz w:val="28"/>
          <w:szCs w:val="28"/>
        </w:rPr>
        <w:t>%；对附属单位补助支出</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元，占支出合计的0</w:t>
      </w:r>
      <w:r>
        <w:rPr>
          <w:rFonts w:hint="eastAsia" w:ascii="仿宋_GB2312" w:eastAsia="仿宋_GB2312"/>
          <w:sz w:val="28"/>
          <w:szCs w:val="28"/>
          <w:lang w:val="en-US" w:eastAsia="zh-CN"/>
        </w:rPr>
        <w:t>.0</w:t>
      </w:r>
      <w:r>
        <w:rPr>
          <w:rFonts w:hint="eastAsia" w:ascii="仿宋_GB2312" w:eastAsia="仿宋_GB2312"/>
          <w:sz w:val="28"/>
          <w:szCs w:val="28"/>
        </w:rPr>
        <w:t>%。</w:t>
      </w:r>
    </w:p>
    <w:p>
      <w:pPr>
        <w:pStyle w:val="2"/>
        <w:ind w:firstLine="5772" w:firstLineChars="1804"/>
        <w:rPr>
          <w:rFonts w:ascii="仿宋_GB2312" w:eastAsia="仿宋_GB2312"/>
          <w:color w:val="000000"/>
          <w:sz w:val="32"/>
        </w:rPr>
      </w:pPr>
      <w:r>
        <w:rPr>
          <w:rFonts w:hint="eastAsia" w:ascii="仿宋_GB2312" w:eastAsia="仿宋_GB2312"/>
          <w:color w:val="000000"/>
          <w:sz w:val="32"/>
        </w:rPr>
        <w:t>图2：支出决算</w:t>
      </w:r>
    </w:p>
    <w:p>
      <w:pPr>
        <w:jc w:val="center"/>
        <w:rPr>
          <w:rFonts w:ascii="黑体" w:eastAsia="黑体"/>
          <w:b/>
          <w:sz w:val="28"/>
          <w:szCs w:val="28"/>
        </w:rPr>
      </w:pPr>
      <w:r>
        <w:drawing>
          <wp:inline distT="0" distB="0" distL="114300" distR="114300">
            <wp:extent cx="4572000" cy="2743200"/>
            <wp:effectExtent l="4445" t="4445" r="14605" b="14605"/>
            <wp:docPr id="1" name="图表 3" title="{{pieChart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tabs>
          <w:tab w:val="center" w:pos="6979"/>
        </w:tabs>
        <w:spacing w:line="580" w:lineRule="exact"/>
        <w:ind w:firstLine="548" w:firstLineChars="196"/>
        <w:rPr>
          <w:rFonts w:ascii="黑体" w:eastAsia="黑体"/>
          <w:b/>
          <w:sz w:val="28"/>
          <w:szCs w:val="28"/>
        </w:rPr>
      </w:pPr>
      <w:r>
        <w:rPr>
          <w:rFonts w:hint="eastAsia" w:ascii="黑体" w:eastAsia="黑体"/>
          <w:b/>
          <w:sz w:val="28"/>
          <w:szCs w:val="28"/>
        </w:rPr>
        <w:t>三</w:t>
      </w:r>
      <w:r>
        <w:rPr>
          <w:rFonts w:ascii="黑体" w:eastAsia="黑体"/>
          <w:b/>
          <w:sz w:val="28"/>
          <w:szCs w:val="28"/>
        </w:rPr>
        <w:t>、财政拨款</w:t>
      </w:r>
      <w:r>
        <w:rPr>
          <w:rFonts w:hint="eastAsia" w:ascii="黑体" w:eastAsia="黑体"/>
          <w:b/>
          <w:sz w:val="28"/>
          <w:szCs w:val="28"/>
        </w:rPr>
        <w:t>收入支出决算</w:t>
      </w:r>
      <w:r>
        <w:rPr>
          <w:rFonts w:ascii="黑体" w:eastAsia="黑体"/>
          <w:b/>
          <w:sz w:val="28"/>
          <w:szCs w:val="28"/>
        </w:rPr>
        <w:t>总体情况说明</w:t>
      </w:r>
    </w:p>
    <w:p>
      <w:pPr>
        <w:tabs>
          <w:tab w:val="center" w:pos="6979"/>
        </w:tabs>
        <w:spacing w:line="580" w:lineRule="exact"/>
        <w:ind w:firstLine="570"/>
        <w:rPr>
          <w:rFonts w:ascii="仿宋_GB2312" w:eastAsia="仿宋_GB2312"/>
          <w:sz w:val="28"/>
          <w:szCs w:val="28"/>
        </w:rPr>
      </w:pPr>
      <w:r>
        <w:rPr>
          <w:rFonts w:hint="eastAsia" w:ascii="仿宋_GB2312" w:eastAsia="仿宋_GB2312"/>
          <w:sz w:val="28"/>
          <w:szCs w:val="28"/>
        </w:rPr>
        <w:t>2025年度财政拨款收、</w:t>
      </w:r>
      <w:r>
        <w:rPr>
          <w:rFonts w:ascii="仿宋_GB2312" w:eastAsia="仿宋_GB2312"/>
          <w:sz w:val="28"/>
          <w:szCs w:val="28"/>
        </w:rPr>
        <w:t>支</w:t>
      </w:r>
      <w:r>
        <w:rPr>
          <w:rFonts w:hint="eastAsia" w:ascii="仿宋_GB2312" w:eastAsia="仿宋_GB2312"/>
          <w:sz w:val="28"/>
          <w:szCs w:val="28"/>
        </w:rPr>
        <w:t>总计</w:t>
      </w:r>
      <w:r>
        <w:rPr>
          <w:rFonts w:ascii="仿宋_GB2312" w:eastAsia="仿宋_GB2312"/>
          <w:sz w:val="28"/>
          <w:szCs w:val="28"/>
        </w:rPr>
        <w:t>123</w:t>
      </w:r>
      <w:r>
        <w:rPr>
          <w:rFonts w:hint="eastAsia" w:ascii="仿宋_GB2312" w:eastAsia="仿宋_GB2312"/>
          <w:sz w:val="28"/>
          <w:szCs w:val="28"/>
          <w:lang w:val="en-US" w:eastAsia="zh-CN"/>
        </w:rPr>
        <w:t>,</w:t>
      </w:r>
      <w:r>
        <w:rPr>
          <w:rFonts w:ascii="仿宋_GB2312" w:eastAsia="仿宋_GB2312"/>
          <w:sz w:val="28"/>
          <w:szCs w:val="28"/>
        </w:rPr>
        <w:t>566</w:t>
      </w:r>
      <w:r>
        <w:rPr>
          <w:rFonts w:hint="eastAsia" w:ascii="仿宋_GB2312" w:eastAsia="仿宋_GB2312"/>
          <w:sz w:val="28"/>
          <w:szCs w:val="28"/>
          <w:lang w:val="en-US" w:eastAsia="zh-CN"/>
        </w:rPr>
        <w:t>,</w:t>
      </w:r>
      <w:r>
        <w:rPr>
          <w:rFonts w:ascii="仿宋_GB2312" w:eastAsia="仿宋_GB2312"/>
          <w:sz w:val="28"/>
          <w:szCs w:val="28"/>
        </w:rPr>
        <w:t>300.55</w:t>
      </w:r>
      <w:r>
        <w:rPr>
          <w:rFonts w:hint="eastAsia" w:ascii="仿宋_GB2312" w:eastAsia="仿宋_GB2312"/>
          <w:sz w:val="28"/>
          <w:szCs w:val="28"/>
        </w:rPr>
        <w:t>元，</w:t>
      </w:r>
      <w:r>
        <w:rPr>
          <w:rFonts w:ascii="仿宋_GB2312" w:eastAsia="仿宋_GB2312"/>
          <w:sz w:val="28"/>
          <w:szCs w:val="28"/>
        </w:rPr>
        <w:t>比上年</w:t>
      </w:r>
      <w:r>
        <w:rPr>
          <w:rFonts w:hint="eastAsia" w:ascii="仿宋_GB2312" w:eastAsia="仿宋_GB2312"/>
          <w:sz w:val="28"/>
          <w:szCs w:val="28"/>
        </w:rPr>
        <w:t>减少</w:t>
      </w:r>
      <w:r>
        <w:rPr>
          <w:rFonts w:hint="eastAsia" w:ascii="仿宋_GB2312" w:eastAsia="仿宋_GB2312"/>
          <w:sz w:val="28"/>
          <w:szCs w:val="28"/>
          <w:lang w:val="en-US" w:eastAsia="zh-CN"/>
        </w:rPr>
        <w:t>70,507,168.09</w:t>
      </w:r>
      <w:r>
        <w:rPr>
          <w:rFonts w:hint="eastAsia" w:ascii="仿宋_GB2312" w:eastAsia="仿宋_GB2312"/>
          <w:sz w:val="28"/>
          <w:szCs w:val="28"/>
        </w:rPr>
        <w:t>元，下降</w:t>
      </w:r>
      <w:r>
        <w:rPr>
          <w:rFonts w:hint="eastAsia" w:ascii="仿宋_GB2312" w:eastAsia="仿宋_GB2312"/>
          <w:sz w:val="28"/>
          <w:szCs w:val="28"/>
          <w:lang w:val="en-US" w:eastAsia="zh-CN"/>
        </w:rPr>
        <w:t>36.3</w:t>
      </w:r>
      <w:r>
        <w:rPr>
          <w:rFonts w:hint="eastAsia" w:ascii="仿宋_GB2312" w:eastAsia="仿宋_GB2312"/>
          <w:sz w:val="28"/>
          <w:szCs w:val="28"/>
        </w:rPr>
        <w:t>%。主要原因：</w:t>
      </w:r>
      <w:r>
        <w:rPr>
          <w:rFonts w:hint="eastAsia" w:ascii="仿宋_GB2312" w:eastAsia="仿宋_GB2312"/>
          <w:sz w:val="28"/>
          <w:szCs w:val="28"/>
          <w:lang w:eastAsia="zh-CN"/>
        </w:rPr>
        <w:t>合理规划预算项目，压减各类费用支出</w:t>
      </w:r>
      <w:r>
        <w:rPr>
          <w:rFonts w:hint="eastAsia" w:ascii="仿宋_GB2312" w:eastAsia="仿宋_GB2312"/>
          <w:sz w:val="28"/>
          <w:szCs w:val="28"/>
        </w:rPr>
        <w:t>。</w:t>
      </w:r>
    </w:p>
    <w:p>
      <w:pPr>
        <w:tabs>
          <w:tab w:val="center" w:pos="6979"/>
        </w:tabs>
        <w:spacing w:line="580" w:lineRule="exact"/>
        <w:ind w:firstLine="548" w:firstLineChars="196"/>
        <w:rPr>
          <w:rFonts w:ascii="黑体" w:eastAsia="黑体"/>
          <w:b/>
          <w:sz w:val="28"/>
          <w:szCs w:val="28"/>
        </w:rPr>
      </w:pPr>
      <w:r>
        <w:rPr>
          <w:rFonts w:hint="eastAsia" w:ascii="黑体" w:eastAsia="黑体"/>
          <w:b/>
          <w:sz w:val="28"/>
          <w:szCs w:val="28"/>
        </w:rPr>
        <w:t>四、一般公共预算财政拨款支出决算情况说明</w:t>
      </w:r>
    </w:p>
    <w:p>
      <w:pPr>
        <w:autoSpaceDE w:val="0"/>
        <w:autoSpaceDN w:val="0"/>
        <w:adjustRightInd w:val="0"/>
        <w:spacing w:line="580" w:lineRule="exact"/>
        <w:ind w:firstLine="560" w:firstLineChars="200"/>
        <w:jc w:val="left"/>
        <w:rPr>
          <w:rFonts w:ascii="仿宋_GB2312" w:eastAsia="仿宋_GB2312"/>
          <w:sz w:val="28"/>
          <w:szCs w:val="28"/>
        </w:rPr>
      </w:pPr>
      <w:r>
        <w:rPr>
          <w:rFonts w:hint="eastAsia" w:ascii="仿宋_GB2312" w:eastAsia="仿宋_GB2312"/>
          <w:sz w:val="28"/>
          <w:szCs w:val="28"/>
        </w:rPr>
        <w:t>（一）一般公共预算财政拨款支出决算总体情况</w:t>
      </w:r>
    </w:p>
    <w:p>
      <w:pPr>
        <w:tabs>
          <w:tab w:val="center" w:pos="6979"/>
        </w:tabs>
        <w:spacing w:line="580" w:lineRule="exact"/>
        <w:ind w:firstLine="560" w:firstLineChars="200"/>
        <w:rPr>
          <w:rFonts w:ascii="仿宋_GB2312" w:eastAsia="仿宋_GB2312"/>
          <w:sz w:val="28"/>
          <w:szCs w:val="28"/>
        </w:rPr>
      </w:pPr>
      <w:r>
        <w:rPr>
          <w:rFonts w:hint="eastAsia" w:ascii="仿宋_GB2312" w:eastAsia="仿宋_GB2312"/>
          <w:sz w:val="28"/>
          <w:szCs w:val="28"/>
        </w:rPr>
        <w:t>2025年度一般公共预算财政拨款支出</w:t>
      </w:r>
      <w:r>
        <w:rPr>
          <w:rFonts w:ascii="仿宋_GB2312" w:eastAsia="仿宋_GB2312"/>
          <w:sz w:val="28"/>
          <w:szCs w:val="28"/>
        </w:rPr>
        <w:t>55</w:t>
      </w:r>
      <w:r>
        <w:rPr>
          <w:rFonts w:hint="eastAsia" w:ascii="仿宋_GB2312" w:eastAsia="仿宋_GB2312"/>
          <w:sz w:val="28"/>
          <w:szCs w:val="28"/>
          <w:lang w:val="en-US" w:eastAsia="zh-CN"/>
        </w:rPr>
        <w:t>,</w:t>
      </w:r>
      <w:r>
        <w:rPr>
          <w:rFonts w:ascii="仿宋_GB2312" w:eastAsia="仿宋_GB2312"/>
          <w:sz w:val="28"/>
          <w:szCs w:val="28"/>
        </w:rPr>
        <w:t>208</w:t>
      </w:r>
      <w:r>
        <w:rPr>
          <w:rFonts w:hint="eastAsia" w:ascii="仿宋_GB2312" w:eastAsia="仿宋_GB2312"/>
          <w:sz w:val="28"/>
          <w:szCs w:val="28"/>
          <w:lang w:val="en-US" w:eastAsia="zh-CN"/>
        </w:rPr>
        <w:t>,</w:t>
      </w:r>
      <w:r>
        <w:rPr>
          <w:rFonts w:ascii="仿宋_GB2312" w:eastAsia="仿宋_GB2312"/>
          <w:sz w:val="28"/>
          <w:szCs w:val="28"/>
        </w:rPr>
        <w:t>649.55</w:t>
      </w:r>
      <w:r>
        <w:rPr>
          <w:rFonts w:hint="eastAsia" w:ascii="仿宋_GB2312" w:eastAsia="仿宋_GB2312"/>
          <w:sz w:val="28"/>
          <w:szCs w:val="28"/>
        </w:rPr>
        <w:t>元，主要用于以下方面（按大类）：</w:t>
      </w:r>
      <w:r>
        <w:rPr>
          <w:rFonts w:hint="eastAsia" w:ascii="仿宋_GB2312" w:eastAsia="仿宋_GB2312"/>
          <w:sz w:val="28"/>
          <w:szCs w:val="28"/>
          <w:highlight w:val="none"/>
          <w:lang w:eastAsia="zh-CN"/>
        </w:rPr>
        <w:t>社会保障和就业支出</w:t>
      </w:r>
      <w:r>
        <w:rPr>
          <w:rFonts w:hint="eastAsia" w:ascii="仿宋_GB2312" w:eastAsia="仿宋_GB2312"/>
          <w:sz w:val="28"/>
          <w:szCs w:val="28"/>
          <w:highlight w:val="none"/>
          <w:lang w:val="en-US" w:eastAsia="zh-CN"/>
        </w:rPr>
        <w:t>153,906.00</w:t>
      </w:r>
      <w:r>
        <w:rPr>
          <w:rFonts w:hint="eastAsia" w:ascii="仿宋_GB2312" w:eastAsia="仿宋_GB2312"/>
          <w:sz w:val="28"/>
          <w:szCs w:val="28"/>
        </w:rPr>
        <w:t>元，占本年财政拨款支出</w:t>
      </w:r>
      <w:r>
        <w:rPr>
          <w:rFonts w:hint="eastAsia" w:ascii="仿宋_GB2312" w:eastAsia="仿宋_GB2312"/>
          <w:sz w:val="28"/>
          <w:szCs w:val="28"/>
          <w:lang w:val="en-US" w:eastAsia="zh-CN"/>
        </w:rPr>
        <w:t>0.1</w:t>
      </w:r>
      <w:r>
        <w:rPr>
          <w:rFonts w:hint="eastAsia" w:ascii="仿宋_GB2312" w:eastAsia="仿宋_GB2312"/>
          <w:sz w:val="28"/>
          <w:szCs w:val="28"/>
        </w:rPr>
        <w:t>%；</w:t>
      </w:r>
      <w:r>
        <w:rPr>
          <w:rFonts w:hint="eastAsia" w:ascii="仿宋_GB2312" w:eastAsia="仿宋_GB2312"/>
          <w:sz w:val="28"/>
          <w:szCs w:val="28"/>
          <w:highlight w:val="none"/>
          <w:lang w:eastAsia="zh-CN"/>
        </w:rPr>
        <w:t>城乡社区支出</w:t>
      </w:r>
      <w:r>
        <w:rPr>
          <w:rFonts w:hint="eastAsia" w:ascii="仿宋_GB2312" w:eastAsia="仿宋_GB2312"/>
          <w:sz w:val="28"/>
          <w:szCs w:val="28"/>
          <w:highlight w:val="none"/>
          <w:lang w:val="en-US" w:eastAsia="zh-CN"/>
        </w:rPr>
        <w:t>199,675.16元，</w:t>
      </w:r>
      <w:r>
        <w:rPr>
          <w:rFonts w:hint="eastAsia" w:ascii="仿宋_GB2312" w:eastAsia="仿宋_GB2312"/>
          <w:sz w:val="28"/>
          <w:szCs w:val="28"/>
          <w:highlight w:val="none"/>
        </w:rPr>
        <w:t>占本年财政拨款支出</w:t>
      </w:r>
      <w:r>
        <w:rPr>
          <w:rFonts w:hint="eastAsia" w:ascii="仿宋_GB2312" w:eastAsia="仿宋_GB2312"/>
          <w:sz w:val="28"/>
          <w:szCs w:val="28"/>
          <w:highlight w:val="none"/>
          <w:lang w:val="en-US" w:eastAsia="zh-CN"/>
        </w:rPr>
        <w:t>0.2</w:t>
      </w:r>
      <w:r>
        <w:rPr>
          <w:rFonts w:hint="eastAsia" w:ascii="仿宋_GB2312" w:eastAsia="仿宋_GB2312"/>
          <w:sz w:val="28"/>
          <w:szCs w:val="28"/>
          <w:highlight w:val="none"/>
        </w:rPr>
        <w:t>%</w:t>
      </w:r>
      <w:r>
        <w:rPr>
          <w:rFonts w:hint="eastAsia" w:ascii="仿宋_GB2312" w:eastAsia="仿宋_GB2312"/>
          <w:sz w:val="28"/>
          <w:szCs w:val="28"/>
        </w:rPr>
        <w:t>。</w:t>
      </w:r>
      <w:r>
        <w:rPr>
          <w:rFonts w:hint="eastAsia" w:ascii="仿宋_GB2312" w:eastAsia="仿宋_GB2312"/>
          <w:sz w:val="28"/>
          <w:szCs w:val="28"/>
          <w:highlight w:val="none"/>
          <w:lang w:eastAsia="zh-CN"/>
        </w:rPr>
        <w:t>资源勘探工业信息等支出</w:t>
      </w:r>
      <w:r>
        <w:rPr>
          <w:rFonts w:hint="eastAsia" w:ascii="仿宋_GB2312" w:eastAsia="仿宋_GB2312"/>
          <w:sz w:val="28"/>
          <w:szCs w:val="28"/>
          <w:highlight w:val="none"/>
          <w:lang w:val="en-US" w:eastAsia="zh-CN"/>
        </w:rPr>
        <w:t>17,400.00元，</w:t>
      </w:r>
      <w:r>
        <w:rPr>
          <w:rFonts w:hint="eastAsia" w:ascii="仿宋_GB2312" w:eastAsia="仿宋_GB2312"/>
          <w:sz w:val="28"/>
          <w:szCs w:val="28"/>
          <w:highlight w:val="none"/>
        </w:rPr>
        <w:t>占本年财政拨款支出</w:t>
      </w:r>
      <w:r>
        <w:rPr>
          <w:rFonts w:hint="eastAsia" w:ascii="仿宋_GB2312" w:eastAsia="仿宋_GB2312"/>
          <w:sz w:val="28"/>
          <w:szCs w:val="28"/>
          <w:highlight w:val="none"/>
          <w:lang w:val="en-US" w:eastAsia="zh-CN"/>
        </w:rPr>
        <w:t>0.01</w:t>
      </w:r>
      <w:r>
        <w:rPr>
          <w:rFonts w:hint="eastAsia" w:ascii="仿宋_GB2312" w:eastAsia="仿宋_GB2312"/>
          <w:sz w:val="28"/>
          <w:szCs w:val="28"/>
          <w:highlight w:val="none"/>
        </w:rPr>
        <w:t>%。</w:t>
      </w:r>
      <w:r>
        <w:rPr>
          <w:rFonts w:hint="eastAsia" w:ascii="仿宋_GB2312" w:eastAsia="仿宋_GB2312"/>
          <w:sz w:val="28"/>
          <w:szCs w:val="28"/>
          <w:highlight w:val="none"/>
          <w:lang w:eastAsia="zh-CN"/>
        </w:rPr>
        <w:t>灾害防治及应急管理支出</w:t>
      </w:r>
      <w:r>
        <w:rPr>
          <w:rFonts w:hint="eastAsia" w:ascii="仿宋_GB2312" w:eastAsia="仿宋_GB2312"/>
          <w:sz w:val="28"/>
          <w:szCs w:val="28"/>
          <w:highlight w:val="none"/>
          <w:lang w:val="en-US" w:eastAsia="zh-CN"/>
        </w:rPr>
        <w:t>54,837,668.39元，</w:t>
      </w:r>
      <w:r>
        <w:rPr>
          <w:rFonts w:hint="eastAsia" w:ascii="仿宋_GB2312" w:eastAsia="仿宋_GB2312"/>
          <w:sz w:val="28"/>
          <w:szCs w:val="28"/>
          <w:highlight w:val="none"/>
        </w:rPr>
        <w:t>占本年财政拨款支出</w:t>
      </w:r>
      <w:r>
        <w:rPr>
          <w:rFonts w:hint="eastAsia" w:ascii="仿宋_GB2312" w:eastAsia="仿宋_GB2312"/>
          <w:sz w:val="28"/>
          <w:szCs w:val="28"/>
          <w:highlight w:val="none"/>
          <w:lang w:val="en-US" w:eastAsia="zh-CN"/>
        </w:rPr>
        <w:t>44.4</w:t>
      </w:r>
      <w:r>
        <w:rPr>
          <w:rFonts w:hint="eastAsia" w:ascii="仿宋_GB2312" w:eastAsia="仿宋_GB2312"/>
          <w:sz w:val="28"/>
          <w:szCs w:val="28"/>
          <w:highlight w:val="none"/>
        </w:rPr>
        <w:t>%。</w:t>
      </w:r>
    </w:p>
    <w:p>
      <w:pPr>
        <w:autoSpaceDE w:val="0"/>
        <w:autoSpaceDN w:val="0"/>
        <w:adjustRightInd w:val="0"/>
        <w:spacing w:line="580" w:lineRule="exact"/>
        <w:ind w:firstLine="560" w:firstLineChars="200"/>
        <w:jc w:val="left"/>
        <w:rPr>
          <w:rFonts w:ascii="仿宋_GB2312" w:eastAsia="仿宋_GB2312"/>
          <w:sz w:val="28"/>
          <w:szCs w:val="28"/>
        </w:rPr>
      </w:pPr>
      <w:r>
        <w:rPr>
          <w:rFonts w:hint="eastAsia" w:ascii="仿宋_GB2312" w:eastAsia="仿宋_GB2312"/>
          <w:sz w:val="28"/>
          <w:szCs w:val="28"/>
        </w:rPr>
        <w:t>（二）一般公共预算财政拨款支出决算具体情况</w:t>
      </w:r>
    </w:p>
    <w:p>
      <w:pPr>
        <w:autoSpaceDE w:val="0"/>
        <w:autoSpaceDN w:val="0"/>
        <w:adjustRightInd w:val="0"/>
        <w:spacing w:line="580" w:lineRule="exact"/>
        <w:ind w:firstLine="560" w:firstLineChars="200"/>
        <w:jc w:val="left"/>
        <w:rPr>
          <w:rFonts w:ascii="仿宋_GB2312" w:eastAsia="仿宋_GB2312"/>
          <w:sz w:val="28"/>
          <w:szCs w:val="28"/>
        </w:rPr>
      </w:pPr>
      <w:r>
        <w:rPr>
          <w:rFonts w:hint="eastAsia" w:ascii="仿宋_GB2312" w:eastAsia="仿宋_GB2312"/>
          <w:sz w:val="28"/>
          <w:szCs w:val="28"/>
        </w:rPr>
        <w:t>1、“</w:t>
      </w:r>
      <w:r>
        <w:rPr>
          <w:rFonts w:hint="eastAsia" w:ascii="仿宋_GB2312" w:eastAsia="仿宋_GB2312"/>
          <w:sz w:val="28"/>
          <w:szCs w:val="28"/>
          <w:lang w:eastAsia="zh-CN"/>
        </w:rPr>
        <w:t>社会保障和就业支出</w:t>
      </w:r>
      <w:r>
        <w:rPr>
          <w:rFonts w:hint="eastAsia" w:ascii="仿宋_GB2312" w:eastAsia="仿宋_GB2312"/>
          <w:sz w:val="28"/>
          <w:szCs w:val="28"/>
        </w:rPr>
        <w:t>”（类）2025年度年初预算</w:t>
      </w:r>
      <w:r>
        <w:rPr>
          <w:rFonts w:hint="eastAsia" w:ascii="仿宋_GB2312" w:eastAsia="仿宋_GB2312"/>
          <w:sz w:val="28"/>
          <w:szCs w:val="28"/>
          <w:lang w:val="en-US" w:eastAsia="zh-CN"/>
        </w:rPr>
        <w:t>111,830.00</w:t>
      </w:r>
      <w:r>
        <w:rPr>
          <w:rFonts w:hint="eastAsia" w:ascii="仿宋_GB2312" w:eastAsia="仿宋_GB2312"/>
          <w:sz w:val="28"/>
          <w:szCs w:val="28"/>
        </w:rPr>
        <w:t>元，2025年度决算</w:t>
      </w:r>
      <w:r>
        <w:rPr>
          <w:rFonts w:hint="eastAsia" w:ascii="仿宋_GB2312" w:eastAsia="仿宋_GB2312"/>
          <w:sz w:val="28"/>
          <w:szCs w:val="28"/>
          <w:lang w:val="en-US" w:eastAsia="zh-CN"/>
        </w:rPr>
        <w:t>153,906.00</w:t>
      </w:r>
      <w:r>
        <w:rPr>
          <w:rFonts w:hint="eastAsia" w:ascii="仿宋_GB2312" w:eastAsia="仿宋_GB2312"/>
          <w:sz w:val="28"/>
          <w:szCs w:val="28"/>
        </w:rPr>
        <w:t>元，完成年初预算的</w:t>
      </w:r>
      <w:r>
        <w:rPr>
          <w:rFonts w:hint="eastAsia" w:ascii="仿宋_GB2312" w:eastAsia="仿宋_GB2312"/>
          <w:sz w:val="28"/>
          <w:szCs w:val="28"/>
          <w:lang w:val="en-US" w:eastAsia="zh-CN"/>
        </w:rPr>
        <w:t>137.6</w:t>
      </w:r>
      <w:r>
        <w:rPr>
          <w:rFonts w:hint="eastAsia" w:ascii="仿宋_GB2312" w:eastAsia="仿宋_GB2312"/>
          <w:sz w:val="28"/>
          <w:szCs w:val="28"/>
        </w:rPr>
        <w:t>%。</w:t>
      </w:r>
    </w:p>
    <w:p>
      <w:pPr>
        <w:autoSpaceDE w:val="0"/>
        <w:autoSpaceDN w:val="0"/>
        <w:adjustRightInd w:val="0"/>
        <w:spacing w:line="580" w:lineRule="exact"/>
        <w:jc w:val="left"/>
        <w:rPr>
          <w:rFonts w:ascii="仿宋_GB2312" w:eastAsia="仿宋_GB2312"/>
          <w:sz w:val="28"/>
          <w:szCs w:val="28"/>
        </w:rPr>
      </w:pPr>
      <w:r>
        <w:rPr>
          <w:rFonts w:hint="eastAsia" w:ascii="仿宋_GB2312" w:eastAsia="仿宋_GB2312"/>
          <w:sz w:val="28"/>
          <w:szCs w:val="28"/>
        </w:rPr>
        <w:t>其中：</w:t>
      </w:r>
    </w:p>
    <w:p>
      <w:pPr>
        <w:spacing w:line="580" w:lineRule="exact"/>
        <w:ind w:firstLine="560" w:firstLineChars="200"/>
        <w:rPr>
          <w:rFonts w:ascii="仿宋_GB2312" w:eastAsia="仿宋_GB2312"/>
          <w:sz w:val="28"/>
          <w:szCs w:val="28"/>
        </w:rPr>
      </w:pPr>
      <w:r>
        <w:rPr>
          <w:rFonts w:hint="eastAsia" w:ascii="仿宋_GB2312" w:eastAsia="仿宋_GB2312" w:cs="Times New Roman"/>
          <w:sz w:val="28"/>
          <w:szCs w:val="28"/>
          <w:lang w:eastAsia="zh-CN"/>
        </w:rPr>
        <w:t>“行政事业单位养老支出”（</w:t>
      </w:r>
      <w:r>
        <w:rPr>
          <w:rFonts w:hint="eastAsia" w:ascii="仿宋_GB2312" w:eastAsia="仿宋_GB2312"/>
          <w:sz w:val="28"/>
          <w:szCs w:val="28"/>
        </w:rPr>
        <w:t>款）2025年度年初预算</w:t>
      </w:r>
      <w:r>
        <w:rPr>
          <w:rFonts w:hint="eastAsia" w:ascii="仿宋_GB2312" w:eastAsia="仿宋_GB2312"/>
          <w:sz w:val="28"/>
          <w:szCs w:val="28"/>
          <w:lang w:val="en-US" w:eastAsia="zh-CN"/>
        </w:rPr>
        <w:t>111,830.00</w:t>
      </w:r>
      <w:r>
        <w:rPr>
          <w:rFonts w:hint="eastAsia" w:ascii="仿宋_GB2312" w:eastAsia="仿宋_GB2312"/>
          <w:sz w:val="28"/>
          <w:szCs w:val="28"/>
        </w:rPr>
        <w:t>元，2025年度决算</w:t>
      </w:r>
      <w:r>
        <w:rPr>
          <w:rFonts w:hint="eastAsia" w:ascii="仿宋_GB2312" w:eastAsia="仿宋_GB2312"/>
          <w:sz w:val="28"/>
          <w:szCs w:val="28"/>
          <w:lang w:val="en-US" w:eastAsia="zh-CN"/>
        </w:rPr>
        <w:t>153,906.00</w:t>
      </w:r>
      <w:r>
        <w:rPr>
          <w:rFonts w:hint="eastAsia" w:ascii="仿宋_GB2312" w:eastAsia="仿宋_GB2312"/>
          <w:sz w:val="28"/>
          <w:szCs w:val="28"/>
        </w:rPr>
        <w:t>元，完成年初预算的</w:t>
      </w:r>
      <w:r>
        <w:rPr>
          <w:rFonts w:hint="eastAsia" w:ascii="仿宋_GB2312" w:eastAsia="仿宋_GB2312"/>
          <w:sz w:val="28"/>
          <w:szCs w:val="28"/>
          <w:lang w:val="en-US" w:eastAsia="zh-CN"/>
        </w:rPr>
        <w:t>137.6</w:t>
      </w:r>
      <w:r>
        <w:rPr>
          <w:rFonts w:hint="eastAsia" w:ascii="仿宋_GB2312" w:eastAsia="仿宋_GB2312"/>
          <w:sz w:val="28"/>
          <w:szCs w:val="28"/>
        </w:rPr>
        <w:t>%%。主要原因：</w:t>
      </w:r>
      <w:r>
        <w:rPr>
          <w:rFonts w:hint="eastAsia" w:ascii="仿宋_GB2312" w:eastAsia="仿宋_GB2312"/>
          <w:sz w:val="28"/>
          <w:szCs w:val="28"/>
          <w:highlight w:val="none"/>
          <w:lang w:val="en-US" w:eastAsia="zh-CN"/>
        </w:rPr>
        <w:t>补发</w:t>
      </w:r>
      <w:r>
        <w:rPr>
          <w:rFonts w:hint="eastAsia" w:ascii="仿宋_GB2312" w:eastAsia="仿宋_GB2312"/>
          <w:sz w:val="28"/>
          <w:szCs w:val="28"/>
          <w:highlight w:val="none"/>
          <w:lang w:eastAsia="zh-CN"/>
        </w:rPr>
        <w:t>退休人员</w:t>
      </w:r>
      <w:r>
        <w:rPr>
          <w:rFonts w:hint="eastAsia" w:ascii="仿宋_GB2312" w:eastAsia="仿宋_GB2312"/>
          <w:sz w:val="28"/>
          <w:szCs w:val="28"/>
          <w:highlight w:val="none"/>
          <w:lang w:val="en-US" w:eastAsia="zh-CN"/>
        </w:rPr>
        <w:t>工资</w:t>
      </w:r>
      <w:r>
        <w:rPr>
          <w:rFonts w:hint="eastAsia" w:ascii="仿宋_GB2312" w:eastAsia="仿宋_GB2312"/>
          <w:sz w:val="28"/>
          <w:szCs w:val="28"/>
          <w:highlight w:val="none"/>
        </w:rPr>
        <w:t>。</w:t>
      </w:r>
      <w:r>
        <w:rPr>
          <w:rFonts w:hint="eastAsia" w:ascii="仿宋_GB2312" w:eastAsia="仿宋_GB2312"/>
          <w:sz w:val="28"/>
          <w:szCs w:val="28"/>
        </w:rPr>
        <w:t>。</w:t>
      </w:r>
    </w:p>
    <w:p>
      <w:pPr>
        <w:spacing w:line="580" w:lineRule="exact"/>
        <w:ind w:firstLine="560" w:firstLineChars="200"/>
        <w:rPr>
          <w:rFonts w:ascii="仿宋_GB2312" w:eastAsia="仿宋_GB2312"/>
          <w:sz w:val="28"/>
          <w:szCs w:val="28"/>
        </w:rPr>
      </w:pPr>
      <w:r>
        <w:rPr>
          <w:rFonts w:hint="eastAsia" w:ascii="仿宋_GB2312" w:eastAsia="仿宋_GB2312"/>
          <w:sz w:val="28"/>
          <w:szCs w:val="28"/>
        </w:rPr>
        <w:t>2、“</w:t>
      </w:r>
      <w:r>
        <w:rPr>
          <w:rFonts w:hint="eastAsia" w:ascii="仿宋_GB2312" w:eastAsia="仿宋_GB2312"/>
          <w:sz w:val="28"/>
          <w:szCs w:val="28"/>
          <w:lang w:eastAsia="zh-CN"/>
        </w:rPr>
        <w:t>城乡社区支出</w:t>
      </w:r>
      <w:r>
        <w:rPr>
          <w:rFonts w:hint="eastAsia" w:ascii="仿宋_GB2312" w:eastAsia="仿宋_GB2312"/>
          <w:sz w:val="28"/>
          <w:szCs w:val="28"/>
        </w:rPr>
        <w:t>”(类)2025年度年初预算</w:t>
      </w:r>
      <w:r>
        <w:rPr>
          <w:rFonts w:hint="eastAsia" w:ascii="仿宋_GB2312" w:eastAsia="仿宋_GB2312"/>
          <w:sz w:val="28"/>
          <w:szCs w:val="28"/>
          <w:lang w:val="en-US" w:eastAsia="zh-CN"/>
        </w:rPr>
        <w:t>0.00</w:t>
      </w:r>
      <w:r>
        <w:rPr>
          <w:rFonts w:hint="eastAsia" w:ascii="仿宋_GB2312" w:eastAsia="仿宋_GB2312"/>
          <w:sz w:val="28"/>
          <w:szCs w:val="28"/>
        </w:rPr>
        <w:t>元，2025年度决算</w:t>
      </w:r>
      <w:r>
        <w:rPr>
          <w:rFonts w:hint="eastAsia" w:ascii="仿宋_GB2312" w:eastAsia="仿宋_GB2312"/>
          <w:sz w:val="28"/>
          <w:szCs w:val="28"/>
          <w:lang w:val="en-US" w:eastAsia="zh-CN"/>
        </w:rPr>
        <w:t>199,675.16</w:t>
      </w:r>
      <w:r>
        <w:rPr>
          <w:rFonts w:hint="eastAsia" w:ascii="仿宋_GB2312" w:eastAsia="仿宋_GB2312"/>
          <w:sz w:val="28"/>
          <w:szCs w:val="28"/>
        </w:rPr>
        <w:t>元，完成年初预算的</w:t>
      </w:r>
      <w:r>
        <w:rPr>
          <w:rFonts w:hint="eastAsia" w:ascii="仿宋_GB2312" w:eastAsia="仿宋_GB2312"/>
          <w:sz w:val="28"/>
          <w:szCs w:val="28"/>
          <w:lang w:val="en-US" w:eastAsia="zh-CN"/>
        </w:rPr>
        <w:t>100.0</w:t>
      </w:r>
      <w:r>
        <w:rPr>
          <w:rFonts w:hint="eastAsia" w:ascii="仿宋_GB2312" w:eastAsia="仿宋_GB2312"/>
          <w:sz w:val="28"/>
          <w:szCs w:val="28"/>
        </w:rPr>
        <w:t>%。其中：</w:t>
      </w:r>
    </w:p>
    <w:p>
      <w:pPr>
        <w:spacing w:line="58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rPr>
        <w:t>“</w:t>
      </w:r>
      <w:r>
        <w:rPr>
          <w:rFonts w:hint="eastAsia" w:ascii="仿宋_GB2312" w:eastAsia="仿宋_GB2312"/>
          <w:sz w:val="28"/>
          <w:szCs w:val="28"/>
          <w:lang w:eastAsia="zh-CN"/>
        </w:rPr>
        <w:t>城乡社区公共设施</w:t>
      </w:r>
      <w:r>
        <w:rPr>
          <w:rFonts w:hint="eastAsia" w:ascii="仿宋_GB2312" w:eastAsia="仿宋_GB2312"/>
          <w:sz w:val="28"/>
          <w:szCs w:val="28"/>
        </w:rPr>
        <w:t>”（款）2025年度年初预算</w:t>
      </w:r>
      <w:r>
        <w:rPr>
          <w:rFonts w:hint="eastAsia" w:ascii="仿宋_GB2312" w:eastAsia="仿宋_GB2312"/>
          <w:sz w:val="28"/>
          <w:szCs w:val="28"/>
          <w:lang w:val="en-US" w:eastAsia="zh-CN"/>
        </w:rPr>
        <w:t>0.00</w:t>
      </w:r>
      <w:r>
        <w:rPr>
          <w:rFonts w:hint="eastAsia" w:ascii="仿宋_GB2312" w:eastAsia="仿宋_GB2312"/>
          <w:sz w:val="28"/>
          <w:szCs w:val="28"/>
        </w:rPr>
        <w:t>元，2025年度决算</w:t>
      </w:r>
      <w:r>
        <w:rPr>
          <w:rFonts w:hint="eastAsia" w:ascii="仿宋_GB2312" w:eastAsia="仿宋_GB2312"/>
          <w:sz w:val="28"/>
          <w:szCs w:val="28"/>
          <w:lang w:val="en-US" w:eastAsia="zh-CN"/>
        </w:rPr>
        <w:t>199,675.16</w:t>
      </w:r>
      <w:r>
        <w:rPr>
          <w:rFonts w:hint="eastAsia" w:ascii="仿宋_GB2312" w:eastAsia="仿宋_GB2312"/>
          <w:sz w:val="28"/>
          <w:szCs w:val="28"/>
        </w:rPr>
        <w:t>元，完成年初预算的</w:t>
      </w:r>
      <w:r>
        <w:rPr>
          <w:rFonts w:hint="eastAsia" w:ascii="仿宋_GB2312" w:eastAsia="仿宋_GB2312"/>
          <w:sz w:val="28"/>
          <w:szCs w:val="28"/>
          <w:lang w:val="en-US" w:eastAsia="zh-CN"/>
        </w:rPr>
        <w:t>100.0</w:t>
      </w:r>
      <w:r>
        <w:rPr>
          <w:rFonts w:hint="eastAsia" w:ascii="仿宋_GB2312" w:eastAsia="仿宋_GB2312"/>
          <w:sz w:val="28"/>
          <w:szCs w:val="28"/>
        </w:rPr>
        <w:t>%。主要原因：</w:t>
      </w:r>
      <w:r>
        <w:rPr>
          <w:rFonts w:hint="eastAsia" w:ascii="仿宋_GB2312" w:eastAsia="仿宋_GB2312"/>
          <w:sz w:val="28"/>
          <w:szCs w:val="28"/>
          <w:lang w:val="en-US" w:eastAsia="zh-CN"/>
        </w:rPr>
        <w:t>根据实际工作需要年中追加项目预算。</w:t>
      </w:r>
    </w:p>
    <w:p>
      <w:pPr>
        <w:autoSpaceDE w:val="0"/>
        <w:autoSpaceDN w:val="0"/>
        <w:adjustRightInd w:val="0"/>
        <w:spacing w:line="580" w:lineRule="exact"/>
        <w:ind w:firstLine="560" w:firstLineChars="200"/>
        <w:jc w:val="left"/>
        <w:rPr>
          <w:rFonts w:ascii="仿宋_GB2312" w:eastAsia="仿宋_GB2312"/>
          <w:sz w:val="28"/>
          <w:szCs w:val="28"/>
        </w:rPr>
      </w:pPr>
      <w:r>
        <w:rPr>
          <w:rFonts w:hint="eastAsia" w:ascii="仿宋_GB2312" w:eastAsia="仿宋_GB2312"/>
          <w:sz w:val="28"/>
          <w:szCs w:val="28"/>
          <w:lang w:val="en-US" w:eastAsia="zh-CN"/>
        </w:rPr>
        <w:t>3</w:t>
      </w:r>
      <w:r>
        <w:rPr>
          <w:rFonts w:hint="eastAsia" w:ascii="仿宋_GB2312" w:eastAsia="仿宋_GB2312"/>
          <w:sz w:val="28"/>
          <w:szCs w:val="28"/>
        </w:rPr>
        <w:t>、“</w:t>
      </w:r>
      <w:r>
        <w:rPr>
          <w:rFonts w:hint="eastAsia" w:ascii="仿宋_GB2312" w:eastAsia="仿宋_GB2312"/>
          <w:sz w:val="28"/>
          <w:szCs w:val="28"/>
          <w:highlight w:val="none"/>
          <w:lang w:eastAsia="zh-CN"/>
        </w:rPr>
        <w:t>资源勘探工业信息等支出</w:t>
      </w:r>
      <w:r>
        <w:rPr>
          <w:rFonts w:hint="eastAsia" w:ascii="仿宋_GB2312" w:eastAsia="仿宋_GB2312"/>
          <w:sz w:val="28"/>
          <w:szCs w:val="28"/>
        </w:rPr>
        <w:t>”（类）2025年度年初预算</w:t>
      </w:r>
      <w:r>
        <w:rPr>
          <w:rFonts w:hint="eastAsia" w:ascii="仿宋_GB2312" w:eastAsia="仿宋_GB2312"/>
          <w:sz w:val="28"/>
          <w:szCs w:val="28"/>
          <w:lang w:val="en-US" w:eastAsia="zh-CN"/>
        </w:rPr>
        <w:t>0.00</w:t>
      </w:r>
      <w:bookmarkStart w:id="4" w:name="_GoBack"/>
      <w:bookmarkEnd w:id="4"/>
      <w:r>
        <w:rPr>
          <w:rFonts w:hint="eastAsia" w:ascii="仿宋_GB2312" w:eastAsia="仿宋_GB2312"/>
          <w:sz w:val="28"/>
          <w:szCs w:val="28"/>
        </w:rPr>
        <w:t>元，2025年度决算</w:t>
      </w:r>
      <w:r>
        <w:rPr>
          <w:rFonts w:hint="eastAsia" w:ascii="仿宋_GB2312" w:eastAsia="仿宋_GB2312"/>
          <w:sz w:val="28"/>
          <w:szCs w:val="28"/>
          <w:lang w:val="en-US" w:eastAsia="zh-CN"/>
        </w:rPr>
        <w:t>17,400.00</w:t>
      </w:r>
      <w:r>
        <w:rPr>
          <w:rFonts w:hint="eastAsia" w:ascii="仿宋_GB2312" w:eastAsia="仿宋_GB2312"/>
          <w:sz w:val="28"/>
          <w:szCs w:val="28"/>
        </w:rPr>
        <w:t>元，</w:t>
      </w:r>
      <w:r>
        <w:rPr>
          <w:rFonts w:hint="eastAsia" w:ascii="仿宋_GB2312" w:eastAsia="仿宋_GB2312"/>
          <w:sz w:val="28"/>
          <w:szCs w:val="28"/>
          <w:lang w:val="en-US" w:eastAsia="zh-CN"/>
        </w:rPr>
        <w:t>完成年初预算100.0%，</w:t>
      </w:r>
      <w:r>
        <w:rPr>
          <w:rFonts w:hint="eastAsia" w:ascii="仿宋_GB2312" w:eastAsia="仿宋_GB2312"/>
          <w:sz w:val="28"/>
          <w:szCs w:val="28"/>
        </w:rPr>
        <w:t>其中：</w:t>
      </w:r>
    </w:p>
    <w:p>
      <w:pPr>
        <w:spacing w:line="580" w:lineRule="exact"/>
        <w:ind w:firstLine="560" w:firstLineChars="200"/>
        <w:rPr>
          <w:rFonts w:hint="eastAsia" w:ascii="仿宋_GB2312" w:eastAsia="仿宋_GB2312"/>
          <w:sz w:val="28"/>
          <w:szCs w:val="28"/>
        </w:rPr>
      </w:pPr>
      <w:r>
        <w:rPr>
          <w:rFonts w:hint="eastAsia" w:ascii="仿宋_GB2312" w:eastAsia="仿宋_GB2312" w:cs="Times New Roman"/>
          <w:sz w:val="28"/>
          <w:szCs w:val="28"/>
          <w:lang w:eastAsia="zh-CN"/>
        </w:rPr>
        <w:t>“制造业”（</w:t>
      </w:r>
      <w:r>
        <w:rPr>
          <w:rFonts w:hint="eastAsia" w:ascii="仿宋_GB2312" w:eastAsia="仿宋_GB2312"/>
          <w:sz w:val="28"/>
          <w:szCs w:val="28"/>
        </w:rPr>
        <w:t>款）2025年度年初预算</w:t>
      </w:r>
      <w:r>
        <w:rPr>
          <w:rFonts w:hint="eastAsia" w:ascii="仿宋_GB2312" w:eastAsia="仿宋_GB2312"/>
          <w:sz w:val="28"/>
          <w:szCs w:val="28"/>
          <w:lang w:val="en-US" w:eastAsia="zh-CN"/>
        </w:rPr>
        <w:t>0.00</w:t>
      </w:r>
      <w:r>
        <w:rPr>
          <w:rFonts w:hint="eastAsia" w:ascii="仿宋_GB2312" w:eastAsia="仿宋_GB2312"/>
          <w:sz w:val="28"/>
          <w:szCs w:val="28"/>
        </w:rPr>
        <w:t>元，2025年度决算</w:t>
      </w:r>
      <w:r>
        <w:rPr>
          <w:rFonts w:hint="eastAsia" w:ascii="仿宋_GB2312" w:eastAsia="仿宋_GB2312"/>
          <w:sz w:val="28"/>
          <w:szCs w:val="28"/>
          <w:lang w:val="en-US" w:eastAsia="zh-CN"/>
        </w:rPr>
        <w:t>17,400.00</w:t>
      </w:r>
      <w:r>
        <w:rPr>
          <w:rFonts w:hint="eastAsia" w:ascii="仿宋_GB2312" w:eastAsia="仿宋_GB2312"/>
          <w:sz w:val="28"/>
          <w:szCs w:val="28"/>
        </w:rPr>
        <w:t>元，</w:t>
      </w:r>
      <w:r>
        <w:rPr>
          <w:rFonts w:hint="eastAsia" w:ascii="仿宋_GB2312" w:eastAsia="仿宋_GB2312"/>
          <w:sz w:val="28"/>
          <w:szCs w:val="28"/>
          <w:lang w:val="en-US" w:eastAsia="zh-CN"/>
        </w:rPr>
        <w:t>完成年初预算100.0%，主要原因：根据实际工作需要年中追加项目预算。</w:t>
      </w:r>
    </w:p>
    <w:p>
      <w:pPr>
        <w:autoSpaceDE w:val="0"/>
        <w:autoSpaceDN w:val="0"/>
        <w:adjustRightInd w:val="0"/>
        <w:spacing w:line="580" w:lineRule="exact"/>
        <w:ind w:firstLine="560" w:firstLineChars="200"/>
        <w:jc w:val="left"/>
        <w:rPr>
          <w:rFonts w:ascii="仿宋_GB2312" w:eastAsia="仿宋_GB2312"/>
          <w:sz w:val="28"/>
          <w:szCs w:val="28"/>
        </w:rPr>
      </w:pPr>
      <w:r>
        <w:rPr>
          <w:rFonts w:hint="eastAsia" w:ascii="仿宋_GB2312" w:eastAsia="仿宋_GB2312"/>
          <w:sz w:val="28"/>
          <w:szCs w:val="28"/>
          <w:lang w:val="en-US" w:eastAsia="zh-CN"/>
        </w:rPr>
        <w:t>4</w:t>
      </w:r>
      <w:r>
        <w:rPr>
          <w:rFonts w:hint="eastAsia" w:ascii="仿宋_GB2312" w:eastAsia="仿宋_GB2312"/>
          <w:sz w:val="28"/>
          <w:szCs w:val="28"/>
        </w:rPr>
        <w:t>、“</w:t>
      </w:r>
      <w:r>
        <w:rPr>
          <w:rFonts w:hint="eastAsia" w:ascii="仿宋_GB2312" w:eastAsia="仿宋_GB2312"/>
          <w:sz w:val="28"/>
          <w:szCs w:val="28"/>
          <w:lang w:eastAsia="zh-CN"/>
        </w:rPr>
        <w:t>灾害防治及应急管理支出</w:t>
      </w:r>
      <w:r>
        <w:rPr>
          <w:rFonts w:hint="eastAsia" w:ascii="仿宋_GB2312" w:eastAsia="仿宋_GB2312"/>
          <w:sz w:val="28"/>
          <w:szCs w:val="28"/>
        </w:rPr>
        <w:t>”（类）2025年度年初预算</w:t>
      </w:r>
      <w:r>
        <w:rPr>
          <w:rFonts w:hint="eastAsia" w:ascii="仿宋_GB2312" w:eastAsia="仿宋_GB2312"/>
          <w:sz w:val="28"/>
          <w:szCs w:val="28"/>
          <w:lang w:val="en-US" w:eastAsia="zh-CN"/>
        </w:rPr>
        <w:t>28,343,580.56</w:t>
      </w:r>
      <w:r>
        <w:rPr>
          <w:rFonts w:hint="eastAsia" w:ascii="仿宋_GB2312" w:eastAsia="仿宋_GB2312"/>
          <w:sz w:val="28"/>
          <w:szCs w:val="28"/>
        </w:rPr>
        <w:t>元，2025年度决算</w:t>
      </w:r>
      <w:r>
        <w:rPr>
          <w:rFonts w:hint="eastAsia" w:ascii="仿宋_GB2312" w:eastAsia="仿宋_GB2312"/>
          <w:sz w:val="28"/>
          <w:szCs w:val="28"/>
          <w:highlight w:val="none"/>
          <w:lang w:val="en-US" w:eastAsia="zh-CN"/>
        </w:rPr>
        <w:t>54,837,668.39</w:t>
      </w:r>
      <w:r>
        <w:rPr>
          <w:rFonts w:hint="eastAsia" w:ascii="仿宋_GB2312" w:eastAsia="仿宋_GB2312"/>
          <w:sz w:val="28"/>
          <w:szCs w:val="28"/>
        </w:rPr>
        <w:t>元，完成年初预算的</w:t>
      </w:r>
      <w:r>
        <w:rPr>
          <w:rFonts w:hint="eastAsia" w:ascii="仿宋_GB2312" w:eastAsia="仿宋_GB2312"/>
          <w:sz w:val="28"/>
          <w:szCs w:val="28"/>
          <w:lang w:val="en-US" w:eastAsia="zh-CN"/>
        </w:rPr>
        <w:t>193.5</w:t>
      </w:r>
      <w:r>
        <w:rPr>
          <w:rFonts w:hint="eastAsia" w:ascii="仿宋_GB2312" w:eastAsia="仿宋_GB2312"/>
          <w:sz w:val="28"/>
          <w:szCs w:val="28"/>
        </w:rPr>
        <w:t>%。</w:t>
      </w:r>
    </w:p>
    <w:p>
      <w:pPr>
        <w:autoSpaceDE w:val="0"/>
        <w:autoSpaceDN w:val="0"/>
        <w:adjustRightInd w:val="0"/>
        <w:spacing w:line="580" w:lineRule="exact"/>
        <w:jc w:val="left"/>
        <w:rPr>
          <w:rFonts w:ascii="仿宋_GB2312" w:eastAsia="仿宋_GB2312"/>
          <w:sz w:val="28"/>
          <w:szCs w:val="28"/>
        </w:rPr>
      </w:pPr>
      <w:r>
        <w:rPr>
          <w:rFonts w:hint="eastAsia" w:ascii="仿宋_GB2312" w:eastAsia="仿宋_GB2312"/>
          <w:sz w:val="28"/>
          <w:szCs w:val="28"/>
        </w:rPr>
        <w:t>其中：</w:t>
      </w:r>
    </w:p>
    <w:p>
      <w:pPr>
        <w:spacing w:line="580" w:lineRule="exact"/>
        <w:ind w:firstLine="560" w:firstLineChars="200"/>
        <w:rPr>
          <w:rFonts w:hint="eastAsia" w:ascii="仿宋_GB2312" w:eastAsia="仿宋_GB2312"/>
          <w:sz w:val="28"/>
          <w:szCs w:val="28"/>
          <w:highlight w:val="none"/>
        </w:rPr>
      </w:pPr>
      <w:r>
        <w:rPr>
          <w:rFonts w:hint="eastAsia" w:ascii="仿宋_GB2312" w:eastAsia="仿宋_GB2312" w:cs="Times New Roman"/>
          <w:sz w:val="28"/>
          <w:szCs w:val="28"/>
          <w:lang w:eastAsia="zh-CN"/>
        </w:rPr>
        <w:t>“</w:t>
      </w:r>
      <w:r>
        <w:rPr>
          <w:rFonts w:hint="eastAsia" w:ascii="仿宋_GB2312" w:eastAsia="仿宋_GB2312" w:cs="Times New Roman"/>
          <w:sz w:val="28"/>
          <w:szCs w:val="28"/>
        </w:rPr>
        <w:t>应急管理事务</w:t>
      </w:r>
      <w:r>
        <w:rPr>
          <w:rFonts w:hint="eastAsia" w:ascii="仿宋_GB2312" w:eastAsia="仿宋_GB2312" w:cs="Times New Roman"/>
          <w:sz w:val="28"/>
          <w:szCs w:val="28"/>
          <w:lang w:eastAsia="zh-CN"/>
        </w:rPr>
        <w:t>”（</w:t>
      </w:r>
      <w:r>
        <w:rPr>
          <w:rFonts w:hint="eastAsia" w:ascii="仿宋_GB2312" w:eastAsia="仿宋_GB2312" w:cs="Times New Roman"/>
          <w:sz w:val="28"/>
          <w:szCs w:val="28"/>
        </w:rPr>
        <w:t>款）2025</w:t>
      </w:r>
      <w:r>
        <w:rPr>
          <w:rFonts w:hint="eastAsia" w:ascii="仿宋_GB2312" w:eastAsia="仿宋_GB2312"/>
          <w:sz w:val="28"/>
          <w:szCs w:val="28"/>
        </w:rPr>
        <w:t>年度年初预算</w:t>
      </w:r>
      <w:r>
        <w:rPr>
          <w:rFonts w:hint="eastAsia" w:ascii="仿宋_GB2312" w:eastAsia="仿宋_GB2312"/>
          <w:sz w:val="28"/>
          <w:szCs w:val="28"/>
          <w:lang w:val="en-US" w:eastAsia="zh-CN"/>
        </w:rPr>
        <w:t>28,343,580.56</w:t>
      </w:r>
      <w:r>
        <w:rPr>
          <w:rFonts w:hint="eastAsia" w:ascii="仿宋_GB2312" w:eastAsia="仿宋_GB2312"/>
          <w:sz w:val="28"/>
          <w:szCs w:val="28"/>
        </w:rPr>
        <w:t>元，2025年度决算</w:t>
      </w:r>
      <w:r>
        <w:rPr>
          <w:rFonts w:hint="eastAsia" w:ascii="仿宋_GB2312" w:eastAsia="仿宋_GB2312"/>
          <w:sz w:val="28"/>
          <w:szCs w:val="28"/>
          <w:lang w:val="en-US" w:eastAsia="zh-CN"/>
        </w:rPr>
        <w:t>42,802,123.07</w:t>
      </w:r>
      <w:r>
        <w:rPr>
          <w:rFonts w:hint="eastAsia" w:ascii="仿宋_GB2312" w:eastAsia="仿宋_GB2312"/>
          <w:sz w:val="28"/>
          <w:szCs w:val="28"/>
        </w:rPr>
        <w:t>元，完成年初预算的</w:t>
      </w:r>
      <w:r>
        <w:rPr>
          <w:rFonts w:hint="eastAsia" w:ascii="仿宋_GB2312" w:eastAsia="仿宋_GB2312"/>
          <w:sz w:val="28"/>
          <w:szCs w:val="28"/>
          <w:lang w:val="en-US" w:eastAsia="zh-CN"/>
        </w:rPr>
        <w:t>151.0</w:t>
      </w:r>
      <w:r>
        <w:rPr>
          <w:rFonts w:hint="eastAsia" w:ascii="仿宋_GB2312" w:eastAsia="仿宋_GB2312"/>
          <w:sz w:val="28"/>
          <w:szCs w:val="28"/>
        </w:rPr>
        <w:t>%。</w:t>
      </w:r>
      <w:r>
        <w:rPr>
          <w:rFonts w:hint="eastAsia" w:ascii="仿宋_GB2312" w:eastAsia="仿宋_GB2312"/>
          <w:sz w:val="28"/>
          <w:szCs w:val="28"/>
          <w:highlight w:val="none"/>
        </w:rPr>
        <w:t>主要原因：</w:t>
      </w:r>
      <w:r>
        <w:rPr>
          <w:rFonts w:hint="eastAsia" w:ascii="仿宋_GB2312" w:eastAsia="仿宋_GB2312"/>
          <w:sz w:val="28"/>
          <w:szCs w:val="28"/>
          <w:highlight w:val="none"/>
          <w:lang w:eastAsia="zh-CN"/>
        </w:rPr>
        <w:t>追加</w:t>
      </w:r>
      <w:r>
        <w:rPr>
          <w:rFonts w:hint="eastAsia" w:ascii="仿宋_GB2312" w:eastAsia="仿宋_GB2312"/>
          <w:sz w:val="28"/>
          <w:szCs w:val="28"/>
          <w:highlight w:val="none"/>
          <w:lang w:val="en-US" w:eastAsia="zh-CN"/>
        </w:rPr>
        <w:t>项目</w:t>
      </w:r>
      <w:r>
        <w:rPr>
          <w:rFonts w:hint="eastAsia" w:ascii="仿宋_GB2312" w:eastAsia="仿宋_GB2312"/>
          <w:sz w:val="28"/>
          <w:szCs w:val="28"/>
          <w:highlight w:val="none"/>
          <w:lang w:eastAsia="zh-CN"/>
        </w:rPr>
        <w:t>预算</w:t>
      </w:r>
      <w:r>
        <w:rPr>
          <w:rFonts w:hint="eastAsia" w:ascii="仿宋_GB2312" w:eastAsia="仿宋_GB2312"/>
          <w:sz w:val="28"/>
          <w:szCs w:val="28"/>
          <w:highlight w:val="none"/>
        </w:rPr>
        <w:t>。</w:t>
      </w:r>
    </w:p>
    <w:p>
      <w:pPr>
        <w:spacing w:line="580" w:lineRule="exact"/>
        <w:ind w:firstLine="560" w:firstLineChars="200"/>
        <w:rPr>
          <w:rFonts w:hint="eastAsia" w:eastAsia="仿宋_GB2312"/>
          <w:lang w:val="en-US" w:eastAsia="zh-CN"/>
        </w:rPr>
      </w:pPr>
      <w:r>
        <w:rPr>
          <w:rFonts w:hint="eastAsia" w:ascii="仿宋_GB2312" w:eastAsia="仿宋_GB2312" w:cs="Times New Roman"/>
          <w:sz w:val="28"/>
          <w:szCs w:val="28"/>
          <w:highlight w:val="none"/>
          <w:lang w:eastAsia="zh-CN"/>
        </w:rPr>
        <w:t>“自然灾害救灾及恢复重建支出”（</w:t>
      </w:r>
      <w:r>
        <w:rPr>
          <w:rFonts w:hint="eastAsia" w:ascii="仿宋_GB2312" w:eastAsia="仿宋_GB2312" w:cs="Times New Roman"/>
          <w:sz w:val="28"/>
          <w:szCs w:val="28"/>
          <w:highlight w:val="none"/>
        </w:rPr>
        <w:t>款）2025</w:t>
      </w:r>
      <w:r>
        <w:rPr>
          <w:rFonts w:hint="eastAsia" w:ascii="仿宋_GB2312" w:eastAsia="仿宋_GB2312"/>
          <w:sz w:val="28"/>
          <w:szCs w:val="28"/>
          <w:highlight w:val="none"/>
        </w:rPr>
        <w:t>年度年初预算</w:t>
      </w:r>
      <w:r>
        <w:rPr>
          <w:rFonts w:hint="eastAsia" w:ascii="仿宋_GB2312" w:eastAsia="仿宋_GB2312"/>
          <w:sz w:val="28"/>
          <w:szCs w:val="28"/>
          <w:highlight w:val="none"/>
          <w:lang w:val="en-US" w:eastAsia="zh-CN"/>
        </w:rPr>
        <w:t>0.00</w:t>
      </w:r>
      <w:r>
        <w:rPr>
          <w:rFonts w:hint="eastAsia" w:ascii="仿宋_GB2312" w:eastAsia="仿宋_GB2312"/>
          <w:sz w:val="28"/>
          <w:szCs w:val="28"/>
          <w:highlight w:val="none"/>
        </w:rPr>
        <w:t>元，2025年度决算</w:t>
      </w:r>
      <w:r>
        <w:rPr>
          <w:rFonts w:hint="eastAsia" w:ascii="仿宋_GB2312" w:eastAsia="仿宋_GB2312"/>
          <w:sz w:val="28"/>
          <w:szCs w:val="28"/>
          <w:highlight w:val="none"/>
          <w:lang w:val="en-US" w:eastAsia="zh-CN"/>
        </w:rPr>
        <w:t>12,035,545.32</w:t>
      </w:r>
      <w:r>
        <w:rPr>
          <w:rFonts w:hint="eastAsia" w:ascii="仿宋_GB2312" w:eastAsia="仿宋_GB2312"/>
          <w:sz w:val="28"/>
          <w:szCs w:val="28"/>
          <w:highlight w:val="none"/>
        </w:rPr>
        <w:t>元，完成年初预算的</w:t>
      </w:r>
      <w:r>
        <w:rPr>
          <w:rFonts w:hint="eastAsia" w:ascii="仿宋_GB2312" w:eastAsia="仿宋_GB2312"/>
          <w:sz w:val="28"/>
          <w:szCs w:val="28"/>
          <w:highlight w:val="none"/>
          <w:lang w:val="en-US" w:eastAsia="zh-CN"/>
        </w:rPr>
        <w:t>100.0</w:t>
      </w:r>
      <w:r>
        <w:rPr>
          <w:rFonts w:hint="eastAsia" w:ascii="仿宋_GB2312" w:eastAsia="仿宋_GB2312"/>
          <w:sz w:val="28"/>
          <w:szCs w:val="28"/>
          <w:highlight w:val="none"/>
        </w:rPr>
        <w:t>%。</w:t>
      </w:r>
      <w:r>
        <w:rPr>
          <w:rFonts w:hint="eastAsia" w:ascii="仿宋_GB2312" w:eastAsia="仿宋_GB2312"/>
          <w:sz w:val="28"/>
          <w:szCs w:val="28"/>
          <w:highlight w:val="none"/>
          <w:lang w:val="en-US" w:eastAsia="zh-CN"/>
        </w:rPr>
        <w:t>主要原因：按照实际工作需要年中追加项目预算。</w:t>
      </w:r>
    </w:p>
    <w:p>
      <w:pPr>
        <w:spacing w:line="580" w:lineRule="exact"/>
        <w:ind w:firstLine="560" w:firstLineChars="200"/>
        <w:rPr>
          <w:rFonts w:ascii="仿宋_GB2312" w:eastAsia="仿宋_GB2312"/>
          <w:sz w:val="28"/>
          <w:szCs w:val="28"/>
        </w:rPr>
      </w:pPr>
      <w:r>
        <w:rPr>
          <w:rFonts w:hint="eastAsia" w:ascii="黑体" w:eastAsia="黑体"/>
          <w:b/>
          <w:sz w:val="28"/>
          <w:szCs w:val="28"/>
        </w:rPr>
        <w:t>五、政府性基金预算财政拨款支出决算情况说明</w:t>
      </w:r>
    </w:p>
    <w:p>
      <w:pPr>
        <w:autoSpaceDE w:val="0"/>
        <w:autoSpaceDN w:val="0"/>
        <w:adjustRightInd w:val="0"/>
        <w:spacing w:line="580" w:lineRule="exact"/>
        <w:ind w:firstLine="560" w:firstLineChars="200"/>
        <w:jc w:val="left"/>
        <w:rPr>
          <w:rFonts w:ascii="仿宋_GB2312" w:eastAsia="仿宋_GB2312"/>
          <w:sz w:val="28"/>
          <w:szCs w:val="28"/>
        </w:rPr>
      </w:pPr>
      <w:r>
        <w:rPr>
          <w:rFonts w:hint="eastAsia" w:ascii="仿宋_GB2312" w:eastAsia="仿宋_GB2312"/>
          <w:sz w:val="28"/>
          <w:szCs w:val="28"/>
        </w:rPr>
        <w:t>（一）政府性基金预算财政拨款支出决算总体情况</w:t>
      </w:r>
    </w:p>
    <w:p>
      <w:pPr>
        <w:tabs>
          <w:tab w:val="center" w:pos="6979"/>
        </w:tabs>
        <w:spacing w:line="580" w:lineRule="exact"/>
        <w:ind w:firstLine="560" w:firstLineChars="200"/>
        <w:rPr>
          <w:rFonts w:ascii="仿宋_GB2312" w:eastAsia="仿宋_GB2312"/>
          <w:sz w:val="28"/>
          <w:szCs w:val="28"/>
        </w:rPr>
      </w:pPr>
      <w:r>
        <w:rPr>
          <w:rFonts w:hint="eastAsia" w:ascii="仿宋_GB2312" w:eastAsia="仿宋_GB2312"/>
          <w:sz w:val="28"/>
          <w:szCs w:val="28"/>
        </w:rPr>
        <w:t>2025年度政府性基金预算财政拨款支出</w:t>
      </w:r>
      <w:r>
        <w:rPr>
          <w:rFonts w:ascii="仿宋_GB2312" w:eastAsia="仿宋_GB2312"/>
          <w:sz w:val="28"/>
          <w:szCs w:val="28"/>
        </w:rPr>
        <w:t>68</w:t>
      </w:r>
      <w:r>
        <w:rPr>
          <w:rFonts w:hint="eastAsia" w:ascii="仿宋_GB2312" w:eastAsia="仿宋_GB2312"/>
          <w:sz w:val="28"/>
          <w:szCs w:val="28"/>
          <w:lang w:val="en-US" w:eastAsia="zh-CN"/>
        </w:rPr>
        <w:t>,</w:t>
      </w:r>
      <w:r>
        <w:rPr>
          <w:rFonts w:ascii="仿宋_GB2312" w:eastAsia="仿宋_GB2312"/>
          <w:sz w:val="28"/>
          <w:szCs w:val="28"/>
        </w:rPr>
        <w:t>357</w:t>
      </w:r>
      <w:r>
        <w:rPr>
          <w:rFonts w:hint="eastAsia" w:ascii="仿宋_GB2312" w:eastAsia="仿宋_GB2312"/>
          <w:sz w:val="28"/>
          <w:szCs w:val="28"/>
          <w:lang w:val="en-US" w:eastAsia="zh-CN"/>
        </w:rPr>
        <w:t>,</w:t>
      </w:r>
      <w:r>
        <w:rPr>
          <w:rFonts w:ascii="仿宋_GB2312" w:eastAsia="仿宋_GB2312"/>
          <w:sz w:val="28"/>
          <w:szCs w:val="28"/>
        </w:rPr>
        <w:t>651</w:t>
      </w:r>
      <w:r>
        <w:rPr>
          <w:rFonts w:hint="eastAsia" w:ascii="仿宋_GB2312" w:eastAsia="仿宋_GB2312"/>
          <w:sz w:val="28"/>
          <w:szCs w:val="28"/>
          <w:lang w:val="en-US" w:eastAsia="zh-CN"/>
        </w:rPr>
        <w:t>.00</w:t>
      </w:r>
      <w:r>
        <w:rPr>
          <w:rFonts w:hint="eastAsia" w:ascii="仿宋_GB2312" w:eastAsia="仿宋_GB2312"/>
          <w:sz w:val="28"/>
          <w:szCs w:val="28"/>
        </w:rPr>
        <w:t>元，主要用于以下方面（按大类）：主要用于以下方面（按大类）：</w:t>
      </w:r>
      <w:r>
        <w:rPr>
          <w:rFonts w:hint="eastAsia" w:ascii="仿宋_GB2312" w:eastAsia="仿宋_GB2312"/>
          <w:sz w:val="28"/>
          <w:szCs w:val="28"/>
          <w:lang w:eastAsia="zh-CN"/>
        </w:rPr>
        <w:t>灾害防治及应急管理支出</w:t>
      </w:r>
      <w:r>
        <w:rPr>
          <w:rFonts w:ascii="仿宋_GB2312" w:eastAsia="仿宋_GB2312"/>
          <w:sz w:val="28"/>
          <w:szCs w:val="28"/>
        </w:rPr>
        <w:t>68</w:t>
      </w:r>
      <w:r>
        <w:rPr>
          <w:rFonts w:hint="eastAsia" w:ascii="仿宋_GB2312" w:eastAsia="仿宋_GB2312"/>
          <w:sz w:val="28"/>
          <w:szCs w:val="28"/>
          <w:lang w:val="en-US" w:eastAsia="zh-CN"/>
        </w:rPr>
        <w:t>,</w:t>
      </w:r>
      <w:r>
        <w:rPr>
          <w:rFonts w:ascii="仿宋_GB2312" w:eastAsia="仿宋_GB2312"/>
          <w:sz w:val="28"/>
          <w:szCs w:val="28"/>
        </w:rPr>
        <w:t>357</w:t>
      </w:r>
      <w:r>
        <w:rPr>
          <w:rFonts w:hint="eastAsia" w:ascii="仿宋_GB2312" w:eastAsia="仿宋_GB2312"/>
          <w:sz w:val="28"/>
          <w:szCs w:val="28"/>
          <w:lang w:val="en-US" w:eastAsia="zh-CN"/>
        </w:rPr>
        <w:t>,</w:t>
      </w:r>
      <w:r>
        <w:rPr>
          <w:rFonts w:ascii="仿宋_GB2312" w:eastAsia="仿宋_GB2312"/>
          <w:sz w:val="28"/>
          <w:szCs w:val="28"/>
        </w:rPr>
        <w:t>651</w:t>
      </w:r>
      <w:r>
        <w:rPr>
          <w:rFonts w:hint="eastAsia" w:ascii="仿宋_GB2312" w:eastAsia="仿宋_GB2312"/>
          <w:sz w:val="28"/>
          <w:szCs w:val="28"/>
          <w:lang w:val="en-US" w:eastAsia="zh-CN"/>
        </w:rPr>
        <w:t>.00</w:t>
      </w:r>
      <w:r>
        <w:rPr>
          <w:rFonts w:hint="eastAsia" w:ascii="仿宋_GB2312" w:eastAsia="仿宋_GB2312"/>
          <w:sz w:val="28"/>
          <w:szCs w:val="28"/>
        </w:rPr>
        <w:t>元，占本年财政拨款支出</w:t>
      </w:r>
      <w:r>
        <w:rPr>
          <w:rFonts w:hint="eastAsia" w:ascii="仿宋_GB2312" w:eastAsia="仿宋_GB2312"/>
          <w:sz w:val="28"/>
          <w:szCs w:val="28"/>
          <w:lang w:val="en-US" w:eastAsia="zh-CN"/>
        </w:rPr>
        <w:t>55.3</w:t>
      </w:r>
      <w:r>
        <w:rPr>
          <w:rFonts w:hint="eastAsia" w:ascii="仿宋_GB2312" w:eastAsia="仿宋_GB2312"/>
          <w:sz w:val="28"/>
          <w:szCs w:val="28"/>
        </w:rPr>
        <w:t>%。</w:t>
      </w:r>
    </w:p>
    <w:p>
      <w:pPr>
        <w:autoSpaceDE w:val="0"/>
        <w:autoSpaceDN w:val="0"/>
        <w:adjustRightInd w:val="0"/>
        <w:spacing w:line="580" w:lineRule="exact"/>
        <w:ind w:firstLine="560" w:firstLineChars="200"/>
        <w:jc w:val="left"/>
        <w:rPr>
          <w:rFonts w:ascii="仿宋_GB2312" w:eastAsia="仿宋_GB2312"/>
          <w:sz w:val="28"/>
          <w:szCs w:val="28"/>
        </w:rPr>
      </w:pPr>
      <w:r>
        <w:rPr>
          <w:rFonts w:hint="eastAsia" w:ascii="仿宋_GB2312" w:eastAsia="仿宋_GB2312"/>
          <w:sz w:val="28"/>
          <w:szCs w:val="28"/>
        </w:rPr>
        <w:t>（二）政府性基金预算财政拨款支出决算具体情况</w:t>
      </w:r>
    </w:p>
    <w:p>
      <w:pPr>
        <w:autoSpaceDE w:val="0"/>
        <w:autoSpaceDN w:val="0"/>
        <w:adjustRightInd w:val="0"/>
        <w:spacing w:line="580" w:lineRule="exact"/>
        <w:ind w:firstLine="700" w:firstLineChars="250"/>
        <w:jc w:val="left"/>
        <w:rPr>
          <w:rFonts w:ascii="仿宋_GB2312" w:eastAsia="仿宋_GB2312"/>
          <w:sz w:val="28"/>
          <w:szCs w:val="28"/>
          <w:highlight w:val="none"/>
        </w:rPr>
      </w:pPr>
      <w:r>
        <w:rPr>
          <w:rFonts w:hint="eastAsia" w:ascii="仿宋_GB2312" w:eastAsia="仿宋_GB2312"/>
          <w:sz w:val="28"/>
          <w:szCs w:val="28"/>
        </w:rPr>
        <w:t>1、“</w:t>
      </w:r>
      <w:r>
        <w:rPr>
          <w:rFonts w:hint="eastAsia" w:ascii="仿宋_GB2312" w:eastAsia="仿宋_GB2312"/>
          <w:sz w:val="28"/>
          <w:szCs w:val="28"/>
          <w:lang w:eastAsia="zh-CN"/>
        </w:rPr>
        <w:t>灾害防治及应急管理支出</w:t>
      </w:r>
      <w:r>
        <w:rPr>
          <w:rFonts w:hint="eastAsia" w:ascii="仿宋_GB2312" w:eastAsia="仿宋_GB2312"/>
          <w:sz w:val="28"/>
          <w:szCs w:val="28"/>
        </w:rPr>
        <w:t>”（类）2025年度年初预算</w:t>
      </w:r>
      <w:r>
        <w:rPr>
          <w:rFonts w:hint="eastAsia" w:ascii="仿宋_GB2312" w:eastAsia="仿宋_GB2312"/>
          <w:sz w:val="28"/>
          <w:szCs w:val="28"/>
          <w:lang w:val="en-US" w:eastAsia="zh-CN"/>
        </w:rPr>
        <w:t>0.00</w:t>
      </w:r>
      <w:r>
        <w:rPr>
          <w:rFonts w:hint="eastAsia" w:ascii="仿宋_GB2312" w:eastAsia="仿宋_GB2312"/>
          <w:sz w:val="28"/>
          <w:szCs w:val="28"/>
        </w:rPr>
        <w:t>元，2025年度决算</w:t>
      </w:r>
      <w:r>
        <w:rPr>
          <w:rFonts w:ascii="仿宋_GB2312" w:eastAsia="仿宋_GB2312"/>
          <w:sz w:val="28"/>
          <w:szCs w:val="28"/>
        </w:rPr>
        <w:t>68</w:t>
      </w:r>
      <w:r>
        <w:rPr>
          <w:rFonts w:hint="eastAsia" w:ascii="仿宋_GB2312" w:eastAsia="仿宋_GB2312"/>
          <w:sz w:val="28"/>
          <w:szCs w:val="28"/>
          <w:lang w:val="en-US" w:eastAsia="zh-CN"/>
        </w:rPr>
        <w:t>,</w:t>
      </w:r>
      <w:r>
        <w:rPr>
          <w:rFonts w:ascii="仿宋_GB2312" w:eastAsia="仿宋_GB2312"/>
          <w:sz w:val="28"/>
          <w:szCs w:val="28"/>
        </w:rPr>
        <w:t>357</w:t>
      </w:r>
      <w:r>
        <w:rPr>
          <w:rFonts w:hint="eastAsia" w:ascii="仿宋_GB2312" w:eastAsia="仿宋_GB2312"/>
          <w:sz w:val="28"/>
          <w:szCs w:val="28"/>
          <w:lang w:val="en-US" w:eastAsia="zh-CN"/>
        </w:rPr>
        <w:t>,</w:t>
      </w:r>
      <w:r>
        <w:rPr>
          <w:rFonts w:ascii="仿宋_GB2312" w:eastAsia="仿宋_GB2312"/>
          <w:sz w:val="28"/>
          <w:szCs w:val="28"/>
        </w:rPr>
        <w:t>651</w:t>
      </w:r>
      <w:r>
        <w:rPr>
          <w:rFonts w:hint="eastAsia" w:ascii="仿宋_GB2312" w:eastAsia="仿宋_GB2312"/>
          <w:sz w:val="28"/>
          <w:szCs w:val="28"/>
          <w:lang w:val="en-US" w:eastAsia="zh-CN"/>
        </w:rPr>
        <w:t>.00</w:t>
      </w:r>
      <w:r>
        <w:rPr>
          <w:rFonts w:hint="eastAsia" w:ascii="仿宋_GB2312" w:eastAsia="仿宋_GB2312"/>
          <w:sz w:val="28"/>
          <w:szCs w:val="28"/>
        </w:rPr>
        <w:t>元，</w:t>
      </w:r>
      <w:r>
        <w:rPr>
          <w:rFonts w:hint="eastAsia" w:ascii="仿宋_GB2312" w:eastAsia="仿宋_GB2312"/>
          <w:sz w:val="28"/>
          <w:szCs w:val="28"/>
          <w:highlight w:val="none"/>
        </w:rPr>
        <w:t>完成年初预算的</w:t>
      </w:r>
      <w:r>
        <w:rPr>
          <w:rFonts w:hint="eastAsia" w:ascii="仿宋_GB2312" w:eastAsia="仿宋_GB2312"/>
          <w:sz w:val="28"/>
          <w:szCs w:val="28"/>
          <w:highlight w:val="none"/>
          <w:lang w:val="en-US" w:eastAsia="zh-CN"/>
        </w:rPr>
        <w:t>100.0</w:t>
      </w:r>
      <w:r>
        <w:rPr>
          <w:rFonts w:hint="eastAsia" w:ascii="仿宋_GB2312" w:eastAsia="仿宋_GB2312"/>
          <w:sz w:val="28"/>
          <w:szCs w:val="28"/>
          <w:highlight w:val="none"/>
        </w:rPr>
        <w:t>%。其中：</w:t>
      </w:r>
    </w:p>
    <w:p>
      <w:pPr>
        <w:spacing w:line="58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w:t>
      </w:r>
      <w:r>
        <w:rPr>
          <w:rFonts w:hint="eastAsia" w:ascii="仿宋_GB2312" w:eastAsia="仿宋_GB2312"/>
          <w:sz w:val="28"/>
          <w:szCs w:val="28"/>
          <w:highlight w:val="none"/>
          <w:lang w:eastAsia="zh-CN"/>
        </w:rPr>
        <w:t>超长期特别国债</w:t>
      </w:r>
      <w:r>
        <w:rPr>
          <w:rFonts w:hint="eastAsia" w:ascii="仿宋_GB2312" w:eastAsia="仿宋_GB2312"/>
          <w:sz w:val="28"/>
          <w:szCs w:val="28"/>
          <w:highlight w:val="none"/>
        </w:rPr>
        <w:t>安排的支出”（款）2025年度年初预算</w:t>
      </w:r>
      <w:r>
        <w:rPr>
          <w:rFonts w:hint="eastAsia" w:ascii="仿宋_GB2312" w:eastAsia="仿宋_GB2312"/>
          <w:sz w:val="28"/>
          <w:szCs w:val="28"/>
          <w:highlight w:val="none"/>
          <w:lang w:val="en-US" w:eastAsia="zh-CN"/>
        </w:rPr>
        <w:t>0.00</w:t>
      </w:r>
      <w:r>
        <w:rPr>
          <w:rFonts w:hint="eastAsia" w:ascii="仿宋_GB2312" w:eastAsia="仿宋_GB2312"/>
          <w:sz w:val="28"/>
          <w:szCs w:val="28"/>
          <w:highlight w:val="none"/>
        </w:rPr>
        <w:t>元，2025年度决算</w:t>
      </w:r>
      <w:r>
        <w:rPr>
          <w:rFonts w:ascii="仿宋_GB2312" w:eastAsia="仿宋_GB2312"/>
          <w:sz w:val="28"/>
          <w:szCs w:val="28"/>
        </w:rPr>
        <w:t>68</w:t>
      </w:r>
      <w:r>
        <w:rPr>
          <w:rFonts w:hint="eastAsia" w:ascii="仿宋_GB2312" w:eastAsia="仿宋_GB2312"/>
          <w:sz w:val="28"/>
          <w:szCs w:val="28"/>
          <w:lang w:val="en-US" w:eastAsia="zh-CN"/>
        </w:rPr>
        <w:t>,</w:t>
      </w:r>
      <w:r>
        <w:rPr>
          <w:rFonts w:ascii="仿宋_GB2312" w:eastAsia="仿宋_GB2312"/>
          <w:sz w:val="28"/>
          <w:szCs w:val="28"/>
        </w:rPr>
        <w:t>357</w:t>
      </w:r>
      <w:r>
        <w:rPr>
          <w:rFonts w:hint="eastAsia" w:ascii="仿宋_GB2312" w:eastAsia="仿宋_GB2312"/>
          <w:sz w:val="28"/>
          <w:szCs w:val="28"/>
          <w:lang w:val="en-US" w:eastAsia="zh-CN"/>
        </w:rPr>
        <w:t>,</w:t>
      </w:r>
      <w:r>
        <w:rPr>
          <w:rFonts w:ascii="仿宋_GB2312" w:eastAsia="仿宋_GB2312"/>
          <w:sz w:val="28"/>
          <w:szCs w:val="28"/>
        </w:rPr>
        <w:t>651</w:t>
      </w:r>
      <w:r>
        <w:rPr>
          <w:rFonts w:hint="eastAsia" w:ascii="仿宋_GB2312" w:eastAsia="仿宋_GB2312"/>
          <w:sz w:val="28"/>
          <w:szCs w:val="28"/>
          <w:lang w:val="en-US" w:eastAsia="zh-CN"/>
        </w:rPr>
        <w:t>.00</w:t>
      </w:r>
      <w:r>
        <w:rPr>
          <w:rFonts w:hint="eastAsia" w:ascii="仿宋_GB2312" w:eastAsia="仿宋_GB2312"/>
          <w:sz w:val="28"/>
          <w:szCs w:val="28"/>
          <w:highlight w:val="none"/>
        </w:rPr>
        <w:t>元，完成年初预算的</w:t>
      </w:r>
      <w:r>
        <w:rPr>
          <w:rFonts w:hint="eastAsia" w:ascii="仿宋_GB2312" w:eastAsia="仿宋_GB2312"/>
          <w:sz w:val="28"/>
          <w:szCs w:val="28"/>
          <w:highlight w:val="none"/>
          <w:lang w:val="en-US" w:eastAsia="zh-CN"/>
        </w:rPr>
        <w:t>100.0</w:t>
      </w:r>
      <w:r>
        <w:rPr>
          <w:rFonts w:hint="eastAsia" w:ascii="仿宋_GB2312" w:eastAsia="仿宋_GB2312"/>
          <w:sz w:val="28"/>
          <w:szCs w:val="28"/>
          <w:highlight w:val="none"/>
        </w:rPr>
        <w:t>%。</w:t>
      </w:r>
      <w:r>
        <w:rPr>
          <w:rFonts w:hint="eastAsia" w:ascii="仿宋_GB2312" w:eastAsia="仿宋_GB2312"/>
          <w:sz w:val="28"/>
          <w:szCs w:val="28"/>
          <w:highlight w:val="none"/>
          <w:lang w:val="en-US" w:eastAsia="zh-CN"/>
        </w:rPr>
        <w:t>主要原因：按照防灾减灾工作需要年中追加相关项目款</w:t>
      </w:r>
      <w:r>
        <w:rPr>
          <w:rFonts w:hint="eastAsia" w:ascii="仿宋_GB2312" w:eastAsia="仿宋_GB2312"/>
          <w:sz w:val="28"/>
          <w:szCs w:val="28"/>
          <w:highlight w:val="none"/>
        </w:rPr>
        <w:t>。</w:t>
      </w:r>
    </w:p>
    <w:p>
      <w:pPr>
        <w:spacing w:line="580" w:lineRule="exact"/>
        <w:ind w:firstLine="560" w:firstLineChars="200"/>
        <w:rPr>
          <w:rFonts w:ascii="黑体" w:eastAsia="黑体"/>
          <w:b/>
          <w:sz w:val="28"/>
          <w:szCs w:val="28"/>
        </w:rPr>
      </w:pPr>
      <w:r>
        <w:rPr>
          <w:rFonts w:hint="eastAsia" w:ascii="黑体" w:eastAsia="黑体"/>
          <w:b/>
          <w:sz w:val="28"/>
          <w:szCs w:val="28"/>
        </w:rPr>
        <w:t>六、国有资本经营预算财</w:t>
      </w:r>
      <w:r>
        <w:rPr>
          <w:rFonts w:ascii="黑体" w:eastAsia="黑体"/>
          <w:b/>
          <w:sz w:val="28"/>
          <w:szCs w:val="28"/>
        </w:rPr>
        <w:t>政拨款</w:t>
      </w:r>
      <w:r>
        <w:rPr>
          <w:rFonts w:hint="eastAsia" w:ascii="黑体" w:eastAsia="黑体"/>
          <w:b/>
          <w:sz w:val="28"/>
          <w:szCs w:val="28"/>
        </w:rPr>
        <w:t>收支情况</w:t>
      </w:r>
    </w:p>
    <w:p>
      <w:pPr>
        <w:spacing w:line="580" w:lineRule="exact"/>
        <w:ind w:firstLine="548" w:firstLineChars="196"/>
        <w:rPr>
          <w:rFonts w:hint="eastAsia" w:ascii="仿宋_GB2312" w:eastAsia="仿宋_GB2312"/>
          <w:sz w:val="28"/>
          <w:szCs w:val="28"/>
          <w:lang w:eastAsia="zh-CN"/>
        </w:rPr>
      </w:pPr>
      <w:r>
        <w:rPr>
          <w:rFonts w:hint="eastAsia" w:ascii="仿宋_GB2312" w:eastAsia="仿宋_GB2312"/>
          <w:sz w:val="28"/>
          <w:szCs w:val="28"/>
        </w:rPr>
        <w:t>本单位无</w:t>
      </w:r>
      <w:r>
        <w:rPr>
          <w:rFonts w:ascii="仿宋_GB2312" w:eastAsia="仿宋_GB2312"/>
          <w:sz w:val="28"/>
          <w:szCs w:val="28"/>
        </w:rPr>
        <w:t>此项经费支出</w:t>
      </w:r>
      <w:r>
        <w:rPr>
          <w:rFonts w:hint="eastAsia" w:ascii="仿宋_GB2312" w:eastAsia="仿宋_GB2312"/>
          <w:sz w:val="28"/>
          <w:szCs w:val="28"/>
          <w:lang w:eastAsia="zh-CN"/>
        </w:rPr>
        <w:t>。</w:t>
      </w:r>
    </w:p>
    <w:p>
      <w:pPr>
        <w:spacing w:line="580" w:lineRule="exact"/>
        <w:ind w:firstLine="548" w:firstLineChars="196"/>
        <w:rPr>
          <w:rFonts w:ascii="黑体" w:eastAsia="黑体"/>
          <w:sz w:val="28"/>
          <w:szCs w:val="28"/>
        </w:rPr>
      </w:pPr>
      <w:r>
        <w:rPr>
          <w:rFonts w:hint="eastAsia" w:ascii="黑体" w:eastAsia="黑体"/>
          <w:b/>
          <w:sz w:val="28"/>
          <w:szCs w:val="28"/>
        </w:rPr>
        <w:t>七、财政拨款基本支出决算情况说明</w:t>
      </w:r>
    </w:p>
    <w:p>
      <w:pPr>
        <w:tabs>
          <w:tab w:val="center" w:pos="6979"/>
        </w:tabs>
        <w:spacing w:line="580" w:lineRule="exact"/>
        <w:ind w:firstLine="548" w:firstLineChars="196"/>
        <w:rPr>
          <w:rFonts w:ascii="黑体" w:eastAsia="黑体"/>
          <w:b/>
          <w:sz w:val="28"/>
          <w:szCs w:val="28"/>
        </w:rPr>
      </w:pPr>
      <w:r>
        <w:rPr>
          <w:rFonts w:hint="eastAsia" w:ascii="仿宋_GB2312" w:eastAsia="仿宋_GB2312"/>
          <w:sz w:val="28"/>
          <w:szCs w:val="28"/>
        </w:rPr>
        <w:t>2025年度使用一般公共预算财政拨款安排基本支出</w:t>
      </w:r>
      <w:r>
        <w:rPr>
          <w:rFonts w:ascii="仿宋_GB2312" w:eastAsia="仿宋_GB2312"/>
          <w:sz w:val="28"/>
          <w:szCs w:val="28"/>
        </w:rPr>
        <w:t>18</w:t>
      </w:r>
      <w:r>
        <w:rPr>
          <w:rFonts w:hint="eastAsia" w:ascii="仿宋_GB2312" w:eastAsia="仿宋_GB2312"/>
          <w:sz w:val="28"/>
          <w:szCs w:val="28"/>
          <w:lang w:val="en-US" w:eastAsia="zh-CN"/>
        </w:rPr>
        <w:t>,</w:t>
      </w:r>
      <w:r>
        <w:rPr>
          <w:rFonts w:ascii="仿宋_GB2312" w:eastAsia="仿宋_GB2312"/>
          <w:sz w:val="28"/>
          <w:szCs w:val="28"/>
        </w:rPr>
        <w:t>612</w:t>
      </w:r>
      <w:r>
        <w:rPr>
          <w:rFonts w:hint="eastAsia" w:ascii="仿宋_GB2312" w:eastAsia="仿宋_GB2312"/>
          <w:sz w:val="28"/>
          <w:szCs w:val="28"/>
          <w:lang w:val="en-US" w:eastAsia="zh-CN"/>
        </w:rPr>
        <w:t>,</w:t>
      </w:r>
      <w:r>
        <w:rPr>
          <w:rFonts w:ascii="仿宋_GB2312" w:eastAsia="仿宋_GB2312"/>
          <w:sz w:val="28"/>
          <w:szCs w:val="28"/>
        </w:rPr>
        <w:t>064</w:t>
      </w:r>
      <w:r>
        <w:rPr>
          <w:rFonts w:hint="eastAsia" w:ascii="仿宋_GB2312" w:eastAsia="仿宋_GB2312"/>
          <w:sz w:val="28"/>
          <w:szCs w:val="28"/>
          <w:lang w:val="en-US" w:eastAsia="zh-CN"/>
        </w:rPr>
        <w:t>.00</w:t>
      </w:r>
      <w:r>
        <w:rPr>
          <w:rFonts w:hint="eastAsia" w:ascii="仿宋_GB2312" w:eastAsia="仿宋_GB2312"/>
          <w:sz w:val="28"/>
          <w:szCs w:val="28"/>
        </w:rPr>
        <w:t>元，使用政府性基金财政拨款安排基本支出</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元，（1）工资福利支出包括基本工资</w:t>
      </w:r>
      <w:r>
        <w:rPr>
          <w:rFonts w:ascii="仿宋_GB2312" w:eastAsia="仿宋_GB2312"/>
          <w:sz w:val="28"/>
          <w:szCs w:val="28"/>
        </w:rPr>
        <w:t>、津贴补贴、奖金、伙食补助费、绩效工资、</w:t>
      </w:r>
      <w:r>
        <w:rPr>
          <w:rFonts w:hint="eastAsia" w:ascii="仿宋_GB2312" w:eastAsia="仿宋_GB2312"/>
          <w:sz w:val="28"/>
          <w:szCs w:val="28"/>
        </w:rPr>
        <w:t>其他</w:t>
      </w:r>
      <w:r>
        <w:rPr>
          <w:rFonts w:ascii="仿宋_GB2312" w:eastAsia="仿宋_GB2312"/>
          <w:sz w:val="28"/>
          <w:szCs w:val="28"/>
        </w:rPr>
        <w:t>社会保障缴费、其他工资福利</w:t>
      </w:r>
      <w:r>
        <w:rPr>
          <w:rFonts w:hint="eastAsia" w:ascii="仿宋_GB2312" w:eastAsia="仿宋_GB2312"/>
          <w:sz w:val="28"/>
          <w:szCs w:val="28"/>
        </w:rPr>
        <w:t>等</w:t>
      </w:r>
      <w:r>
        <w:rPr>
          <w:rFonts w:ascii="仿宋_GB2312" w:eastAsia="仿宋_GB2312"/>
          <w:sz w:val="28"/>
          <w:szCs w:val="28"/>
        </w:rPr>
        <w:t>支出</w:t>
      </w:r>
      <w:r>
        <w:rPr>
          <w:rFonts w:hint="eastAsia" w:ascii="仿宋_GB2312" w:eastAsia="仿宋_GB2312"/>
          <w:sz w:val="28"/>
          <w:szCs w:val="28"/>
          <w:lang w:val="en-US" w:eastAsia="zh-CN"/>
        </w:rPr>
        <w:t>17,753,772.47元</w:t>
      </w:r>
      <w:r>
        <w:rPr>
          <w:rFonts w:hint="eastAsia" w:ascii="仿宋_GB2312" w:eastAsia="仿宋_GB2312"/>
          <w:sz w:val="28"/>
          <w:szCs w:val="28"/>
        </w:rPr>
        <w:t>；（2）商品和服务支出包括</w:t>
      </w:r>
      <w:r>
        <w:rPr>
          <w:rFonts w:ascii="仿宋_GB2312" w:eastAsia="仿宋_GB2312"/>
          <w:sz w:val="28"/>
          <w:szCs w:val="28"/>
        </w:rPr>
        <w:t>办公费、印刷费、手续费、水费、电费、邮电费、取暖费、物业管理费、差旅费、因公出国（境）费、维修（护）费、租赁费、会议费、培训费、公务接待费、专用材料费、劳务费、委托业务费、工会经费、福利费、公务用车运行维护费、其他交通费</w:t>
      </w:r>
      <w:r>
        <w:rPr>
          <w:rFonts w:hint="eastAsia" w:ascii="仿宋_GB2312" w:eastAsia="仿宋_GB2312"/>
          <w:sz w:val="28"/>
          <w:szCs w:val="28"/>
        </w:rPr>
        <w:t>用</w:t>
      </w:r>
      <w:r>
        <w:rPr>
          <w:rFonts w:ascii="仿宋_GB2312" w:eastAsia="仿宋_GB2312"/>
          <w:sz w:val="28"/>
          <w:szCs w:val="28"/>
        </w:rPr>
        <w:t>、其他商品和服务</w:t>
      </w:r>
      <w:r>
        <w:rPr>
          <w:rFonts w:hint="eastAsia" w:ascii="仿宋_GB2312" w:eastAsia="仿宋_GB2312"/>
          <w:sz w:val="28"/>
          <w:szCs w:val="28"/>
        </w:rPr>
        <w:t>等</w:t>
      </w:r>
      <w:r>
        <w:rPr>
          <w:rFonts w:ascii="仿宋_GB2312" w:eastAsia="仿宋_GB2312"/>
          <w:sz w:val="28"/>
          <w:szCs w:val="28"/>
        </w:rPr>
        <w:t>支出</w:t>
      </w:r>
      <w:r>
        <w:rPr>
          <w:rFonts w:hint="eastAsia" w:ascii="仿宋_GB2312" w:eastAsia="仿宋_GB2312"/>
          <w:sz w:val="28"/>
          <w:szCs w:val="28"/>
          <w:lang w:val="en-US" w:eastAsia="zh-CN"/>
        </w:rPr>
        <w:t>715,345.53元</w:t>
      </w:r>
      <w:r>
        <w:rPr>
          <w:rFonts w:hint="eastAsia" w:ascii="仿宋_GB2312" w:eastAsia="仿宋_GB2312"/>
          <w:sz w:val="28"/>
          <w:szCs w:val="28"/>
        </w:rPr>
        <w:t>；（3）对个人和家庭补助支出包括</w:t>
      </w:r>
      <w:r>
        <w:rPr>
          <w:rFonts w:ascii="仿宋_GB2312" w:eastAsia="仿宋_GB2312"/>
          <w:sz w:val="28"/>
          <w:szCs w:val="28"/>
        </w:rPr>
        <w:t>离休费、退休费、抚恤金、生活补助、</w:t>
      </w:r>
      <w:r>
        <w:rPr>
          <w:rFonts w:hint="eastAsia" w:ascii="仿宋_GB2312" w:eastAsia="仿宋_GB2312"/>
          <w:sz w:val="28"/>
          <w:szCs w:val="28"/>
        </w:rPr>
        <w:t>救济费</w:t>
      </w:r>
      <w:r>
        <w:rPr>
          <w:rFonts w:ascii="仿宋_GB2312" w:eastAsia="仿宋_GB2312"/>
          <w:sz w:val="28"/>
          <w:szCs w:val="28"/>
        </w:rPr>
        <w:t>、医疗费</w:t>
      </w:r>
      <w:r>
        <w:rPr>
          <w:rFonts w:hint="eastAsia" w:ascii="仿宋_GB2312" w:eastAsia="仿宋_GB2312"/>
          <w:sz w:val="28"/>
          <w:szCs w:val="28"/>
        </w:rPr>
        <w:t>补助</w:t>
      </w:r>
      <w:r>
        <w:rPr>
          <w:rFonts w:ascii="仿宋_GB2312" w:eastAsia="仿宋_GB2312"/>
          <w:sz w:val="28"/>
          <w:szCs w:val="28"/>
        </w:rPr>
        <w:t>、助学金、奖励金</w:t>
      </w:r>
      <w:r>
        <w:rPr>
          <w:rFonts w:hint="eastAsia" w:ascii="仿宋_GB2312" w:eastAsia="仿宋_GB2312"/>
          <w:sz w:val="28"/>
          <w:szCs w:val="28"/>
        </w:rPr>
        <w:t>、</w:t>
      </w:r>
      <w:r>
        <w:rPr>
          <w:rFonts w:ascii="仿宋_GB2312" w:eastAsia="仿宋_GB2312"/>
          <w:sz w:val="28"/>
          <w:szCs w:val="28"/>
        </w:rPr>
        <w:t>其他对个人和家庭的补助</w:t>
      </w:r>
      <w:r>
        <w:rPr>
          <w:rFonts w:hint="eastAsia" w:ascii="仿宋_GB2312" w:eastAsia="仿宋_GB2312"/>
          <w:sz w:val="28"/>
          <w:szCs w:val="28"/>
        </w:rPr>
        <w:t>等</w:t>
      </w:r>
      <w:r>
        <w:rPr>
          <w:rFonts w:ascii="仿宋_GB2312" w:eastAsia="仿宋_GB2312"/>
          <w:sz w:val="28"/>
          <w:szCs w:val="28"/>
        </w:rPr>
        <w:t>支出</w:t>
      </w:r>
      <w:r>
        <w:rPr>
          <w:rFonts w:hint="eastAsia" w:ascii="仿宋_GB2312" w:eastAsia="仿宋_GB2312"/>
          <w:sz w:val="28"/>
          <w:szCs w:val="28"/>
          <w:lang w:val="en-US" w:eastAsia="zh-CN"/>
        </w:rPr>
        <w:t>142,946.00元</w:t>
      </w:r>
      <w:r>
        <w:rPr>
          <w:rFonts w:hint="eastAsia" w:ascii="仿宋_GB2312" w:eastAsia="仿宋_GB2312"/>
          <w:sz w:val="28"/>
          <w:szCs w:val="28"/>
        </w:rPr>
        <w:t>。（4）其他资本性支出包括</w:t>
      </w:r>
      <w:r>
        <w:rPr>
          <w:rFonts w:ascii="仿宋_GB2312" w:eastAsia="仿宋_GB2312"/>
          <w:sz w:val="28"/>
          <w:szCs w:val="28"/>
        </w:rPr>
        <w:t>办公设备购置、专用设备购置</w:t>
      </w:r>
      <w:r>
        <w:rPr>
          <w:rFonts w:hint="eastAsia" w:ascii="仿宋_GB2312" w:eastAsia="仿宋_GB2312"/>
          <w:sz w:val="28"/>
          <w:szCs w:val="28"/>
        </w:rPr>
        <w:t>等</w:t>
      </w:r>
      <w:r>
        <w:rPr>
          <w:rFonts w:hint="eastAsia" w:ascii="仿宋_GB2312" w:eastAsia="仿宋_GB2312"/>
          <w:sz w:val="28"/>
          <w:szCs w:val="28"/>
          <w:lang w:eastAsia="zh-CN"/>
        </w:rPr>
        <w:t>支出</w:t>
      </w:r>
      <w:r>
        <w:rPr>
          <w:rFonts w:hint="eastAsia" w:ascii="仿宋_GB2312" w:eastAsia="仿宋_GB2312"/>
          <w:sz w:val="28"/>
          <w:szCs w:val="28"/>
          <w:lang w:val="en-US" w:eastAsia="zh-CN"/>
        </w:rPr>
        <w:t>0.00元</w:t>
      </w:r>
      <w:r>
        <w:rPr>
          <w:rFonts w:ascii="仿宋_GB2312" w:eastAsia="仿宋_GB2312"/>
          <w:sz w:val="28"/>
          <w:szCs w:val="28"/>
        </w:rPr>
        <w:t>。</w:t>
      </w:r>
    </w:p>
    <w:p>
      <w:pPr>
        <w:autoSpaceDE w:val="0"/>
        <w:autoSpaceDN w:val="0"/>
        <w:adjustRightInd w:val="0"/>
        <w:spacing w:line="580" w:lineRule="exact"/>
        <w:rPr>
          <w:rFonts w:ascii="宋体" w:hAnsi="宋体"/>
          <w:b/>
          <w:spacing w:val="40"/>
          <w:sz w:val="32"/>
          <w:szCs w:val="32"/>
        </w:rPr>
      </w:pPr>
      <w:r>
        <w:rPr>
          <w:rFonts w:ascii="仿宋_GB2312" w:eastAsia="仿宋_GB2312"/>
          <w:b/>
          <w:sz w:val="32"/>
          <w:szCs w:val="32"/>
        </w:rPr>
        <w:tab/>
      </w:r>
    </w:p>
    <w:p>
      <w:pPr>
        <w:tabs>
          <w:tab w:val="center" w:pos="6979"/>
        </w:tabs>
        <w:jc w:val="center"/>
        <w:rPr>
          <w:rFonts w:ascii="宋体" w:hAnsi="宋体" w:cs="宋体"/>
          <w:b/>
          <w:spacing w:val="40"/>
          <w:kern w:val="0"/>
          <w:sz w:val="32"/>
          <w:szCs w:val="32"/>
        </w:rPr>
      </w:pPr>
      <w:r>
        <w:rPr>
          <w:rFonts w:hint="eastAsia" w:ascii="宋体" w:hAnsi="宋体" w:cs="宋体"/>
          <w:b/>
          <w:bCs/>
          <w:spacing w:val="40"/>
          <w:kern w:val="0"/>
          <w:sz w:val="32"/>
          <w:szCs w:val="32"/>
        </w:rPr>
        <w:t>第三部分</w:t>
      </w:r>
      <w:r>
        <w:rPr>
          <w:rFonts w:hint="eastAsia" w:ascii="宋体" w:hAnsi="宋体"/>
          <w:b/>
          <w:spacing w:val="40"/>
          <w:sz w:val="32"/>
          <w:szCs w:val="32"/>
        </w:rPr>
        <w:t>2025年度</w:t>
      </w:r>
      <w:r>
        <w:rPr>
          <w:rFonts w:hint="eastAsia" w:ascii="宋体" w:hAnsi="宋体" w:cs="宋体"/>
          <w:b/>
          <w:spacing w:val="40"/>
          <w:kern w:val="0"/>
          <w:sz w:val="32"/>
          <w:szCs w:val="32"/>
        </w:rPr>
        <w:t>其他重要事项的情况说明</w:t>
      </w:r>
    </w:p>
    <w:p>
      <w:pPr>
        <w:spacing w:line="560" w:lineRule="exact"/>
        <w:ind w:firstLine="560" w:firstLineChars="200"/>
        <w:rPr>
          <w:rFonts w:ascii="黑体" w:eastAsia="黑体"/>
          <w:sz w:val="28"/>
          <w:szCs w:val="28"/>
        </w:rPr>
      </w:pPr>
      <w:r>
        <w:rPr>
          <w:rFonts w:hint="eastAsia" w:ascii="黑体" w:eastAsia="黑体"/>
          <w:sz w:val="28"/>
          <w:szCs w:val="28"/>
        </w:rPr>
        <w:t>一、“三公”经费财政拨款决算情况</w:t>
      </w:r>
    </w:p>
    <w:p>
      <w:pPr>
        <w:spacing w:line="560" w:lineRule="exact"/>
        <w:ind w:firstLine="600"/>
        <w:rPr>
          <w:rFonts w:ascii="仿宋_GB2312" w:eastAsia="仿宋_GB2312"/>
          <w:sz w:val="28"/>
          <w:szCs w:val="28"/>
        </w:rPr>
      </w:pPr>
      <w:r>
        <w:rPr>
          <w:rFonts w:hint="eastAsia" w:ascii="仿宋_GB2312" w:eastAsia="仿宋_GB2312"/>
          <w:sz w:val="28"/>
          <w:szCs w:val="28"/>
        </w:rPr>
        <w:t>2025年度“三公”经费财政拨款决算数</w:t>
      </w:r>
      <w:r>
        <w:rPr>
          <w:rFonts w:ascii="仿宋_GB2312" w:eastAsia="仿宋_GB2312"/>
          <w:sz w:val="28"/>
          <w:szCs w:val="28"/>
        </w:rPr>
        <w:t>3</w:t>
      </w:r>
      <w:r>
        <w:rPr>
          <w:rFonts w:hint="eastAsia" w:ascii="仿宋_GB2312" w:eastAsia="仿宋_GB2312"/>
          <w:sz w:val="28"/>
          <w:szCs w:val="28"/>
          <w:lang w:val="en-US" w:eastAsia="zh-CN"/>
        </w:rPr>
        <w:t>,</w:t>
      </w:r>
      <w:r>
        <w:rPr>
          <w:rFonts w:ascii="仿宋_GB2312" w:eastAsia="仿宋_GB2312"/>
          <w:sz w:val="28"/>
          <w:szCs w:val="28"/>
        </w:rPr>
        <w:t>297</w:t>
      </w:r>
      <w:r>
        <w:rPr>
          <w:rFonts w:hint="eastAsia" w:ascii="仿宋_GB2312" w:eastAsia="仿宋_GB2312"/>
          <w:sz w:val="28"/>
          <w:szCs w:val="28"/>
          <w:lang w:val="en-US" w:eastAsia="zh-CN"/>
        </w:rPr>
        <w:t>,</w:t>
      </w:r>
      <w:r>
        <w:rPr>
          <w:rFonts w:ascii="仿宋_GB2312" w:eastAsia="仿宋_GB2312"/>
          <w:sz w:val="28"/>
          <w:szCs w:val="28"/>
        </w:rPr>
        <w:t>942.99</w:t>
      </w:r>
      <w:r>
        <w:rPr>
          <w:rFonts w:hint="eastAsia" w:ascii="仿宋_GB2312" w:eastAsia="仿宋_GB2312"/>
          <w:sz w:val="28"/>
          <w:szCs w:val="28"/>
        </w:rPr>
        <w:t>元，比2025年度“三公”经费财政拨款年初预算</w:t>
      </w:r>
      <w:r>
        <w:rPr>
          <w:rFonts w:ascii="仿宋_GB2312" w:eastAsia="仿宋_GB2312"/>
          <w:sz w:val="28"/>
          <w:szCs w:val="28"/>
        </w:rPr>
        <w:t>48</w:t>
      </w:r>
      <w:r>
        <w:rPr>
          <w:rFonts w:hint="eastAsia" w:ascii="仿宋_GB2312" w:eastAsia="仿宋_GB2312"/>
          <w:sz w:val="28"/>
          <w:szCs w:val="28"/>
          <w:lang w:val="en-US" w:eastAsia="zh-CN"/>
        </w:rPr>
        <w:t>,</w:t>
      </w:r>
      <w:r>
        <w:rPr>
          <w:rFonts w:ascii="仿宋_GB2312" w:eastAsia="仿宋_GB2312"/>
          <w:sz w:val="28"/>
          <w:szCs w:val="28"/>
        </w:rPr>
        <w:t>100</w:t>
      </w:r>
      <w:r>
        <w:rPr>
          <w:rFonts w:hint="eastAsia" w:ascii="仿宋_GB2312" w:eastAsia="仿宋_GB2312"/>
          <w:sz w:val="28"/>
          <w:szCs w:val="28"/>
          <w:lang w:val="en-US" w:eastAsia="zh-CN"/>
        </w:rPr>
        <w:t>.00</w:t>
      </w:r>
      <w:r>
        <w:rPr>
          <w:rFonts w:hint="eastAsia" w:ascii="仿宋_GB2312" w:eastAsia="仿宋_GB2312"/>
          <w:sz w:val="28"/>
          <w:szCs w:val="28"/>
        </w:rPr>
        <w:t>元增加</w:t>
      </w:r>
      <w:r>
        <w:rPr>
          <w:rFonts w:ascii="仿宋_GB2312" w:eastAsia="仿宋_GB2312"/>
          <w:sz w:val="28"/>
          <w:szCs w:val="28"/>
        </w:rPr>
        <w:t>3</w:t>
      </w:r>
      <w:r>
        <w:rPr>
          <w:rFonts w:hint="eastAsia" w:ascii="仿宋_GB2312" w:eastAsia="仿宋_GB2312"/>
          <w:sz w:val="28"/>
          <w:szCs w:val="28"/>
          <w:lang w:val="en-US" w:eastAsia="zh-CN"/>
        </w:rPr>
        <w:t>,</w:t>
      </w:r>
      <w:r>
        <w:rPr>
          <w:rFonts w:ascii="仿宋_GB2312" w:eastAsia="仿宋_GB2312"/>
          <w:sz w:val="28"/>
          <w:szCs w:val="28"/>
        </w:rPr>
        <w:t>249</w:t>
      </w:r>
      <w:r>
        <w:rPr>
          <w:rFonts w:hint="eastAsia" w:ascii="仿宋_GB2312" w:eastAsia="仿宋_GB2312"/>
          <w:sz w:val="28"/>
          <w:szCs w:val="28"/>
          <w:lang w:val="en-US" w:eastAsia="zh-CN"/>
        </w:rPr>
        <w:t>,</w:t>
      </w:r>
      <w:r>
        <w:rPr>
          <w:rFonts w:ascii="仿宋_GB2312" w:eastAsia="仿宋_GB2312"/>
          <w:sz w:val="28"/>
          <w:szCs w:val="28"/>
        </w:rPr>
        <w:t>842.99</w:t>
      </w:r>
      <w:r>
        <w:rPr>
          <w:rFonts w:hint="eastAsia" w:ascii="仿宋_GB2312" w:eastAsia="仿宋_GB2312"/>
          <w:sz w:val="28"/>
          <w:szCs w:val="28"/>
        </w:rPr>
        <w:t>元。其中：</w:t>
      </w:r>
    </w:p>
    <w:p>
      <w:pPr>
        <w:spacing w:line="560" w:lineRule="exact"/>
        <w:ind w:firstLine="600"/>
        <w:rPr>
          <w:rFonts w:ascii="仿宋_GB2312" w:eastAsia="仿宋_GB2312"/>
          <w:sz w:val="28"/>
          <w:szCs w:val="28"/>
        </w:rPr>
      </w:pPr>
      <w:r>
        <w:rPr>
          <w:rFonts w:hint="eastAsia" w:ascii="仿宋_GB2312" w:eastAsia="仿宋_GB2312"/>
          <w:sz w:val="28"/>
          <w:szCs w:val="28"/>
        </w:rPr>
        <w:t>1.因公出国（境）费用。2025年度决算数</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元，比2025年度年初预算数</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元增加（减少）</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元。主要原因：</w:t>
      </w:r>
      <w:r>
        <w:rPr>
          <w:rFonts w:hint="eastAsia" w:ascii="仿宋_GB2312" w:eastAsia="仿宋_GB2312"/>
          <w:color w:val="000000"/>
          <w:sz w:val="28"/>
          <w:szCs w:val="28"/>
        </w:rPr>
        <w:t>本年度无此项支出</w:t>
      </w:r>
      <w:r>
        <w:rPr>
          <w:rFonts w:hint="eastAsia" w:ascii="仿宋_GB2312" w:eastAsia="仿宋_GB2312"/>
          <w:sz w:val="28"/>
          <w:szCs w:val="28"/>
        </w:rPr>
        <w:t>。</w:t>
      </w:r>
    </w:p>
    <w:p>
      <w:pPr>
        <w:spacing w:line="560" w:lineRule="exact"/>
        <w:ind w:firstLine="600"/>
        <w:rPr>
          <w:rFonts w:ascii="仿宋_GB2312" w:eastAsia="仿宋_GB2312"/>
          <w:sz w:val="28"/>
          <w:szCs w:val="28"/>
        </w:rPr>
      </w:pPr>
      <w:r>
        <w:rPr>
          <w:rFonts w:hint="eastAsia" w:ascii="仿宋_GB2312" w:eastAsia="仿宋_GB2312"/>
          <w:sz w:val="28"/>
          <w:szCs w:val="28"/>
        </w:rPr>
        <w:t>2.公务接待费。2025年度决算数</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元，比2025年度年初预算数</w:t>
      </w:r>
      <w:r>
        <w:rPr>
          <w:rFonts w:ascii="仿宋_GB2312" w:eastAsia="仿宋_GB2312"/>
          <w:sz w:val="28"/>
          <w:szCs w:val="28"/>
        </w:rPr>
        <w:t>12</w:t>
      </w:r>
      <w:r>
        <w:rPr>
          <w:rFonts w:hint="eastAsia" w:ascii="仿宋_GB2312" w:eastAsia="仿宋_GB2312"/>
          <w:sz w:val="28"/>
          <w:szCs w:val="28"/>
          <w:lang w:val="en-US" w:eastAsia="zh-CN"/>
        </w:rPr>
        <w:t>,</w:t>
      </w:r>
      <w:r>
        <w:rPr>
          <w:rFonts w:ascii="仿宋_GB2312" w:eastAsia="仿宋_GB2312"/>
          <w:sz w:val="28"/>
          <w:szCs w:val="28"/>
        </w:rPr>
        <w:t>100</w:t>
      </w:r>
      <w:r>
        <w:rPr>
          <w:rFonts w:hint="eastAsia" w:ascii="仿宋_GB2312" w:eastAsia="仿宋_GB2312"/>
          <w:sz w:val="28"/>
          <w:szCs w:val="28"/>
          <w:lang w:val="en-US" w:eastAsia="zh-CN"/>
        </w:rPr>
        <w:t>.00</w:t>
      </w:r>
      <w:r>
        <w:rPr>
          <w:rFonts w:hint="eastAsia" w:ascii="仿宋_GB2312" w:eastAsia="仿宋_GB2312"/>
          <w:sz w:val="28"/>
          <w:szCs w:val="28"/>
        </w:rPr>
        <w:t>元减少</w:t>
      </w:r>
      <w:r>
        <w:rPr>
          <w:rFonts w:ascii="仿宋_GB2312" w:eastAsia="仿宋_GB2312"/>
          <w:sz w:val="28"/>
          <w:szCs w:val="28"/>
        </w:rPr>
        <w:t>12</w:t>
      </w:r>
      <w:r>
        <w:rPr>
          <w:rFonts w:hint="eastAsia" w:ascii="仿宋_GB2312" w:eastAsia="仿宋_GB2312"/>
          <w:sz w:val="28"/>
          <w:szCs w:val="28"/>
          <w:lang w:val="en-US" w:eastAsia="zh-CN"/>
        </w:rPr>
        <w:t>,</w:t>
      </w:r>
      <w:r>
        <w:rPr>
          <w:rFonts w:ascii="仿宋_GB2312" w:eastAsia="仿宋_GB2312"/>
          <w:sz w:val="28"/>
          <w:szCs w:val="28"/>
        </w:rPr>
        <w:t>100</w:t>
      </w:r>
      <w:r>
        <w:rPr>
          <w:rFonts w:hint="eastAsia" w:ascii="仿宋_GB2312" w:eastAsia="仿宋_GB2312"/>
          <w:sz w:val="28"/>
          <w:szCs w:val="28"/>
          <w:lang w:val="en-US" w:eastAsia="zh-CN"/>
        </w:rPr>
        <w:t>.00</w:t>
      </w:r>
      <w:r>
        <w:rPr>
          <w:rFonts w:hint="eastAsia" w:ascii="仿宋_GB2312" w:eastAsia="仿宋_GB2312"/>
          <w:sz w:val="28"/>
          <w:szCs w:val="28"/>
        </w:rPr>
        <w:t>元。主要原因：</w:t>
      </w:r>
      <w:r>
        <w:rPr>
          <w:rFonts w:hint="eastAsia" w:ascii="仿宋_GB2312" w:eastAsia="仿宋_GB2312"/>
          <w:color w:val="000000"/>
          <w:sz w:val="28"/>
          <w:szCs w:val="28"/>
        </w:rPr>
        <w:t>本年度无此项支出</w:t>
      </w:r>
      <w:r>
        <w:rPr>
          <w:rFonts w:hint="eastAsia" w:ascii="仿宋_GB2312" w:eastAsia="仿宋_GB2312"/>
          <w:sz w:val="28"/>
          <w:szCs w:val="28"/>
        </w:rPr>
        <w:t>。</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3.公务用车购置及运行维护费。2025年度决算数</w:t>
      </w:r>
      <w:r>
        <w:rPr>
          <w:rFonts w:ascii="仿宋_GB2312" w:eastAsia="仿宋_GB2312"/>
          <w:sz w:val="28"/>
          <w:szCs w:val="28"/>
        </w:rPr>
        <w:t>3</w:t>
      </w:r>
      <w:r>
        <w:rPr>
          <w:rFonts w:hint="eastAsia" w:ascii="仿宋_GB2312" w:eastAsia="仿宋_GB2312"/>
          <w:sz w:val="28"/>
          <w:szCs w:val="28"/>
          <w:lang w:val="en-US" w:eastAsia="zh-CN"/>
        </w:rPr>
        <w:t>,</w:t>
      </w:r>
      <w:r>
        <w:rPr>
          <w:rFonts w:ascii="仿宋_GB2312" w:eastAsia="仿宋_GB2312"/>
          <w:sz w:val="28"/>
          <w:szCs w:val="28"/>
        </w:rPr>
        <w:t>297</w:t>
      </w:r>
      <w:r>
        <w:rPr>
          <w:rFonts w:hint="eastAsia" w:ascii="仿宋_GB2312" w:eastAsia="仿宋_GB2312"/>
          <w:sz w:val="28"/>
          <w:szCs w:val="28"/>
          <w:lang w:val="en-US" w:eastAsia="zh-CN"/>
        </w:rPr>
        <w:t>,</w:t>
      </w:r>
      <w:r>
        <w:rPr>
          <w:rFonts w:ascii="仿宋_GB2312" w:eastAsia="仿宋_GB2312"/>
          <w:sz w:val="28"/>
          <w:szCs w:val="28"/>
        </w:rPr>
        <w:t>942.99</w:t>
      </w:r>
      <w:r>
        <w:rPr>
          <w:rFonts w:hint="eastAsia" w:ascii="仿宋_GB2312" w:eastAsia="仿宋_GB2312"/>
          <w:sz w:val="28"/>
          <w:szCs w:val="28"/>
        </w:rPr>
        <w:t>元，比2025年度年初预算数</w:t>
      </w:r>
      <w:r>
        <w:rPr>
          <w:rFonts w:ascii="仿宋_GB2312" w:eastAsia="仿宋_GB2312"/>
          <w:sz w:val="28"/>
          <w:szCs w:val="28"/>
        </w:rPr>
        <w:t>36</w:t>
      </w:r>
      <w:r>
        <w:rPr>
          <w:rFonts w:hint="eastAsia" w:ascii="仿宋_GB2312" w:eastAsia="仿宋_GB2312"/>
          <w:sz w:val="28"/>
          <w:szCs w:val="28"/>
          <w:lang w:val="en-US" w:eastAsia="zh-CN"/>
        </w:rPr>
        <w:t>,</w:t>
      </w:r>
      <w:r>
        <w:rPr>
          <w:rFonts w:ascii="仿宋_GB2312" w:eastAsia="仿宋_GB2312"/>
          <w:sz w:val="28"/>
          <w:szCs w:val="28"/>
        </w:rPr>
        <w:t>000</w:t>
      </w:r>
      <w:r>
        <w:rPr>
          <w:rFonts w:hint="eastAsia" w:ascii="仿宋_GB2312" w:eastAsia="仿宋_GB2312"/>
          <w:sz w:val="28"/>
          <w:szCs w:val="28"/>
          <w:lang w:val="en-US" w:eastAsia="zh-CN"/>
        </w:rPr>
        <w:t>.00</w:t>
      </w:r>
      <w:r>
        <w:rPr>
          <w:rFonts w:hint="eastAsia" w:ascii="仿宋_GB2312" w:eastAsia="仿宋_GB2312"/>
          <w:sz w:val="28"/>
          <w:szCs w:val="28"/>
        </w:rPr>
        <w:t>元增加</w:t>
      </w:r>
      <w:r>
        <w:rPr>
          <w:rFonts w:ascii="仿宋_GB2312" w:eastAsia="仿宋_GB2312"/>
          <w:sz w:val="28"/>
          <w:szCs w:val="28"/>
        </w:rPr>
        <w:t>3</w:t>
      </w:r>
      <w:r>
        <w:rPr>
          <w:rFonts w:hint="eastAsia" w:ascii="仿宋_GB2312" w:eastAsia="仿宋_GB2312"/>
          <w:sz w:val="28"/>
          <w:szCs w:val="28"/>
          <w:lang w:val="en-US" w:eastAsia="zh-CN"/>
        </w:rPr>
        <w:t>,</w:t>
      </w:r>
      <w:r>
        <w:rPr>
          <w:rFonts w:ascii="仿宋_GB2312" w:eastAsia="仿宋_GB2312"/>
          <w:sz w:val="28"/>
          <w:szCs w:val="28"/>
        </w:rPr>
        <w:t>261</w:t>
      </w:r>
      <w:r>
        <w:rPr>
          <w:rFonts w:hint="eastAsia" w:ascii="仿宋_GB2312" w:eastAsia="仿宋_GB2312"/>
          <w:sz w:val="28"/>
          <w:szCs w:val="28"/>
          <w:lang w:val="en-US" w:eastAsia="zh-CN"/>
        </w:rPr>
        <w:t>,</w:t>
      </w:r>
      <w:r>
        <w:rPr>
          <w:rFonts w:ascii="仿宋_GB2312" w:eastAsia="仿宋_GB2312"/>
          <w:sz w:val="28"/>
          <w:szCs w:val="28"/>
        </w:rPr>
        <w:t>942.99</w:t>
      </w:r>
      <w:r>
        <w:rPr>
          <w:rFonts w:hint="eastAsia" w:ascii="仿宋_GB2312" w:eastAsia="仿宋_GB2312"/>
          <w:sz w:val="28"/>
          <w:szCs w:val="28"/>
        </w:rPr>
        <w:t>元。其中，公务用车购置费2025年度决算数3</w:t>
      </w:r>
      <w:r>
        <w:rPr>
          <w:rFonts w:hint="eastAsia" w:ascii="仿宋_GB2312" w:eastAsia="仿宋_GB2312"/>
          <w:sz w:val="28"/>
          <w:szCs w:val="28"/>
          <w:lang w:val="en-US" w:eastAsia="zh-CN"/>
        </w:rPr>
        <w:t>,</w:t>
      </w:r>
      <w:r>
        <w:rPr>
          <w:rFonts w:hint="eastAsia" w:ascii="仿宋_GB2312" w:eastAsia="仿宋_GB2312"/>
          <w:sz w:val="28"/>
          <w:szCs w:val="28"/>
        </w:rPr>
        <w:t>262</w:t>
      </w:r>
      <w:r>
        <w:rPr>
          <w:rFonts w:hint="eastAsia" w:ascii="仿宋_GB2312" w:eastAsia="仿宋_GB2312"/>
          <w:sz w:val="28"/>
          <w:szCs w:val="28"/>
          <w:lang w:val="en-US" w:eastAsia="zh-CN"/>
        </w:rPr>
        <w:t>,</w:t>
      </w:r>
      <w:r>
        <w:rPr>
          <w:rFonts w:hint="eastAsia" w:ascii="仿宋_GB2312" w:eastAsia="仿宋_GB2312"/>
          <w:sz w:val="28"/>
          <w:szCs w:val="28"/>
        </w:rPr>
        <w:t>000</w:t>
      </w:r>
      <w:r>
        <w:rPr>
          <w:rFonts w:hint="eastAsia" w:ascii="仿宋_GB2312" w:eastAsia="仿宋_GB2312"/>
          <w:sz w:val="28"/>
          <w:szCs w:val="28"/>
          <w:lang w:val="en-US" w:eastAsia="zh-CN"/>
        </w:rPr>
        <w:t>.00</w:t>
      </w:r>
      <w:r>
        <w:rPr>
          <w:rFonts w:hint="eastAsia" w:ascii="仿宋_GB2312" w:eastAsia="仿宋_GB2312"/>
          <w:sz w:val="28"/>
          <w:szCs w:val="28"/>
        </w:rPr>
        <w:t>元，主要原因：</w:t>
      </w:r>
      <w:r>
        <w:rPr>
          <w:rFonts w:hint="eastAsia" w:ascii="仿宋_GB2312" w:eastAsia="仿宋_GB2312"/>
          <w:sz w:val="28"/>
          <w:szCs w:val="28"/>
          <w:highlight w:val="none"/>
          <w:lang w:val="en-US" w:eastAsia="zh-CN"/>
        </w:rPr>
        <w:t>为提升我区局应急救援水平，购置2辆特种车辆</w:t>
      </w:r>
      <w:r>
        <w:rPr>
          <w:rFonts w:hint="eastAsia" w:ascii="仿宋_GB2312" w:eastAsia="仿宋_GB2312"/>
          <w:sz w:val="28"/>
          <w:szCs w:val="28"/>
        </w:rPr>
        <w:t>。公务用车运行维护费2025年度决算数35</w:t>
      </w:r>
      <w:r>
        <w:rPr>
          <w:rFonts w:hint="eastAsia" w:ascii="仿宋_GB2312" w:eastAsia="仿宋_GB2312"/>
          <w:sz w:val="28"/>
          <w:szCs w:val="28"/>
          <w:lang w:val="en-US" w:eastAsia="zh-CN"/>
        </w:rPr>
        <w:t>,</w:t>
      </w:r>
      <w:r>
        <w:rPr>
          <w:rFonts w:hint="eastAsia" w:ascii="仿宋_GB2312" w:eastAsia="仿宋_GB2312"/>
          <w:sz w:val="28"/>
          <w:szCs w:val="28"/>
        </w:rPr>
        <w:t>942.99元，主要原因：</w:t>
      </w:r>
      <w:r>
        <w:rPr>
          <w:rFonts w:hint="eastAsia" w:ascii="仿宋_GB2312" w:eastAsia="仿宋_GB2312"/>
          <w:sz w:val="28"/>
          <w:szCs w:val="28"/>
          <w:highlight w:val="none"/>
          <w:lang w:val="en-US" w:eastAsia="zh-CN"/>
        </w:rPr>
        <w:t>日常车辆维修维护，加油及保险相关支出</w:t>
      </w:r>
      <w:r>
        <w:rPr>
          <w:rFonts w:hint="eastAsia" w:ascii="仿宋_GB2312" w:eastAsia="仿宋_GB2312"/>
          <w:sz w:val="28"/>
          <w:szCs w:val="28"/>
        </w:rPr>
        <w:t>。2025年度公务用车保有量</w:t>
      </w:r>
      <w:r>
        <w:rPr>
          <w:rFonts w:ascii="仿宋_GB2312" w:eastAsia="仿宋_GB2312"/>
          <w:sz w:val="28"/>
          <w:szCs w:val="28"/>
        </w:rPr>
        <w:t>10</w:t>
      </w:r>
      <w:r>
        <w:rPr>
          <w:rFonts w:hint="eastAsia" w:ascii="仿宋_GB2312" w:eastAsia="仿宋_GB2312"/>
          <w:sz w:val="28"/>
          <w:szCs w:val="28"/>
        </w:rPr>
        <w:t>辆。</w:t>
      </w:r>
    </w:p>
    <w:p>
      <w:pPr>
        <w:tabs>
          <w:tab w:val="center" w:pos="6979"/>
        </w:tabs>
        <w:ind w:firstLine="554" w:firstLineChars="198"/>
        <w:rPr>
          <w:rFonts w:ascii="黑体" w:eastAsia="黑体"/>
          <w:sz w:val="28"/>
          <w:szCs w:val="28"/>
        </w:rPr>
      </w:pPr>
      <w:r>
        <w:rPr>
          <w:rFonts w:hint="eastAsia" w:ascii="黑体" w:eastAsia="黑体"/>
          <w:sz w:val="28"/>
          <w:szCs w:val="28"/>
        </w:rPr>
        <w:t>二、机关运行经费支出情况</w:t>
      </w:r>
    </w:p>
    <w:p>
      <w:pPr>
        <w:ind w:firstLine="537" w:firstLineChars="192"/>
        <w:rPr>
          <w:rFonts w:ascii="仿宋_GB2312" w:eastAsia="仿宋_GB2312"/>
          <w:sz w:val="28"/>
          <w:szCs w:val="28"/>
        </w:rPr>
      </w:pPr>
      <w:r>
        <w:rPr>
          <w:rFonts w:hint="eastAsia" w:ascii="仿宋_GB2312" w:eastAsia="仿宋_GB2312"/>
          <w:sz w:val="28"/>
          <w:szCs w:val="28"/>
        </w:rPr>
        <w:t>2025年度机关运行经费支出合计715</w:t>
      </w:r>
      <w:r>
        <w:rPr>
          <w:rFonts w:hint="eastAsia" w:ascii="仿宋_GB2312" w:eastAsia="仿宋_GB2312"/>
          <w:sz w:val="28"/>
          <w:szCs w:val="28"/>
          <w:lang w:val="en-US" w:eastAsia="zh-CN"/>
        </w:rPr>
        <w:t>,</w:t>
      </w:r>
      <w:r>
        <w:rPr>
          <w:rFonts w:hint="eastAsia" w:ascii="仿宋_GB2312" w:eastAsia="仿宋_GB2312"/>
          <w:sz w:val="28"/>
          <w:szCs w:val="28"/>
        </w:rPr>
        <w:t>345.53元，比上年增加</w:t>
      </w:r>
      <w:r>
        <w:rPr>
          <w:rFonts w:hint="eastAsia" w:ascii="仿宋_GB2312" w:eastAsia="仿宋_GB2312"/>
          <w:sz w:val="28"/>
          <w:szCs w:val="28"/>
          <w:lang w:val="en-US" w:eastAsia="zh-CN"/>
        </w:rPr>
        <w:t>93,116.07</w:t>
      </w:r>
      <w:r>
        <w:rPr>
          <w:rFonts w:hint="eastAsia" w:ascii="仿宋_GB2312" w:eastAsia="仿宋_GB2312"/>
          <w:sz w:val="28"/>
          <w:szCs w:val="28"/>
        </w:rPr>
        <w:t>元，增加原因：</w:t>
      </w:r>
      <w:r>
        <w:rPr>
          <w:rFonts w:hint="eastAsia" w:ascii="仿宋_GB2312" w:eastAsia="仿宋_GB2312"/>
          <w:sz w:val="28"/>
          <w:szCs w:val="28"/>
          <w:lang w:eastAsia="zh-CN"/>
        </w:rPr>
        <w:t>实有人数增加</w:t>
      </w:r>
      <w:r>
        <w:rPr>
          <w:rFonts w:hint="eastAsia" w:ascii="仿宋_GB2312" w:eastAsia="仿宋_GB2312"/>
          <w:sz w:val="28"/>
          <w:szCs w:val="28"/>
        </w:rPr>
        <w:t>。</w:t>
      </w:r>
    </w:p>
    <w:p>
      <w:pPr>
        <w:ind w:left="540"/>
        <w:rPr>
          <w:rFonts w:ascii="黑体" w:eastAsia="黑体"/>
          <w:sz w:val="28"/>
          <w:szCs w:val="28"/>
        </w:rPr>
      </w:pPr>
      <w:r>
        <w:rPr>
          <w:rFonts w:hint="eastAsia" w:ascii="黑体" w:eastAsia="黑体"/>
          <w:sz w:val="28"/>
          <w:szCs w:val="28"/>
        </w:rPr>
        <w:t>三、政府采购支出情况</w:t>
      </w:r>
    </w:p>
    <w:p>
      <w:pPr>
        <w:ind w:firstLine="537" w:firstLineChars="192"/>
        <w:rPr>
          <w:rFonts w:ascii="仿宋_GB2312" w:eastAsia="仿宋_GB2312"/>
          <w:sz w:val="28"/>
          <w:szCs w:val="28"/>
        </w:rPr>
      </w:pPr>
      <w:r>
        <w:rPr>
          <w:rFonts w:hint="eastAsia" w:ascii="仿宋_GB2312" w:eastAsia="仿宋_GB2312"/>
          <w:sz w:val="28"/>
          <w:szCs w:val="28"/>
        </w:rPr>
        <w:t>2025年度政府采购支出总额</w:t>
      </w:r>
      <w:r>
        <w:rPr>
          <w:rFonts w:ascii="仿宋_GB2312" w:eastAsia="仿宋_GB2312"/>
          <w:sz w:val="28"/>
          <w:szCs w:val="28"/>
        </w:rPr>
        <w:t>136</w:t>
      </w:r>
      <w:r>
        <w:rPr>
          <w:rFonts w:hint="eastAsia" w:ascii="仿宋_GB2312" w:eastAsia="仿宋_GB2312"/>
          <w:sz w:val="28"/>
          <w:szCs w:val="28"/>
          <w:lang w:val="en-US" w:eastAsia="zh-CN"/>
        </w:rPr>
        <w:t>,</w:t>
      </w:r>
      <w:r>
        <w:rPr>
          <w:rFonts w:ascii="仿宋_GB2312" w:eastAsia="仿宋_GB2312"/>
          <w:sz w:val="28"/>
          <w:szCs w:val="28"/>
        </w:rPr>
        <w:t>268</w:t>
      </w:r>
      <w:r>
        <w:rPr>
          <w:rFonts w:hint="eastAsia" w:ascii="仿宋_GB2312" w:eastAsia="仿宋_GB2312"/>
          <w:sz w:val="28"/>
          <w:szCs w:val="28"/>
          <w:lang w:val="en-US" w:eastAsia="zh-CN"/>
        </w:rPr>
        <w:t>,</w:t>
      </w:r>
      <w:r>
        <w:rPr>
          <w:rFonts w:ascii="仿宋_GB2312" w:eastAsia="仿宋_GB2312"/>
          <w:sz w:val="28"/>
          <w:szCs w:val="28"/>
        </w:rPr>
        <w:t>058.15</w:t>
      </w:r>
      <w:r>
        <w:rPr>
          <w:rFonts w:hint="eastAsia" w:ascii="仿宋_GB2312" w:eastAsia="仿宋_GB2312"/>
          <w:sz w:val="28"/>
          <w:szCs w:val="28"/>
        </w:rPr>
        <w:t>元，其中：政府采购货物支出</w:t>
      </w:r>
      <w:r>
        <w:rPr>
          <w:rFonts w:ascii="仿宋_GB2312" w:eastAsia="仿宋_GB2312"/>
          <w:sz w:val="28"/>
          <w:szCs w:val="28"/>
        </w:rPr>
        <w:t>2</w:t>
      </w:r>
      <w:r>
        <w:rPr>
          <w:rFonts w:hint="eastAsia" w:ascii="仿宋_GB2312" w:eastAsia="仿宋_GB2312"/>
          <w:sz w:val="28"/>
          <w:szCs w:val="28"/>
          <w:lang w:val="en-US" w:eastAsia="zh-CN"/>
        </w:rPr>
        <w:t>,</w:t>
      </w:r>
      <w:r>
        <w:rPr>
          <w:rFonts w:ascii="仿宋_GB2312" w:eastAsia="仿宋_GB2312"/>
          <w:sz w:val="28"/>
          <w:szCs w:val="28"/>
        </w:rPr>
        <w:t>621</w:t>
      </w:r>
      <w:r>
        <w:rPr>
          <w:rFonts w:hint="eastAsia" w:ascii="仿宋_GB2312" w:eastAsia="仿宋_GB2312"/>
          <w:sz w:val="28"/>
          <w:szCs w:val="28"/>
          <w:lang w:val="en-US" w:eastAsia="zh-CN"/>
        </w:rPr>
        <w:t>,</w:t>
      </w:r>
      <w:r>
        <w:rPr>
          <w:rFonts w:ascii="仿宋_GB2312" w:eastAsia="仿宋_GB2312"/>
          <w:sz w:val="28"/>
          <w:szCs w:val="28"/>
        </w:rPr>
        <w:t>895.6</w:t>
      </w:r>
      <w:r>
        <w:rPr>
          <w:rFonts w:hint="eastAsia" w:ascii="仿宋_GB2312" w:eastAsia="仿宋_GB2312"/>
          <w:sz w:val="28"/>
          <w:szCs w:val="28"/>
          <w:lang w:val="en-US" w:eastAsia="zh-CN"/>
        </w:rPr>
        <w:t>0</w:t>
      </w:r>
      <w:r>
        <w:rPr>
          <w:rFonts w:hint="eastAsia" w:ascii="仿宋_GB2312" w:eastAsia="仿宋_GB2312"/>
          <w:sz w:val="28"/>
          <w:szCs w:val="28"/>
        </w:rPr>
        <w:t>元，政府采购工程支出</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元，政府采购服务支出</w:t>
      </w:r>
      <w:r>
        <w:rPr>
          <w:rFonts w:ascii="仿宋_GB2312" w:eastAsia="仿宋_GB2312"/>
          <w:sz w:val="28"/>
          <w:szCs w:val="28"/>
        </w:rPr>
        <w:t>133</w:t>
      </w:r>
      <w:r>
        <w:rPr>
          <w:rFonts w:hint="eastAsia" w:ascii="仿宋_GB2312" w:eastAsia="仿宋_GB2312"/>
          <w:sz w:val="28"/>
          <w:szCs w:val="28"/>
          <w:lang w:val="en-US" w:eastAsia="zh-CN"/>
        </w:rPr>
        <w:t>,</w:t>
      </w:r>
      <w:r>
        <w:rPr>
          <w:rFonts w:ascii="仿宋_GB2312" w:eastAsia="仿宋_GB2312"/>
          <w:sz w:val="28"/>
          <w:szCs w:val="28"/>
        </w:rPr>
        <w:t>646</w:t>
      </w:r>
      <w:r>
        <w:rPr>
          <w:rFonts w:hint="eastAsia" w:ascii="仿宋_GB2312" w:eastAsia="仿宋_GB2312"/>
          <w:sz w:val="28"/>
          <w:szCs w:val="28"/>
          <w:lang w:val="en-US" w:eastAsia="zh-CN"/>
        </w:rPr>
        <w:t>,</w:t>
      </w:r>
      <w:r>
        <w:rPr>
          <w:rFonts w:ascii="仿宋_GB2312" w:eastAsia="仿宋_GB2312"/>
          <w:sz w:val="28"/>
          <w:szCs w:val="28"/>
        </w:rPr>
        <w:t>162.55</w:t>
      </w:r>
      <w:r>
        <w:rPr>
          <w:rFonts w:hint="eastAsia" w:ascii="仿宋_GB2312" w:eastAsia="仿宋_GB2312"/>
          <w:sz w:val="28"/>
          <w:szCs w:val="28"/>
        </w:rPr>
        <w:t>元。授予中小企业合同金额</w:t>
      </w:r>
      <w:r>
        <w:rPr>
          <w:rFonts w:ascii="仿宋_GB2312" w:eastAsia="仿宋_GB2312"/>
          <w:sz w:val="28"/>
          <w:szCs w:val="28"/>
        </w:rPr>
        <w:t>522</w:t>
      </w:r>
      <w:r>
        <w:rPr>
          <w:rFonts w:hint="eastAsia" w:ascii="仿宋_GB2312" w:eastAsia="仿宋_GB2312"/>
          <w:sz w:val="28"/>
          <w:szCs w:val="28"/>
          <w:lang w:val="en-US" w:eastAsia="zh-CN"/>
        </w:rPr>
        <w:t>,</w:t>
      </w:r>
      <w:r>
        <w:rPr>
          <w:rFonts w:ascii="仿宋_GB2312" w:eastAsia="仿宋_GB2312"/>
          <w:sz w:val="28"/>
          <w:szCs w:val="28"/>
        </w:rPr>
        <w:t>524.6</w:t>
      </w:r>
      <w:r>
        <w:rPr>
          <w:rFonts w:hint="eastAsia" w:ascii="仿宋_GB2312" w:eastAsia="仿宋_GB2312"/>
          <w:sz w:val="28"/>
          <w:szCs w:val="28"/>
          <w:lang w:val="en-US" w:eastAsia="zh-CN"/>
        </w:rPr>
        <w:t>0</w:t>
      </w:r>
      <w:r>
        <w:rPr>
          <w:rFonts w:hint="eastAsia" w:ascii="仿宋_GB2312" w:eastAsia="仿宋_GB2312"/>
          <w:sz w:val="28"/>
          <w:szCs w:val="28"/>
        </w:rPr>
        <w:t>元，占政府采购支出总额的0.</w:t>
      </w:r>
      <w:r>
        <w:rPr>
          <w:rFonts w:hint="eastAsia" w:ascii="仿宋_GB2312" w:eastAsia="仿宋_GB2312"/>
          <w:sz w:val="28"/>
          <w:szCs w:val="28"/>
          <w:lang w:val="en-US" w:eastAsia="zh-CN"/>
        </w:rPr>
        <w:t>4</w:t>
      </w:r>
      <w:r>
        <w:rPr>
          <w:rFonts w:hint="eastAsia" w:ascii="仿宋_GB2312" w:eastAsia="仿宋_GB2312"/>
          <w:sz w:val="28"/>
          <w:szCs w:val="28"/>
        </w:rPr>
        <w:t>%，其中：授予小微企业合同金额</w:t>
      </w:r>
      <w:r>
        <w:rPr>
          <w:rFonts w:ascii="仿宋_GB2312" w:eastAsia="仿宋_GB2312"/>
          <w:sz w:val="28"/>
          <w:szCs w:val="28"/>
        </w:rPr>
        <w:t>491</w:t>
      </w:r>
      <w:r>
        <w:rPr>
          <w:rFonts w:hint="eastAsia" w:ascii="仿宋_GB2312" w:eastAsia="仿宋_GB2312"/>
          <w:sz w:val="28"/>
          <w:szCs w:val="28"/>
          <w:lang w:val="en-US" w:eastAsia="zh-CN"/>
        </w:rPr>
        <w:t>,</w:t>
      </w:r>
      <w:r>
        <w:rPr>
          <w:rFonts w:ascii="仿宋_GB2312" w:eastAsia="仿宋_GB2312"/>
          <w:sz w:val="28"/>
          <w:szCs w:val="28"/>
        </w:rPr>
        <w:t>124.6</w:t>
      </w:r>
      <w:r>
        <w:rPr>
          <w:rFonts w:hint="eastAsia" w:ascii="仿宋_GB2312" w:eastAsia="仿宋_GB2312"/>
          <w:sz w:val="28"/>
          <w:szCs w:val="28"/>
          <w:lang w:val="en-US" w:eastAsia="zh-CN"/>
        </w:rPr>
        <w:t>0</w:t>
      </w:r>
      <w:r>
        <w:rPr>
          <w:rFonts w:hint="eastAsia" w:ascii="仿宋_GB2312" w:eastAsia="仿宋_GB2312"/>
          <w:sz w:val="28"/>
          <w:szCs w:val="28"/>
        </w:rPr>
        <w:t>元，占政府采购支出总额的</w:t>
      </w:r>
      <w:r>
        <w:rPr>
          <w:rFonts w:ascii="仿宋_GB2312" w:eastAsia="仿宋_GB2312"/>
          <w:sz w:val="28"/>
          <w:szCs w:val="28"/>
        </w:rPr>
        <w:t>0.</w:t>
      </w:r>
      <w:r>
        <w:rPr>
          <w:rFonts w:hint="eastAsia" w:ascii="仿宋_GB2312" w:eastAsia="仿宋_GB2312"/>
          <w:sz w:val="28"/>
          <w:szCs w:val="28"/>
          <w:lang w:val="en-US" w:eastAsia="zh-CN"/>
        </w:rPr>
        <w:t>4</w:t>
      </w:r>
      <w:r>
        <w:rPr>
          <w:rFonts w:hint="eastAsia" w:ascii="仿宋_GB2312" w:eastAsia="仿宋_GB2312"/>
          <w:sz w:val="28"/>
          <w:szCs w:val="28"/>
        </w:rPr>
        <w:t>%。</w:t>
      </w:r>
    </w:p>
    <w:p>
      <w:pPr>
        <w:ind w:firstLine="560" w:firstLineChars="200"/>
        <w:rPr>
          <w:rFonts w:ascii="黑体" w:eastAsia="黑体"/>
          <w:sz w:val="28"/>
          <w:szCs w:val="28"/>
          <w:highlight w:val="yellow"/>
        </w:rPr>
      </w:pPr>
      <w:r>
        <w:rPr>
          <w:rFonts w:hint="eastAsia" w:ascii="黑体" w:eastAsia="黑体"/>
          <w:sz w:val="28"/>
          <w:szCs w:val="28"/>
        </w:rPr>
        <w:t>四、国有资产占用情况</w:t>
      </w:r>
    </w:p>
    <w:p>
      <w:pPr>
        <w:ind w:firstLine="560" w:firstLineChars="200"/>
        <w:rPr>
          <w:rFonts w:ascii="仿宋_GB2312" w:eastAsia="仿宋_GB2312"/>
          <w:sz w:val="32"/>
          <w:szCs w:val="32"/>
        </w:rPr>
      </w:pPr>
      <w:r>
        <w:rPr>
          <w:rFonts w:hint="eastAsia" w:ascii="仿宋_GB2312" w:eastAsia="仿宋_GB2312"/>
          <w:sz w:val="28"/>
          <w:szCs w:val="28"/>
        </w:rPr>
        <w:t>截至12月31日，北京市门头沟区应急管理局共有车辆10台；单位价值100元（含）以上的设备</w:t>
      </w:r>
      <w:r>
        <w:rPr>
          <w:rFonts w:hint="eastAsia" w:ascii="仿宋_GB2312" w:eastAsia="仿宋_GB2312"/>
          <w:sz w:val="28"/>
          <w:szCs w:val="28"/>
          <w:lang w:val="en-US" w:eastAsia="zh-CN"/>
        </w:rPr>
        <w:t>4</w:t>
      </w:r>
      <w:r>
        <w:rPr>
          <w:rFonts w:hint="eastAsia" w:ascii="仿宋_GB2312" w:eastAsia="仿宋_GB2312"/>
          <w:sz w:val="28"/>
          <w:szCs w:val="28"/>
        </w:rPr>
        <w:t>台（套）。</w:t>
      </w:r>
    </w:p>
    <w:p>
      <w:pPr>
        <w:ind w:firstLine="560" w:firstLineChars="200"/>
        <w:jc w:val="left"/>
        <w:rPr>
          <w:rFonts w:ascii="仿宋_GB2312" w:eastAsia="仿宋_GB2312"/>
          <w:color w:val="000000"/>
          <w:sz w:val="32"/>
          <w:szCs w:val="32"/>
        </w:rPr>
      </w:pPr>
      <w:r>
        <w:rPr>
          <w:rFonts w:hint="eastAsia" w:ascii="黑体" w:eastAsia="黑体"/>
          <w:sz w:val="28"/>
          <w:szCs w:val="28"/>
        </w:rPr>
        <w:t>五、</w:t>
      </w:r>
      <w:r>
        <w:rPr>
          <w:rFonts w:ascii="黑体" w:eastAsia="黑体"/>
          <w:sz w:val="28"/>
          <w:szCs w:val="28"/>
        </w:rPr>
        <w:t>专业名词解释</w:t>
      </w:r>
    </w:p>
    <w:p>
      <w:pPr>
        <w:ind w:firstLine="560" w:firstLineChars="200"/>
        <w:rPr>
          <w:rFonts w:ascii="仿宋_GB2312" w:eastAsia="仿宋_GB2312"/>
          <w:sz w:val="28"/>
          <w:szCs w:val="28"/>
        </w:rPr>
      </w:pPr>
      <w:r>
        <w:rPr>
          <w:rFonts w:hint="eastAsia" w:ascii="仿宋_GB2312" w:eastAsia="仿宋_GB2312"/>
          <w:sz w:val="28"/>
          <w:szCs w:val="28"/>
        </w:rPr>
        <w:t>1.基本支出：指为保障机构正常运转、完成日常工作任务而发生的人员支出和公用支出。</w:t>
      </w:r>
    </w:p>
    <w:p>
      <w:pPr>
        <w:ind w:firstLine="560" w:firstLineChars="200"/>
        <w:rPr>
          <w:rFonts w:ascii="仿宋_GB2312" w:eastAsia="仿宋_GB2312"/>
          <w:sz w:val="28"/>
          <w:szCs w:val="28"/>
        </w:rPr>
      </w:pPr>
      <w:r>
        <w:rPr>
          <w:rFonts w:hint="eastAsia" w:ascii="仿宋_GB2312" w:eastAsia="仿宋_GB2312"/>
          <w:sz w:val="28"/>
          <w:szCs w:val="28"/>
        </w:rPr>
        <w:t>2.项目支出：指在基本支出之外为完成特定行政任务或事业发展目标所发生的支出。</w:t>
      </w:r>
    </w:p>
    <w:p>
      <w:pPr>
        <w:ind w:firstLine="560" w:firstLineChars="200"/>
        <w:rPr>
          <w:rFonts w:ascii="仿宋_GB2312" w:eastAsia="仿宋_GB2312"/>
          <w:sz w:val="28"/>
          <w:szCs w:val="28"/>
        </w:rPr>
      </w:pPr>
      <w:r>
        <w:rPr>
          <w:rFonts w:hint="eastAsia" w:ascii="仿宋_GB2312" w:eastAsia="仿宋_GB2312"/>
          <w:sz w:val="28"/>
          <w:szCs w:val="28"/>
        </w:rPr>
        <w:t>3.“三公”经费：是指单位通过财政拨款资金安排的因公出国（境）费、公务用车购置及运行费和公务接待费。</w:t>
      </w:r>
    </w:p>
    <w:p>
      <w:pPr>
        <w:ind w:firstLine="560" w:firstLineChars="200"/>
      </w:pPr>
      <w:r>
        <w:rPr>
          <w:rFonts w:hint="eastAsia" w:ascii="仿宋_GB2312" w:eastAsia="仿宋_GB2312"/>
          <w:sz w:val="28"/>
          <w:szCs w:val="28"/>
        </w:rPr>
        <w:t>4.机关运行经费：反映为保障行政单位（包括参照公务员法管理的事业单位）运行用于购买货物和服务的各项资金，包括办公费、会议费、培训费、委托业务费、公务接待费、公务用车运行维护费、维修（护）费及其他费用。</w:t>
      </w:r>
    </w:p>
    <w:p>
      <w:pPr>
        <w:ind w:firstLine="560" w:firstLineChars="200"/>
        <w:rPr>
          <w:rFonts w:ascii="仿宋_GB2312" w:eastAsia="仿宋_GB2312"/>
          <w:sz w:val="28"/>
          <w:szCs w:val="28"/>
        </w:rPr>
      </w:pPr>
      <w:r>
        <w:rPr>
          <w:rFonts w:hint="eastAsia" w:ascii="仿宋_GB2312" w:eastAsia="仿宋_GB2312"/>
          <w:sz w:val="28"/>
          <w:szCs w:val="28"/>
        </w:rPr>
        <w:t>5.政府采购：指各级国家机关、事业单位和团体组织，使用财政性资金采购依法制定的集中目录以内的或者采购限额标准以上的货物、工程和服务的行为，是规范财政支出管理和强化预算约束的有效措施。</w:t>
      </w:r>
    </w:p>
    <w:p>
      <w:pPr>
        <w:ind w:firstLine="560" w:firstLineChars="200"/>
        <w:rPr>
          <w:rFonts w:ascii="仿宋_GB2312" w:eastAsia="仿宋_GB2312"/>
          <w:bCs/>
          <w:sz w:val="28"/>
          <w:szCs w:val="28"/>
        </w:rPr>
      </w:pPr>
      <w:r>
        <w:rPr>
          <w:rFonts w:hint="eastAsia" w:ascii="仿宋_GB2312" w:eastAsia="仿宋_GB2312"/>
          <w:sz w:val="28"/>
          <w:szCs w:val="28"/>
        </w:rPr>
        <w:t>6.灾害防治及应急管理支出（类）应急管理事物（款）应急管理（项）：反映用于应急管理的法律法规制定修订，应急预案演练、协调保障等方面支持。</w:t>
      </w:r>
    </w:p>
    <w:p>
      <w:pPr>
        <w:ind w:firstLine="420" w:firstLineChars="150"/>
        <w:rPr>
          <w:rFonts w:ascii="仿宋_GB2312" w:eastAsia="仿宋_GB2312"/>
          <w:sz w:val="28"/>
          <w:szCs w:val="28"/>
        </w:rPr>
      </w:pPr>
    </w:p>
    <w:p>
      <w:pPr>
        <w:rPr>
          <w:rFonts w:ascii="黑体" w:eastAsia="黑体"/>
          <w:sz w:val="32"/>
          <w:szCs w:val="32"/>
        </w:rPr>
      </w:pPr>
    </w:p>
    <w:p>
      <w:pPr>
        <w:tabs>
          <w:tab w:val="center" w:pos="6979"/>
        </w:tabs>
        <w:spacing w:line="380" w:lineRule="exact"/>
        <w:jc w:val="center"/>
        <w:rPr>
          <w:rFonts w:ascii="宋体" w:hAnsi="宋体" w:cs="宋体"/>
          <w:b/>
          <w:bCs/>
          <w:kern w:val="0"/>
          <w:sz w:val="28"/>
          <w:szCs w:val="28"/>
        </w:rPr>
      </w:pPr>
    </w:p>
    <w:p>
      <w:pPr>
        <w:jc w:val="both"/>
        <w:rPr>
          <w:rFonts w:ascii="黑体" w:eastAsia="黑体"/>
          <w:sz w:val="32"/>
          <w:szCs w:val="32"/>
        </w:rPr>
      </w:pPr>
    </w:p>
    <w:p>
      <w:pPr>
        <w:tabs>
          <w:tab w:val="center" w:pos="6979"/>
        </w:tabs>
        <w:spacing w:line="580" w:lineRule="exact"/>
        <w:ind w:firstLine="720" w:firstLineChars="200"/>
        <w:jc w:val="center"/>
        <w:rPr>
          <w:rFonts w:asciiTheme="minorEastAsia" w:hAnsiTheme="minorEastAsia" w:eastAsiaTheme="minorEastAsia"/>
          <w:b/>
          <w:sz w:val="36"/>
          <w:szCs w:val="36"/>
        </w:rPr>
      </w:pPr>
      <w:r>
        <w:rPr>
          <w:rFonts w:hint="eastAsia" w:asciiTheme="minorEastAsia" w:hAnsiTheme="minorEastAsia" w:eastAsiaTheme="minorEastAsia"/>
          <w:b/>
          <w:sz w:val="36"/>
          <w:szCs w:val="36"/>
        </w:rPr>
        <w:t>第四部分2025年度</w:t>
      </w:r>
      <w:r>
        <w:rPr>
          <w:rFonts w:hint="eastAsia" w:asciiTheme="minorEastAsia" w:hAnsiTheme="minorEastAsia" w:eastAsiaTheme="minorEastAsia"/>
          <w:b/>
          <w:sz w:val="36"/>
          <w:szCs w:val="36"/>
          <w:lang w:eastAsia="zh-CN"/>
        </w:rPr>
        <w:t>单位</w:t>
      </w:r>
      <w:r>
        <w:rPr>
          <w:rFonts w:hint="eastAsia" w:asciiTheme="minorEastAsia" w:hAnsiTheme="minorEastAsia" w:eastAsiaTheme="minorEastAsia"/>
          <w:b/>
          <w:sz w:val="36"/>
          <w:szCs w:val="36"/>
        </w:rPr>
        <w:t>绩效评价情况</w:t>
      </w:r>
    </w:p>
    <w:p>
      <w:pPr>
        <w:tabs>
          <w:tab w:val="center" w:pos="6979"/>
        </w:tabs>
        <w:spacing w:line="580" w:lineRule="exact"/>
        <w:ind w:firstLine="560" w:firstLineChars="200"/>
        <w:jc w:val="center"/>
        <w:rPr>
          <w:rFonts w:hint="eastAsia" w:ascii="华文中宋" w:hAnsi="华文中宋" w:eastAsia="华文中宋"/>
          <w:sz w:val="28"/>
          <w:szCs w:val="28"/>
        </w:rPr>
      </w:pPr>
    </w:p>
    <w:p>
      <w:pPr>
        <w:spacing w:line="580" w:lineRule="exact"/>
        <w:ind w:firstLine="640" w:firstLineChars="200"/>
        <w:rPr>
          <w:rFonts w:hint="eastAsia" w:ascii="黑体" w:hAnsi="黑体" w:eastAsia="黑体"/>
          <w:sz w:val="32"/>
          <w:szCs w:val="32"/>
        </w:rPr>
      </w:pPr>
      <w:r>
        <w:rPr>
          <w:rFonts w:hint="eastAsia" w:ascii="黑体" w:eastAsia="黑体"/>
          <w:sz w:val="32"/>
          <w:szCs w:val="32"/>
        </w:rPr>
        <w:t xml:space="preserve"> </w:t>
      </w:r>
      <w:r>
        <w:rPr>
          <w:rFonts w:hint="eastAsia" w:ascii="黑体" w:hAnsi="黑体" w:eastAsia="黑体"/>
          <w:sz w:val="32"/>
          <w:szCs w:val="32"/>
        </w:rPr>
        <w:t>一、</w:t>
      </w:r>
      <w:r>
        <w:rPr>
          <w:rFonts w:hint="eastAsia" w:ascii="黑体" w:hAnsi="黑体" w:eastAsia="黑体"/>
          <w:sz w:val="32"/>
          <w:szCs w:val="32"/>
          <w:lang w:eastAsia="zh-CN"/>
        </w:rPr>
        <w:t>单位</w:t>
      </w:r>
      <w:r>
        <w:rPr>
          <w:rFonts w:hint="eastAsia" w:ascii="黑体" w:hAnsi="黑体" w:eastAsia="黑体"/>
          <w:sz w:val="32"/>
          <w:szCs w:val="32"/>
        </w:rPr>
        <w:t>整体绩效评价报告</w:t>
      </w:r>
    </w:p>
    <w:p>
      <w:pPr>
        <w:spacing w:line="520" w:lineRule="exact"/>
        <w:ind w:firstLine="640"/>
        <w:rPr>
          <w:rFonts w:ascii="楷体_GB2312" w:eastAsia="楷体_GB2312"/>
          <w:b/>
          <w:sz w:val="28"/>
          <w:szCs w:val="28"/>
        </w:rPr>
      </w:pPr>
      <w:bookmarkStart w:id="0" w:name="_Toc268005759"/>
      <w:bookmarkStart w:id="1" w:name="_Toc263686375"/>
      <w:r>
        <w:rPr>
          <w:rFonts w:hint="eastAsia" w:ascii="楷体_GB2312" w:eastAsia="楷体_GB2312"/>
          <w:b/>
          <w:sz w:val="28"/>
          <w:szCs w:val="28"/>
        </w:rPr>
        <w:t>（一）</w:t>
      </w:r>
      <w:r>
        <w:rPr>
          <w:rFonts w:hint="eastAsia" w:ascii="楷体_GB2312" w:eastAsia="楷体_GB2312"/>
          <w:b/>
          <w:sz w:val="28"/>
          <w:szCs w:val="28"/>
          <w:lang w:val="en-US" w:eastAsia="zh-CN"/>
        </w:rPr>
        <w:t>单位</w:t>
      </w:r>
      <w:r>
        <w:rPr>
          <w:rFonts w:hint="eastAsia" w:ascii="楷体_GB2312" w:eastAsia="楷体_GB2312"/>
          <w:b/>
          <w:sz w:val="28"/>
          <w:szCs w:val="28"/>
        </w:rPr>
        <w:t>概况</w:t>
      </w:r>
    </w:p>
    <w:p>
      <w:pPr>
        <w:spacing w:line="520" w:lineRule="exact"/>
        <w:ind w:firstLine="640"/>
        <w:rPr>
          <w:rFonts w:hint="eastAsia" w:ascii="仿宋_GB2312" w:eastAsia="仿宋_GB2312"/>
          <w:sz w:val="28"/>
          <w:szCs w:val="32"/>
          <w:lang w:eastAsia="zh-CN"/>
        </w:rPr>
      </w:pPr>
      <w:bookmarkStart w:id="2" w:name="_Toc268005755"/>
      <w:r>
        <w:rPr>
          <w:rFonts w:hint="eastAsia" w:ascii="仿宋_GB2312" w:eastAsia="仿宋_GB2312"/>
          <w:sz w:val="28"/>
          <w:szCs w:val="28"/>
        </w:rPr>
        <w:t>1.</w:t>
      </w:r>
      <w:r>
        <w:rPr>
          <w:rFonts w:hint="eastAsia" w:ascii="仿宋_GB2312" w:eastAsia="仿宋_GB2312"/>
          <w:sz w:val="28"/>
          <w:szCs w:val="28"/>
          <w:lang w:val="en-US" w:eastAsia="zh-CN"/>
        </w:rPr>
        <w:t>单位</w:t>
      </w:r>
      <w:r>
        <w:rPr>
          <w:rFonts w:hint="eastAsia" w:ascii="仿宋_GB2312" w:eastAsia="仿宋_GB2312"/>
          <w:sz w:val="28"/>
          <w:szCs w:val="28"/>
        </w:rPr>
        <w:t>职责情况</w:t>
      </w:r>
      <w:r>
        <w:rPr>
          <w:rFonts w:hint="eastAsia" w:ascii="仿宋_GB2312" w:eastAsia="仿宋_GB2312"/>
          <w:sz w:val="28"/>
          <w:szCs w:val="28"/>
          <w:lang w:eastAsia="zh-CN"/>
        </w:rPr>
        <w:t>：</w:t>
      </w:r>
      <w:r>
        <w:rPr>
          <w:rFonts w:hint="eastAsia" w:ascii="仿宋_GB2312" w:eastAsia="仿宋_GB2312"/>
          <w:sz w:val="28"/>
          <w:szCs w:val="32"/>
        </w:rPr>
        <w:t>负责本区应急管理工作，指导各镇街各部门各单位应对安全生产类、自然灾害类等突发事件和综合防灾减灾救灾工作。负责安全生产综合监督管理和工矿商贸行业安全生产监督管理</w:t>
      </w:r>
      <w:r>
        <w:rPr>
          <w:rFonts w:hint="eastAsia" w:ascii="仿宋_GB2312" w:eastAsia="仿宋_GB2312"/>
          <w:sz w:val="28"/>
          <w:szCs w:val="32"/>
          <w:lang w:val="en-US" w:eastAsia="zh-CN"/>
        </w:rPr>
        <w:t>等</w:t>
      </w:r>
      <w:r>
        <w:rPr>
          <w:rFonts w:hint="eastAsia" w:ascii="仿宋_GB2312" w:eastAsia="仿宋_GB2312"/>
          <w:sz w:val="28"/>
          <w:szCs w:val="32"/>
        </w:rPr>
        <w:t>工作</w:t>
      </w:r>
      <w:r>
        <w:rPr>
          <w:rFonts w:hint="eastAsia" w:ascii="仿宋_GB2312" w:eastAsia="仿宋_GB2312"/>
          <w:sz w:val="28"/>
          <w:szCs w:val="32"/>
          <w:lang w:eastAsia="zh-CN"/>
        </w:rPr>
        <w:t>。</w:t>
      </w:r>
    </w:p>
    <w:p>
      <w:pPr>
        <w:spacing w:line="520" w:lineRule="exact"/>
        <w:ind w:firstLine="640"/>
        <w:rPr>
          <w:rFonts w:hint="eastAsia" w:ascii="仿宋_GB2312" w:eastAsia="仿宋_GB2312"/>
          <w:sz w:val="28"/>
          <w:szCs w:val="28"/>
          <w:lang w:eastAsia="zh-CN"/>
        </w:rPr>
      </w:pPr>
      <w:r>
        <w:rPr>
          <w:rFonts w:hint="eastAsia" w:ascii="仿宋_GB2312" w:eastAsia="仿宋_GB2312"/>
          <w:sz w:val="28"/>
          <w:szCs w:val="28"/>
        </w:rPr>
        <w:t>2.</w:t>
      </w:r>
      <w:r>
        <w:rPr>
          <w:rFonts w:hint="eastAsia" w:ascii="仿宋_GB2312" w:eastAsia="仿宋_GB2312"/>
          <w:sz w:val="28"/>
          <w:szCs w:val="28"/>
          <w:lang w:val="en-US" w:eastAsia="zh-CN"/>
        </w:rPr>
        <w:t>单位</w:t>
      </w:r>
      <w:r>
        <w:rPr>
          <w:rFonts w:hint="eastAsia" w:ascii="仿宋_GB2312" w:eastAsia="仿宋_GB2312"/>
          <w:sz w:val="28"/>
          <w:szCs w:val="28"/>
        </w:rPr>
        <w:t>机构设置情况</w:t>
      </w:r>
      <w:r>
        <w:rPr>
          <w:rFonts w:hint="eastAsia" w:ascii="仿宋_GB2312" w:eastAsia="仿宋_GB2312"/>
          <w:sz w:val="28"/>
          <w:szCs w:val="28"/>
          <w:lang w:eastAsia="zh-CN"/>
        </w:rPr>
        <w:t>：</w:t>
      </w:r>
      <w:r>
        <w:rPr>
          <w:rFonts w:hint="eastAsia" w:ascii="仿宋_GB2312" w:eastAsia="仿宋_GB2312"/>
          <w:sz w:val="28"/>
          <w:szCs w:val="32"/>
        </w:rPr>
        <w:t>本</w:t>
      </w:r>
      <w:r>
        <w:rPr>
          <w:rFonts w:hint="eastAsia" w:ascii="仿宋_GB2312" w:eastAsia="仿宋_GB2312"/>
          <w:sz w:val="28"/>
          <w:szCs w:val="32"/>
          <w:lang w:val="en-US" w:eastAsia="zh-CN"/>
        </w:rPr>
        <w:t>单位</w:t>
      </w:r>
      <w:r>
        <w:rPr>
          <w:rFonts w:hint="eastAsia" w:ascii="仿宋_GB2312" w:eastAsia="仿宋_GB2312"/>
          <w:sz w:val="28"/>
          <w:szCs w:val="32"/>
        </w:rPr>
        <w:t>共设</w:t>
      </w:r>
      <w:r>
        <w:rPr>
          <w:rFonts w:hint="eastAsia" w:ascii="仿宋_GB2312" w:eastAsia="仿宋_GB2312"/>
          <w:sz w:val="28"/>
          <w:szCs w:val="32"/>
          <w:lang w:val="en-US" w:eastAsia="zh-CN"/>
        </w:rPr>
        <w:t>5</w:t>
      </w:r>
      <w:r>
        <w:rPr>
          <w:rFonts w:hint="eastAsia" w:ascii="仿宋_GB2312" w:eastAsia="仿宋_GB2312"/>
          <w:sz w:val="28"/>
          <w:szCs w:val="32"/>
        </w:rPr>
        <w:t>个内设机构。行政编制</w:t>
      </w:r>
      <w:r>
        <w:rPr>
          <w:rFonts w:hint="eastAsia" w:ascii="仿宋_GB2312" w:eastAsia="仿宋_GB2312"/>
          <w:sz w:val="28"/>
          <w:szCs w:val="32"/>
          <w:lang w:val="en-US" w:eastAsia="zh-CN"/>
        </w:rPr>
        <w:t>52</w:t>
      </w:r>
      <w:r>
        <w:rPr>
          <w:rFonts w:hint="eastAsia" w:ascii="仿宋_GB2312" w:eastAsia="仿宋_GB2312"/>
          <w:sz w:val="28"/>
          <w:szCs w:val="32"/>
        </w:rPr>
        <w:t>名，实际</w:t>
      </w:r>
      <w:r>
        <w:rPr>
          <w:rFonts w:hint="eastAsia" w:ascii="仿宋_GB2312" w:eastAsia="仿宋_GB2312"/>
          <w:sz w:val="28"/>
          <w:szCs w:val="32"/>
          <w:lang w:val="en-US" w:eastAsia="zh-CN"/>
        </w:rPr>
        <w:t>52</w:t>
      </w:r>
      <w:r>
        <w:rPr>
          <w:rFonts w:hint="eastAsia" w:ascii="仿宋_GB2312" w:eastAsia="仿宋_GB2312"/>
          <w:sz w:val="28"/>
          <w:szCs w:val="32"/>
        </w:rPr>
        <w:t>人；事业编制</w:t>
      </w:r>
      <w:r>
        <w:rPr>
          <w:rFonts w:hint="eastAsia" w:ascii="仿宋_GB2312" w:eastAsia="仿宋_GB2312"/>
          <w:sz w:val="28"/>
          <w:szCs w:val="32"/>
          <w:lang w:val="en-US" w:eastAsia="zh-CN"/>
        </w:rPr>
        <w:t>0</w:t>
      </w:r>
      <w:r>
        <w:rPr>
          <w:rFonts w:hint="eastAsia" w:ascii="仿宋_GB2312" w:eastAsia="仿宋_GB2312"/>
          <w:sz w:val="28"/>
          <w:szCs w:val="32"/>
        </w:rPr>
        <w:t>名，实际</w:t>
      </w:r>
      <w:r>
        <w:rPr>
          <w:rFonts w:hint="eastAsia" w:ascii="仿宋_GB2312" w:eastAsia="仿宋_GB2312"/>
          <w:sz w:val="28"/>
          <w:szCs w:val="32"/>
          <w:lang w:val="en-US" w:eastAsia="zh-CN"/>
        </w:rPr>
        <w:t>0</w:t>
      </w:r>
      <w:r>
        <w:rPr>
          <w:rFonts w:hint="eastAsia" w:ascii="仿宋_GB2312" w:eastAsia="仿宋_GB2312"/>
          <w:sz w:val="28"/>
          <w:szCs w:val="32"/>
        </w:rPr>
        <w:t>人；离退休人员人，其中：离休</w:t>
      </w:r>
      <w:r>
        <w:rPr>
          <w:rFonts w:hint="eastAsia" w:ascii="仿宋_GB2312" w:eastAsia="仿宋_GB2312"/>
          <w:sz w:val="28"/>
          <w:szCs w:val="32"/>
          <w:lang w:val="en-US" w:eastAsia="zh-CN"/>
        </w:rPr>
        <w:t>0</w:t>
      </w:r>
      <w:r>
        <w:rPr>
          <w:rFonts w:hint="eastAsia" w:ascii="仿宋_GB2312" w:eastAsia="仿宋_GB2312"/>
          <w:sz w:val="28"/>
          <w:szCs w:val="32"/>
        </w:rPr>
        <w:t>人，行政退休</w:t>
      </w:r>
      <w:r>
        <w:rPr>
          <w:rFonts w:hint="eastAsia" w:ascii="仿宋_GB2312" w:eastAsia="仿宋_GB2312"/>
          <w:sz w:val="28"/>
          <w:szCs w:val="32"/>
          <w:lang w:val="en-US" w:eastAsia="zh-CN"/>
        </w:rPr>
        <w:t>22</w:t>
      </w:r>
      <w:r>
        <w:rPr>
          <w:rFonts w:hint="eastAsia" w:ascii="仿宋_GB2312" w:eastAsia="仿宋_GB2312"/>
          <w:sz w:val="28"/>
          <w:szCs w:val="32"/>
        </w:rPr>
        <w:t>人，事业退休</w:t>
      </w:r>
      <w:r>
        <w:rPr>
          <w:rFonts w:hint="eastAsia" w:ascii="仿宋_GB2312" w:eastAsia="仿宋_GB2312"/>
          <w:sz w:val="28"/>
          <w:szCs w:val="32"/>
          <w:lang w:val="en-US" w:eastAsia="zh-CN"/>
        </w:rPr>
        <w:t>0</w:t>
      </w:r>
      <w:r>
        <w:rPr>
          <w:rFonts w:hint="eastAsia" w:ascii="仿宋_GB2312" w:eastAsia="仿宋_GB2312"/>
          <w:sz w:val="28"/>
          <w:szCs w:val="32"/>
        </w:rPr>
        <w:t>人；其他人员</w:t>
      </w:r>
      <w:r>
        <w:rPr>
          <w:rFonts w:hint="eastAsia" w:ascii="仿宋_GB2312" w:eastAsia="仿宋_GB2312"/>
          <w:sz w:val="28"/>
          <w:szCs w:val="32"/>
          <w:lang w:val="en-US" w:eastAsia="zh-CN"/>
        </w:rPr>
        <w:t>0</w:t>
      </w:r>
      <w:r>
        <w:rPr>
          <w:rFonts w:hint="eastAsia" w:ascii="仿宋_GB2312" w:eastAsia="仿宋_GB2312"/>
          <w:sz w:val="28"/>
          <w:szCs w:val="32"/>
        </w:rPr>
        <w:t>人，其中：社会化用工</w:t>
      </w:r>
      <w:r>
        <w:rPr>
          <w:rFonts w:hint="eastAsia" w:ascii="仿宋_GB2312" w:eastAsia="仿宋_GB2312"/>
          <w:sz w:val="28"/>
          <w:szCs w:val="32"/>
          <w:lang w:val="en-US" w:eastAsia="zh-CN"/>
        </w:rPr>
        <w:t>2</w:t>
      </w:r>
      <w:r>
        <w:rPr>
          <w:rFonts w:hint="eastAsia" w:ascii="仿宋_GB2312" w:eastAsia="仿宋_GB2312"/>
          <w:sz w:val="28"/>
          <w:szCs w:val="32"/>
        </w:rPr>
        <w:t>人。</w:t>
      </w:r>
    </w:p>
    <w:p>
      <w:pPr>
        <w:spacing w:line="520" w:lineRule="exact"/>
        <w:ind w:firstLine="640"/>
        <w:rPr>
          <w:rFonts w:hint="eastAsia" w:ascii="仿宋_GB2312" w:eastAsia="仿宋_GB2312"/>
          <w:sz w:val="28"/>
          <w:szCs w:val="28"/>
          <w:lang w:eastAsia="zh-CN"/>
        </w:rPr>
      </w:pPr>
      <w:r>
        <w:rPr>
          <w:rFonts w:hint="eastAsia" w:ascii="仿宋_GB2312" w:eastAsia="仿宋_GB2312"/>
          <w:sz w:val="28"/>
          <w:szCs w:val="28"/>
        </w:rPr>
        <w:t>3.2025年主要工作任务</w:t>
      </w:r>
      <w:r>
        <w:rPr>
          <w:rFonts w:hint="eastAsia" w:ascii="仿宋_GB2312" w:eastAsia="仿宋_GB2312"/>
          <w:sz w:val="28"/>
          <w:szCs w:val="28"/>
          <w:lang w:eastAsia="zh-CN"/>
        </w:rPr>
        <w:t>：</w:t>
      </w:r>
      <w:r>
        <w:rPr>
          <w:rFonts w:hint="eastAsia" w:ascii="仿宋_GB2312" w:eastAsia="仿宋_GB2312"/>
          <w:sz w:val="28"/>
          <w:szCs w:val="28"/>
          <w:lang w:val="en-US" w:eastAsia="zh-CN"/>
        </w:rPr>
        <w:t>保障我区应急指挥系统全年正常运转，及时处置上报相关突发事件，保障“安全生产治本攻坚三年行动”开展，开展防汛及森林放灭火工作，提高我区救灾救援整体水平。完成上级部门交办的其他相关工作。</w:t>
      </w:r>
    </w:p>
    <w:bookmarkEnd w:id="2"/>
    <w:p>
      <w:pPr>
        <w:spacing w:line="580" w:lineRule="exact"/>
        <w:ind w:firstLine="640"/>
        <w:rPr>
          <w:rFonts w:hint="eastAsia" w:ascii="仿宋_GB2312" w:eastAsia="仿宋_GB2312"/>
          <w:sz w:val="32"/>
          <w:szCs w:val="32"/>
        </w:rPr>
      </w:pPr>
      <w:r>
        <w:rPr>
          <w:rFonts w:hint="eastAsia" w:ascii="仿宋_GB2312" w:eastAsia="仿宋_GB2312"/>
          <w:sz w:val="28"/>
          <w:szCs w:val="32"/>
        </w:rPr>
        <w:t>4.</w:t>
      </w:r>
      <w:bookmarkEnd w:id="0"/>
      <w:r>
        <w:rPr>
          <w:rFonts w:hint="eastAsia" w:ascii="仿宋_GB2312" w:eastAsia="仿宋_GB2312"/>
          <w:sz w:val="28"/>
          <w:szCs w:val="32"/>
          <w:lang w:eastAsia="zh-CN"/>
        </w:rPr>
        <w:t>单位</w:t>
      </w:r>
      <w:r>
        <w:rPr>
          <w:rFonts w:hint="eastAsia" w:ascii="仿宋_GB2312" w:eastAsia="仿宋_GB2312"/>
          <w:sz w:val="28"/>
          <w:szCs w:val="32"/>
        </w:rPr>
        <w:t>整体绩效目标设立情况</w:t>
      </w:r>
    </w:p>
    <w:tbl>
      <w:tblPr>
        <w:tblStyle w:val="10"/>
        <w:tblW w:w="5000" w:type="pct"/>
        <w:tblInd w:w="0" w:type="dxa"/>
        <w:tblLayout w:type="autofit"/>
        <w:tblCellMar>
          <w:top w:w="0" w:type="dxa"/>
          <w:left w:w="108" w:type="dxa"/>
          <w:bottom w:w="0" w:type="dxa"/>
          <w:right w:w="108" w:type="dxa"/>
        </w:tblCellMar>
      </w:tblPr>
      <w:tblGrid>
        <w:gridCol w:w="1628"/>
        <w:gridCol w:w="4696"/>
        <w:gridCol w:w="2140"/>
        <w:gridCol w:w="1977"/>
        <w:gridCol w:w="1808"/>
        <w:gridCol w:w="2537"/>
      </w:tblGrid>
      <w:tr>
        <w:tblPrEx>
          <w:tblCellMar>
            <w:top w:w="0" w:type="dxa"/>
            <w:left w:w="108" w:type="dxa"/>
            <w:bottom w:w="0" w:type="dxa"/>
            <w:right w:w="108" w:type="dxa"/>
          </w:tblCellMar>
        </w:tblPrEx>
        <w:trPr>
          <w:trHeight w:val="275" w:hRule="atLeast"/>
        </w:trPr>
        <w:tc>
          <w:tcPr>
            <w:tcW w:w="680" w:type="pct"/>
            <w:tcBorders>
              <w:top w:val="single" w:color="auto" w:sz="4" w:space="0"/>
              <w:left w:val="single" w:color="auto" w:sz="4" w:space="0"/>
              <w:bottom w:val="single" w:color="auto" w:sz="4" w:space="0"/>
              <w:right w:val="single" w:color="auto" w:sz="4" w:space="0"/>
            </w:tcBorders>
            <w:noWrap/>
            <w:vAlign w:val="bottom"/>
          </w:tcPr>
          <w:p>
            <w:pPr>
              <w:spacing w:line="520" w:lineRule="exact"/>
              <w:jc w:val="center"/>
              <w:rPr>
                <w:rFonts w:hint="eastAsia" w:ascii="仿宋_GB2312" w:eastAsia="仿宋_GB2312"/>
                <w:sz w:val="28"/>
                <w:szCs w:val="28"/>
              </w:rPr>
            </w:pPr>
            <w:r>
              <w:rPr>
                <w:rFonts w:hint="eastAsia" w:ascii="仿宋_GB2312" w:eastAsia="仿宋_GB2312"/>
                <w:sz w:val="28"/>
                <w:szCs w:val="28"/>
              </w:rPr>
              <w:t>序号</w:t>
            </w:r>
          </w:p>
        </w:tc>
        <w:tc>
          <w:tcPr>
            <w:tcW w:w="941" w:type="pct"/>
            <w:tcBorders>
              <w:top w:val="single" w:color="auto" w:sz="4" w:space="0"/>
              <w:left w:val="nil"/>
              <w:bottom w:val="single" w:color="auto" w:sz="4" w:space="0"/>
              <w:right w:val="single" w:color="auto" w:sz="4" w:space="0"/>
            </w:tcBorders>
            <w:noWrap/>
            <w:vAlign w:val="bottom"/>
          </w:tcPr>
          <w:p>
            <w:pPr>
              <w:spacing w:line="520" w:lineRule="exact"/>
              <w:jc w:val="center"/>
              <w:rPr>
                <w:rFonts w:hint="eastAsia" w:ascii="仿宋_GB2312" w:eastAsia="仿宋_GB2312"/>
                <w:sz w:val="28"/>
                <w:szCs w:val="28"/>
              </w:rPr>
            </w:pPr>
            <w:r>
              <w:rPr>
                <w:rFonts w:hint="eastAsia" w:ascii="仿宋_GB2312" w:eastAsia="仿宋_GB2312"/>
                <w:sz w:val="28"/>
                <w:szCs w:val="28"/>
              </w:rPr>
              <w:t>三级指标</w:t>
            </w:r>
          </w:p>
        </w:tc>
        <w:tc>
          <w:tcPr>
            <w:tcW w:w="853" w:type="pct"/>
            <w:tcBorders>
              <w:top w:val="single" w:color="auto" w:sz="4" w:space="0"/>
              <w:left w:val="nil"/>
              <w:bottom w:val="single" w:color="auto" w:sz="4" w:space="0"/>
              <w:right w:val="single" w:color="auto" w:sz="4" w:space="0"/>
            </w:tcBorders>
            <w:noWrap/>
            <w:vAlign w:val="bottom"/>
          </w:tcPr>
          <w:p>
            <w:pPr>
              <w:spacing w:line="520" w:lineRule="exact"/>
              <w:jc w:val="center"/>
              <w:rPr>
                <w:rFonts w:hint="eastAsia" w:ascii="仿宋_GB2312" w:eastAsia="仿宋_GB2312"/>
                <w:sz w:val="28"/>
                <w:szCs w:val="28"/>
              </w:rPr>
            </w:pPr>
            <w:r>
              <w:rPr>
                <w:rFonts w:hint="eastAsia" w:ascii="仿宋_GB2312" w:eastAsia="仿宋_GB2312"/>
                <w:sz w:val="28"/>
                <w:szCs w:val="28"/>
              </w:rPr>
              <w:t>指标性质</w:t>
            </w:r>
          </w:p>
        </w:tc>
        <w:tc>
          <w:tcPr>
            <w:tcW w:w="683" w:type="pct"/>
            <w:tcBorders>
              <w:top w:val="single" w:color="auto" w:sz="4" w:space="0"/>
              <w:left w:val="nil"/>
              <w:bottom w:val="single" w:color="auto" w:sz="4" w:space="0"/>
              <w:right w:val="single" w:color="auto" w:sz="4" w:space="0"/>
            </w:tcBorders>
            <w:noWrap/>
            <w:vAlign w:val="bottom"/>
          </w:tcPr>
          <w:p>
            <w:pPr>
              <w:spacing w:line="520" w:lineRule="exact"/>
              <w:jc w:val="center"/>
              <w:rPr>
                <w:rFonts w:hint="eastAsia" w:ascii="仿宋_GB2312" w:eastAsia="仿宋_GB2312"/>
                <w:sz w:val="28"/>
                <w:szCs w:val="28"/>
              </w:rPr>
            </w:pPr>
            <w:r>
              <w:rPr>
                <w:rFonts w:hint="eastAsia" w:ascii="仿宋_GB2312" w:eastAsia="仿宋_GB2312"/>
                <w:sz w:val="28"/>
                <w:szCs w:val="28"/>
              </w:rPr>
              <w:t>指标值</w:t>
            </w:r>
          </w:p>
        </w:tc>
        <w:tc>
          <w:tcPr>
            <w:tcW w:w="855" w:type="pct"/>
            <w:tcBorders>
              <w:top w:val="single" w:color="auto" w:sz="4" w:space="0"/>
              <w:left w:val="nil"/>
              <w:bottom w:val="single" w:color="auto" w:sz="4" w:space="0"/>
              <w:right w:val="single" w:color="auto" w:sz="4" w:space="0"/>
            </w:tcBorders>
          </w:tcPr>
          <w:p>
            <w:pPr>
              <w:spacing w:line="520" w:lineRule="exact"/>
              <w:jc w:val="center"/>
              <w:rPr>
                <w:rFonts w:hint="eastAsia" w:ascii="仿宋_GB2312" w:eastAsia="仿宋_GB2312"/>
                <w:sz w:val="28"/>
                <w:szCs w:val="28"/>
              </w:rPr>
            </w:pPr>
            <w:r>
              <w:rPr>
                <w:rFonts w:hint="eastAsia" w:ascii="仿宋_GB2312" w:eastAsia="仿宋_GB2312"/>
                <w:sz w:val="28"/>
                <w:szCs w:val="28"/>
              </w:rPr>
              <w:t>度量单位</w:t>
            </w:r>
          </w:p>
        </w:tc>
        <w:tc>
          <w:tcPr>
            <w:tcW w:w="987" w:type="pct"/>
            <w:tcBorders>
              <w:top w:val="single" w:color="auto" w:sz="4" w:space="0"/>
              <w:left w:val="nil"/>
              <w:bottom w:val="single" w:color="auto" w:sz="4" w:space="0"/>
              <w:right w:val="single" w:color="auto" w:sz="4" w:space="0"/>
            </w:tcBorders>
          </w:tcPr>
          <w:p>
            <w:pPr>
              <w:spacing w:line="520" w:lineRule="exact"/>
              <w:jc w:val="center"/>
              <w:rPr>
                <w:rFonts w:hint="eastAsia" w:ascii="仿宋_GB2312" w:eastAsia="仿宋_GB2312"/>
                <w:sz w:val="28"/>
                <w:szCs w:val="28"/>
              </w:rPr>
            </w:pPr>
            <w:r>
              <w:rPr>
                <w:rFonts w:hint="eastAsia" w:ascii="仿宋_GB2312" w:eastAsia="仿宋_GB2312"/>
                <w:sz w:val="28"/>
                <w:szCs w:val="28"/>
              </w:rPr>
              <w:t>指标权重</w:t>
            </w:r>
          </w:p>
        </w:tc>
      </w:tr>
      <w:tr>
        <w:tblPrEx>
          <w:tblCellMar>
            <w:top w:w="0" w:type="dxa"/>
            <w:left w:w="108" w:type="dxa"/>
            <w:bottom w:w="0" w:type="dxa"/>
            <w:right w:w="108" w:type="dxa"/>
          </w:tblCellMar>
        </w:tblPrEx>
        <w:trPr>
          <w:trHeight w:val="275" w:hRule="atLeast"/>
        </w:trPr>
        <w:tc>
          <w:tcPr>
            <w:tcW w:w="680" w:type="pct"/>
            <w:tcBorders>
              <w:top w:val="single" w:color="auto" w:sz="4" w:space="0"/>
              <w:left w:val="single" w:color="auto" w:sz="4" w:space="0"/>
              <w:bottom w:val="single" w:color="auto" w:sz="4" w:space="0"/>
              <w:right w:val="single" w:color="auto" w:sz="4" w:space="0"/>
            </w:tcBorders>
            <w:noWrap/>
            <w:vAlign w:val="bottom"/>
          </w:tcPr>
          <w:p>
            <w:pPr>
              <w:spacing w:line="520" w:lineRule="exact"/>
              <w:jc w:val="center"/>
              <w:rPr>
                <w:rFonts w:hint="eastAsia" w:ascii="仿宋_GB2312" w:eastAsia="仿宋_GB2312"/>
                <w:sz w:val="28"/>
                <w:szCs w:val="28"/>
              </w:rPr>
            </w:pPr>
            <w:r>
              <w:rPr>
                <w:rFonts w:hint="eastAsia" w:ascii="仿宋_GB2312" w:eastAsia="仿宋_GB2312"/>
                <w:sz w:val="28"/>
                <w:szCs w:val="28"/>
              </w:rPr>
              <w:t>1</w:t>
            </w:r>
          </w:p>
        </w:tc>
        <w:tc>
          <w:tcPr>
            <w:tcW w:w="941" w:type="pct"/>
            <w:tcBorders>
              <w:top w:val="single" w:color="auto" w:sz="4" w:space="0"/>
              <w:left w:val="single" w:color="auto" w:sz="4" w:space="0"/>
              <w:bottom w:val="single" w:color="auto" w:sz="4" w:space="0"/>
              <w:right w:val="single" w:color="auto" w:sz="4" w:space="0"/>
            </w:tcBorders>
            <w:noWrap/>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rPr>
              <w:t>保障机关单位正常运转</w:t>
            </w:r>
          </w:p>
        </w:tc>
        <w:tc>
          <w:tcPr>
            <w:tcW w:w="853" w:type="pct"/>
            <w:tcBorders>
              <w:top w:val="single" w:color="auto" w:sz="4" w:space="0"/>
              <w:left w:val="single" w:color="auto" w:sz="4" w:space="0"/>
              <w:bottom w:val="single" w:color="auto" w:sz="4" w:space="0"/>
              <w:right w:val="single" w:color="auto" w:sz="4" w:space="0"/>
            </w:tcBorders>
            <w:noWrap/>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100%</w:t>
            </w:r>
          </w:p>
        </w:tc>
        <w:tc>
          <w:tcPr>
            <w:tcW w:w="683" w:type="pct"/>
            <w:tcBorders>
              <w:top w:val="single" w:color="auto" w:sz="4" w:space="0"/>
              <w:left w:val="single" w:color="auto" w:sz="4" w:space="0"/>
              <w:bottom w:val="single" w:color="auto" w:sz="4" w:space="0"/>
              <w:right w:val="single" w:color="auto" w:sz="4" w:space="0"/>
            </w:tcBorders>
            <w:noWrap/>
            <w:vAlign w:val="center"/>
          </w:tcPr>
          <w:p>
            <w:pPr>
              <w:spacing w:line="520" w:lineRule="exact"/>
              <w:ind w:firstLine="640" w:firstLineChars="0"/>
              <w:jc w:val="both"/>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w:t>
            </w:r>
          </w:p>
        </w:tc>
        <w:tc>
          <w:tcPr>
            <w:tcW w:w="855" w:type="pct"/>
            <w:tcBorders>
              <w:top w:val="single" w:color="auto" w:sz="4" w:space="0"/>
              <w:left w:val="single" w:color="auto" w:sz="4" w:space="0"/>
              <w:bottom w:val="single" w:color="auto" w:sz="4" w:space="0"/>
              <w:right w:val="single" w:color="auto" w:sz="4" w:space="0"/>
            </w:tcBorders>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年</w:t>
            </w:r>
          </w:p>
        </w:tc>
        <w:tc>
          <w:tcPr>
            <w:tcW w:w="987" w:type="pct"/>
            <w:tcBorders>
              <w:top w:val="single" w:color="auto" w:sz="4" w:space="0"/>
              <w:left w:val="single" w:color="auto" w:sz="4" w:space="0"/>
              <w:bottom w:val="single" w:color="auto" w:sz="4" w:space="0"/>
              <w:right w:val="single" w:color="auto" w:sz="4" w:space="0"/>
            </w:tcBorders>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20%</w:t>
            </w:r>
          </w:p>
        </w:tc>
      </w:tr>
      <w:tr>
        <w:tblPrEx>
          <w:tblCellMar>
            <w:top w:w="0" w:type="dxa"/>
            <w:left w:w="108" w:type="dxa"/>
            <w:bottom w:w="0" w:type="dxa"/>
            <w:right w:w="108" w:type="dxa"/>
          </w:tblCellMar>
        </w:tblPrEx>
        <w:trPr>
          <w:trHeight w:val="275" w:hRule="atLeast"/>
        </w:trPr>
        <w:tc>
          <w:tcPr>
            <w:tcW w:w="680" w:type="pct"/>
            <w:tcBorders>
              <w:top w:val="single" w:color="auto" w:sz="4" w:space="0"/>
              <w:left w:val="single" w:color="auto" w:sz="4" w:space="0"/>
              <w:bottom w:val="single" w:color="auto" w:sz="4" w:space="0"/>
              <w:right w:val="single" w:color="auto" w:sz="4" w:space="0"/>
            </w:tcBorders>
            <w:noWrap/>
            <w:vAlign w:val="bottom"/>
          </w:tcPr>
          <w:p>
            <w:pPr>
              <w:spacing w:line="520" w:lineRule="exact"/>
              <w:jc w:val="center"/>
              <w:rPr>
                <w:rFonts w:hint="eastAsia" w:ascii="仿宋_GB2312" w:eastAsia="仿宋_GB2312"/>
                <w:sz w:val="28"/>
                <w:szCs w:val="28"/>
              </w:rPr>
            </w:pPr>
            <w:r>
              <w:rPr>
                <w:rFonts w:hint="eastAsia" w:ascii="仿宋_GB2312" w:eastAsia="仿宋_GB2312"/>
                <w:sz w:val="28"/>
                <w:szCs w:val="28"/>
              </w:rPr>
              <w:t>2</w:t>
            </w:r>
          </w:p>
        </w:tc>
        <w:tc>
          <w:tcPr>
            <w:tcW w:w="941" w:type="pct"/>
            <w:tcBorders>
              <w:top w:val="single" w:color="auto" w:sz="4" w:space="0"/>
              <w:left w:val="single" w:color="auto" w:sz="4" w:space="0"/>
              <w:bottom w:val="single" w:color="auto" w:sz="4" w:space="0"/>
              <w:right w:val="single" w:color="auto" w:sz="4" w:space="0"/>
            </w:tcBorders>
            <w:noWrap/>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rPr>
              <w:t>保障应急指挥中心24小时值守</w:t>
            </w:r>
          </w:p>
        </w:tc>
        <w:tc>
          <w:tcPr>
            <w:tcW w:w="853" w:type="pct"/>
            <w:tcBorders>
              <w:top w:val="single" w:color="auto" w:sz="4" w:space="0"/>
              <w:left w:val="single" w:color="auto" w:sz="4" w:space="0"/>
              <w:bottom w:val="single" w:color="auto" w:sz="4" w:space="0"/>
              <w:right w:val="single" w:color="auto" w:sz="4" w:space="0"/>
            </w:tcBorders>
            <w:noWrap/>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100%</w:t>
            </w:r>
          </w:p>
        </w:tc>
        <w:tc>
          <w:tcPr>
            <w:tcW w:w="683" w:type="pct"/>
            <w:tcBorders>
              <w:top w:val="single" w:color="auto" w:sz="4" w:space="0"/>
              <w:left w:val="single" w:color="auto" w:sz="4" w:space="0"/>
              <w:bottom w:val="single" w:color="auto" w:sz="4" w:space="0"/>
              <w:right w:val="single" w:color="auto" w:sz="4" w:space="0"/>
            </w:tcBorders>
            <w:noWrap/>
            <w:vAlign w:val="center"/>
          </w:tcPr>
          <w:p>
            <w:pPr>
              <w:spacing w:line="520" w:lineRule="exact"/>
              <w:ind w:firstLine="640" w:firstLineChars="0"/>
              <w:jc w:val="both"/>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24</w:t>
            </w:r>
          </w:p>
        </w:tc>
        <w:tc>
          <w:tcPr>
            <w:tcW w:w="855" w:type="pct"/>
            <w:tcBorders>
              <w:top w:val="single" w:color="auto" w:sz="4" w:space="0"/>
              <w:left w:val="single" w:color="auto" w:sz="4" w:space="0"/>
              <w:bottom w:val="single" w:color="auto" w:sz="4" w:space="0"/>
              <w:right w:val="single" w:color="auto" w:sz="4" w:space="0"/>
            </w:tcBorders>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小时</w:t>
            </w:r>
          </w:p>
        </w:tc>
        <w:tc>
          <w:tcPr>
            <w:tcW w:w="987" w:type="pct"/>
            <w:tcBorders>
              <w:top w:val="single" w:color="auto" w:sz="4" w:space="0"/>
              <w:left w:val="single" w:color="auto" w:sz="4" w:space="0"/>
              <w:bottom w:val="single" w:color="auto" w:sz="4" w:space="0"/>
              <w:right w:val="single" w:color="auto" w:sz="4" w:space="0"/>
            </w:tcBorders>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w:t>
            </w:r>
          </w:p>
        </w:tc>
      </w:tr>
      <w:tr>
        <w:tblPrEx>
          <w:tblCellMar>
            <w:top w:w="0" w:type="dxa"/>
            <w:left w:w="108" w:type="dxa"/>
            <w:bottom w:w="0" w:type="dxa"/>
            <w:right w:w="108" w:type="dxa"/>
          </w:tblCellMar>
        </w:tblPrEx>
        <w:trPr>
          <w:trHeight w:val="275" w:hRule="atLeast"/>
        </w:trPr>
        <w:tc>
          <w:tcPr>
            <w:tcW w:w="680" w:type="pct"/>
            <w:tcBorders>
              <w:top w:val="single" w:color="auto" w:sz="4" w:space="0"/>
              <w:left w:val="single" w:color="auto" w:sz="4" w:space="0"/>
              <w:bottom w:val="single" w:color="auto" w:sz="4" w:space="0"/>
              <w:right w:val="single" w:color="auto" w:sz="4" w:space="0"/>
            </w:tcBorders>
            <w:noWrap/>
            <w:vAlign w:val="bottom"/>
          </w:tcPr>
          <w:p>
            <w:pPr>
              <w:spacing w:line="520" w:lineRule="exact"/>
              <w:jc w:val="center"/>
              <w:rPr>
                <w:rFonts w:hint="eastAsia" w:ascii="仿宋_GB2312" w:eastAsia="仿宋_GB2312"/>
                <w:sz w:val="28"/>
                <w:szCs w:val="28"/>
              </w:rPr>
            </w:pPr>
            <w:r>
              <w:rPr>
                <w:rFonts w:hint="eastAsia" w:ascii="仿宋_GB2312" w:eastAsia="仿宋_GB2312"/>
                <w:sz w:val="28"/>
                <w:szCs w:val="28"/>
              </w:rPr>
              <w:t>3</w:t>
            </w:r>
          </w:p>
        </w:tc>
        <w:tc>
          <w:tcPr>
            <w:tcW w:w="941" w:type="pct"/>
            <w:tcBorders>
              <w:top w:val="single" w:color="auto" w:sz="4" w:space="0"/>
              <w:left w:val="single" w:color="auto" w:sz="4" w:space="0"/>
              <w:bottom w:val="single" w:color="auto" w:sz="4" w:space="0"/>
              <w:right w:val="single" w:color="auto" w:sz="4" w:space="0"/>
            </w:tcBorders>
            <w:noWrap/>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rPr>
              <w:t>保障京西哨兵系统全年正常运转</w:t>
            </w:r>
          </w:p>
        </w:tc>
        <w:tc>
          <w:tcPr>
            <w:tcW w:w="853" w:type="pct"/>
            <w:tcBorders>
              <w:top w:val="single" w:color="auto" w:sz="4" w:space="0"/>
              <w:left w:val="single" w:color="auto" w:sz="4" w:space="0"/>
              <w:bottom w:val="single" w:color="auto" w:sz="4" w:space="0"/>
              <w:right w:val="single" w:color="auto" w:sz="4" w:space="0"/>
            </w:tcBorders>
            <w:noWrap/>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100%</w:t>
            </w:r>
          </w:p>
        </w:tc>
        <w:tc>
          <w:tcPr>
            <w:tcW w:w="683" w:type="pct"/>
            <w:tcBorders>
              <w:top w:val="single" w:color="auto" w:sz="4" w:space="0"/>
              <w:left w:val="single" w:color="auto" w:sz="4" w:space="0"/>
              <w:bottom w:val="single" w:color="auto" w:sz="4" w:space="0"/>
              <w:right w:val="single" w:color="auto" w:sz="4" w:space="0"/>
            </w:tcBorders>
            <w:noWrap/>
            <w:vAlign w:val="center"/>
          </w:tcPr>
          <w:p>
            <w:pPr>
              <w:spacing w:line="520" w:lineRule="exact"/>
              <w:ind w:firstLine="640" w:firstLineChars="0"/>
              <w:jc w:val="both"/>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w:t>
            </w:r>
          </w:p>
        </w:tc>
        <w:tc>
          <w:tcPr>
            <w:tcW w:w="855" w:type="pct"/>
            <w:tcBorders>
              <w:top w:val="single" w:color="auto" w:sz="4" w:space="0"/>
              <w:left w:val="single" w:color="auto" w:sz="4" w:space="0"/>
              <w:bottom w:val="single" w:color="auto" w:sz="4" w:space="0"/>
              <w:right w:val="single" w:color="auto" w:sz="4" w:space="0"/>
            </w:tcBorders>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年</w:t>
            </w:r>
          </w:p>
        </w:tc>
        <w:tc>
          <w:tcPr>
            <w:tcW w:w="987" w:type="pct"/>
            <w:tcBorders>
              <w:top w:val="single" w:color="auto" w:sz="4" w:space="0"/>
              <w:left w:val="single" w:color="auto" w:sz="4" w:space="0"/>
              <w:bottom w:val="single" w:color="auto" w:sz="4" w:space="0"/>
              <w:right w:val="single" w:color="auto" w:sz="4" w:space="0"/>
            </w:tcBorders>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w:t>
            </w:r>
          </w:p>
        </w:tc>
      </w:tr>
      <w:tr>
        <w:tblPrEx>
          <w:tblCellMar>
            <w:top w:w="0" w:type="dxa"/>
            <w:left w:w="108" w:type="dxa"/>
            <w:bottom w:w="0" w:type="dxa"/>
            <w:right w:w="108" w:type="dxa"/>
          </w:tblCellMar>
        </w:tblPrEx>
        <w:trPr>
          <w:trHeight w:val="275" w:hRule="atLeast"/>
        </w:trPr>
        <w:tc>
          <w:tcPr>
            <w:tcW w:w="680" w:type="pct"/>
            <w:tcBorders>
              <w:top w:val="single" w:color="auto" w:sz="4" w:space="0"/>
              <w:left w:val="single" w:color="auto" w:sz="4" w:space="0"/>
              <w:bottom w:val="single" w:color="auto" w:sz="4" w:space="0"/>
              <w:right w:val="single" w:color="auto" w:sz="4" w:space="0"/>
            </w:tcBorders>
            <w:noWrap/>
            <w:vAlign w:val="bottom"/>
          </w:tcPr>
          <w:p>
            <w:pPr>
              <w:spacing w:line="520" w:lineRule="exact"/>
              <w:jc w:val="center"/>
              <w:rPr>
                <w:rFonts w:hint="eastAsia" w:ascii="仿宋_GB2312" w:eastAsia="仿宋_GB2312"/>
                <w:sz w:val="28"/>
                <w:szCs w:val="28"/>
                <w:lang w:eastAsia="zh-CN"/>
              </w:rPr>
            </w:pPr>
            <w:r>
              <w:rPr>
                <w:rFonts w:hint="eastAsia" w:ascii="仿宋_GB2312" w:eastAsia="仿宋_GB2312"/>
                <w:sz w:val="28"/>
                <w:szCs w:val="28"/>
                <w:lang w:val="en-US" w:eastAsia="zh-CN"/>
              </w:rPr>
              <w:t>4</w:t>
            </w:r>
          </w:p>
        </w:tc>
        <w:tc>
          <w:tcPr>
            <w:tcW w:w="941" w:type="pct"/>
            <w:tcBorders>
              <w:top w:val="single" w:color="auto" w:sz="4" w:space="0"/>
              <w:left w:val="single" w:color="auto" w:sz="4" w:space="0"/>
              <w:bottom w:val="single" w:color="auto" w:sz="4" w:space="0"/>
              <w:right w:val="single" w:color="auto" w:sz="4" w:space="0"/>
            </w:tcBorders>
            <w:noWrap/>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rPr>
              <w:t>完成全年防汛，森林防灭火工作</w:t>
            </w:r>
            <w:r>
              <w:rPr>
                <w:rFonts w:hint="eastAsia" w:ascii="仿宋_GB2312" w:eastAsia="仿宋_GB2312"/>
                <w:sz w:val="28"/>
                <w:szCs w:val="28"/>
                <w:lang w:eastAsia="zh-CN"/>
              </w:rPr>
              <w:t>。</w:t>
            </w:r>
          </w:p>
        </w:tc>
        <w:tc>
          <w:tcPr>
            <w:tcW w:w="853" w:type="pct"/>
            <w:tcBorders>
              <w:top w:val="single" w:color="auto" w:sz="4" w:space="0"/>
              <w:left w:val="single" w:color="auto" w:sz="4" w:space="0"/>
              <w:bottom w:val="single" w:color="auto" w:sz="4" w:space="0"/>
              <w:right w:val="single" w:color="auto" w:sz="4" w:space="0"/>
            </w:tcBorders>
            <w:noWrap/>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100%</w:t>
            </w:r>
          </w:p>
        </w:tc>
        <w:tc>
          <w:tcPr>
            <w:tcW w:w="683" w:type="pct"/>
            <w:tcBorders>
              <w:top w:val="single" w:color="auto" w:sz="4" w:space="0"/>
              <w:left w:val="single" w:color="auto" w:sz="4" w:space="0"/>
              <w:bottom w:val="single" w:color="auto" w:sz="4" w:space="0"/>
              <w:right w:val="single" w:color="auto" w:sz="4" w:space="0"/>
            </w:tcBorders>
            <w:noWrap/>
            <w:vAlign w:val="center"/>
          </w:tcPr>
          <w:p>
            <w:pPr>
              <w:spacing w:line="520" w:lineRule="exact"/>
              <w:ind w:firstLine="640" w:firstLineChars="0"/>
              <w:jc w:val="both"/>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符合考核</w:t>
            </w:r>
          </w:p>
        </w:tc>
        <w:tc>
          <w:tcPr>
            <w:tcW w:w="855" w:type="pct"/>
            <w:tcBorders>
              <w:top w:val="single" w:color="auto" w:sz="4" w:space="0"/>
              <w:left w:val="single" w:color="auto" w:sz="4" w:space="0"/>
              <w:bottom w:val="single" w:color="auto" w:sz="4" w:space="0"/>
              <w:right w:val="single" w:color="auto" w:sz="4" w:space="0"/>
            </w:tcBorders>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符合考核</w:t>
            </w:r>
          </w:p>
        </w:tc>
        <w:tc>
          <w:tcPr>
            <w:tcW w:w="987" w:type="pct"/>
            <w:tcBorders>
              <w:top w:val="single" w:color="auto" w:sz="4" w:space="0"/>
              <w:left w:val="single" w:color="auto" w:sz="4" w:space="0"/>
              <w:bottom w:val="single" w:color="auto" w:sz="4" w:space="0"/>
              <w:right w:val="single" w:color="auto" w:sz="4" w:space="0"/>
            </w:tcBorders>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w:t>
            </w:r>
          </w:p>
        </w:tc>
      </w:tr>
      <w:tr>
        <w:tblPrEx>
          <w:tblCellMar>
            <w:top w:w="0" w:type="dxa"/>
            <w:left w:w="108" w:type="dxa"/>
            <w:bottom w:w="0" w:type="dxa"/>
            <w:right w:w="108" w:type="dxa"/>
          </w:tblCellMar>
        </w:tblPrEx>
        <w:trPr>
          <w:trHeight w:val="275" w:hRule="atLeast"/>
        </w:trPr>
        <w:tc>
          <w:tcPr>
            <w:tcW w:w="680" w:type="pct"/>
            <w:tcBorders>
              <w:top w:val="single" w:color="auto" w:sz="4" w:space="0"/>
              <w:left w:val="single" w:color="auto" w:sz="4" w:space="0"/>
              <w:bottom w:val="single" w:color="auto" w:sz="4" w:space="0"/>
              <w:right w:val="single" w:color="auto" w:sz="4" w:space="0"/>
            </w:tcBorders>
            <w:noWrap/>
            <w:vAlign w:val="bottom"/>
          </w:tcPr>
          <w:p>
            <w:pPr>
              <w:spacing w:line="520" w:lineRule="exact"/>
              <w:jc w:val="center"/>
              <w:rPr>
                <w:rFonts w:hint="eastAsia" w:ascii="仿宋_GB2312" w:eastAsia="仿宋_GB2312"/>
                <w:sz w:val="28"/>
                <w:szCs w:val="28"/>
                <w:lang w:val="en-US" w:eastAsia="zh-CN"/>
              </w:rPr>
            </w:pPr>
            <w:bookmarkStart w:id="3" w:name="_Toc268005761"/>
            <w:r>
              <w:rPr>
                <w:rFonts w:hint="eastAsia" w:ascii="仿宋_GB2312" w:eastAsia="仿宋_GB2312"/>
                <w:sz w:val="28"/>
                <w:szCs w:val="28"/>
                <w:lang w:val="en-US" w:eastAsia="zh-CN"/>
              </w:rPr>
              <w:t>5</w:t>
            </w:r>
          </w:p>
        </w:tc>
        <w:tc>
          <w:tcPr>
            <w:tcW w:w="941" w:type="pct"/>
            <w:tcBorders>
              <w:top w:val="single" w:color="auto" w:sz="4" w:space="0"/>
              <w:left w:val="single" w:color="auto" w:sz="4" w:space="0"/>
              <w:bottom w:val="single" w:color="auto" w:sz="4" w:space="0"/>
              <w:right w:val="single" w:color="auto" w:sz="4" w:space="0"/>
            </w:tcBorders>
            <w:noWrap/>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rPr>
              <w:t>完成全年救灾灾害防治工作。</w:t>
            </w:r>
          </w:p>
        </w:tc>
        <w:tc>
          <w:tcPr>
            <w:tcW w:w="853" w:type="pct"/>
            <w:tcBorders>
              <w:top w:val="single" w:color="auto" w:sz="4" w:space="0"/>
              <w:left w:val="single" w:color="auto" w:sz="4" w:space="0"/>
              <w:bottom w:val="single" w:color="auto" w:sz="4" w:space="0"/>
              <w:right w:val="single" w:color="auto" w:sz="4" w:space="0"/>
            </w:tcBorders>
            <w:noWrap/>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100%</w:t>
            </w:r>
          </w:p>
        </w:tc>
        <w:tc>
          <w:tcPr>
            <w:tcW w:w="683" w:type="pct"/>
            <w:tcBorders>
              <w:top w:val="single" w:color="auto" w:sz="4" w:space="0"/>
              <w:left w:val="single" w:color="auto" w:sz="4" w:space="0"/>
              <w:bottom w:val="single" w:color="auto" w:sz="4" w:space="0"/>
              <w:right w:val="single" w:color="auto" w:sz="4" w:space="0"/>
            </w:tcBorders>
            <w:noWrap/>
            <w:vAlign w:val="center"/>
          </w:tcPr>
          <w:p>
            <w:pPr>
              <w:spacing w:line="520" w:lineRule="exact"/>
              <w:ind w:firstLine="640" w:firstLineChars="0"/>
              <w:jc w:val="both"/>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符合考核</w:t>
            </w:r>
          </w:p>
        </w:tc>
        <w:tc>
          <w:tcPr>
            <w:tcW w:w="855" w:type="pct"/>
            <w:tcBorders>
              <w:top w:val="single" w:color="auto" w:sz="4" w:space="0"/>
              <w:left w:val="single" w:color="auto" w:sz="4" w:space="0"/>
              <w:bottom w:val="single" w:color="auto" w:sz="4" w:space="0"/>
              <w:right w:val="single" w:color="auto" w:sz="4" w:space="0"/>
            </w:tcBorders>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符合考核</w:t>
            </w:r>
          </w:p>
        </w:tc>
        <w:tc>
          <w:tcPr>
            <w:tcW w:w="987" w:type="pct"/>
            <w:tcBorders>
              <w:top w:val="single" w:color="auto" w:sz="4" w:space="0"/>
              <w:left w:val="single" w:color="auto" w:sz="4" w:space="0"/>
              <w:bottom w:val="single" w:color="auto" w:sz="4" w:space="0"/>
              <w:right w:val="single" w:color="auto" w:sz="4" w:space="0"/>
            </w:tcBorders>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w:t>
            </w:r>
          </w:p>
        </w:tc>
      </w:tr>
      <w:tr>
        <w:tblPrEx>
          <w:tblCellMar>
            <w:top w:w="0" w:type="dxa"/>
            <w:left w:w="108" w:type="dxa"/>
            <w:bottom w:w="0" w:type="dxa"/>
            <w:right w:w="108" w:type="dxa"/>
          </w:tblCellMar>
        </w:tblPrEx>
        <w:trPr>
          <w:trHeight w:val="275" w:hRule="atLeast"/>
        </w:trPr>
        <w:tc>
          <w:tcPr>
            <w:tcW w:w="680" w:type="pct"/>
            <w:tcBorders>
              <w:top w:val="single" w:color="auto" w:sz="4" w:space="0"/>
              <w:left w:val="single" w:color="auto" w:sz="4" w:space="0"/>
              <w:bottom w:val="single" w:color="auto" w:sz="4" w:space="0"/>
              <w:right w:val="single" w:color="auto" w:sz="4" w:space="0"/>
            </w:tcBorders>
            <w:noWrap/>
            <w:vAlign w:val="bottom"/>
          </w:tcPr>
          <w:p>
            <w:pPr>
              <w:spacing w:line="520" w:lineRule="exact"/>
              <w:jc w:val="center"/>
              <w:rPr>
                <w:rFonts w:hint="eastAsia" w:ascii="仿宋_GB2312" w:eastAsia="仿宋_GB2312"/>
                <w:sz w:val="28"/>
                <w:szCs w:val="28"/>
                <w:lang w:val="en-US" w:eastAsia="zh-CN"/>
              </w:rPr>
            </w:pPr>
            <w:r>
              <w:rPr>
                <w:rFonts w:hint="eastAsia" w:ascii="仿宋_GB2312" w:eastAsia="仿宋_GB2312"/>
                <w:sz w:val="28"/>
                <w:szCs w:val="28"/>
                <w:lang w:val="en-US" w:eastAsia="zh-CN"/>
              </w:rPr>
              <w:t>6</w:t>
            </w:r>
          </w:p>
        </w:tc>
        <w:tc>
          <w:tcPr>
            <w:tcW w:w="941" w:type="pct"/>
            <w:tcBorders>
              <w:top w:val="single" w:color="auto" w:sz="4" w:space="0"/>
              <w:left w:val="single" w:color="auto" w:sz="4" w:space="0"/>
              <w:bottom w:val="single" w:color="auto" w:sz="4" w:space="0"/>
              <w:right w:val="single" w:color="auto" w:sz="4" w:space="0"/>
            </w:tcBorders>
            <w:noWrap/>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完成全年防汛，森林防灭火工作任务</w:t>
            </w:r>
          </w:p>
        </w:tc>
        <w:tc>
          <w:tcPr>
            <w:tcW w:w="853" w:type="pct"/>
            <w:tcBorders>
              <w:top w:val="single" w:color="auto" w:sz="4" w:space="0"/>
              <w:left w:val="single" w:color="auto" w:sz="4" w:space="0"/>
              <w:bottom w:val="single" w:color="auto" w:sz="4" w:space="0"/>
              <w:right w:val="single" w:color="auto" w:sz="4" w:space="0"/>
            </w:tcBorders>
            <w:noWrap/>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100%</w:t>
            </w:r>
          </w:p>
        </w:tc>
        <w:tc>
          <w:tcPr>
            <w:tcW w:w="683" w:type="pct"/>
            <w:tcBorders>
              <w:top w:val="single" w:color="auto" w:sz="4" w:space="0"/>
              <w:left w:val="single" w:color="auto" w:sz="4" w:space="0"/>
              <w:bottom w:val="single" w:color="auto" w:sz="4" w:space="0"/>
              <w:right w:val="single" w:color="auto" w:sz="4" w:space="0"/>
            </w:tcBorders>
            <w:noWrap/>
            <w:vAlign w:val="center"/>
          </w:tcPr>
          <w:p>
            <w:pPr>
              <w:spacing w:line="520" w:lineRule="exact"/>
              <w:ind w:firstLine="640" w:firstLineChars="0"/>
              <w:jc w:val="both"/>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符合考核</w:t>
            </w:r>
          </w:p>
        </w:tc>
        <w:tc>
          <w:tcPr>
            <w:tcW w:w="855" w:type="pct"/>
            <w:tcBorders>
              <w:top w:val="single" w:color="auto" w:sz="4" w:space="0"/>
              <w:left w:val="single" w:color="auto" w:sz="4" w:space="0"/>
              <w:bottom w:val="single" w:color="auto" w:sz="4" w:space="0"/>
              <w:right w:val="single" w:color="auto" w:sz="4" w:space="0"/>
            </w:tcBorders>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符合考核</w:t>
            </w:r>
          </w:p>
        </w:tc>
        <w:tc>
          <w:tcPr>
            <w:tcW w:w="987" w:type="pct"/>
            <w:tcBorders>
              <w:top w:val="single" w:color="auto" w:sz="4" w:space="0"/>
              <w:left w:val="single" w:color="auto" w:sz="4" w:space="0"/>
              <w:bottom w:val="single" w:color="auto" w:sz="4" w:space="0"/>
              <w:right w:val="single" w:color="auto" w:sz="4" w:space="0"/>
            </w:tcBorders>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w:t>
            </w:r>
          </w:p>
        </w:tc>
      </w:tr>
      <w:tr>
        <w:tblPrEx>
          <w:tblCellMar>
            <w:top w:w="0" w:type="dxa"/>
            <w:left w:w="108" w:type="dxa"/>
            <w:bottom w:w="0" w:type="dxa"/>
            <w:right w:w="108" w:type="dxa"/>
          </w:tblCellMar>
        </w:tblPrEx>
        <w:trPr>
          <w:trHeight w:val="275" w:hRule="atLeast"/>
        </w:trPr>
        <w:tc>
          <w:tcPr>
            <w:tcW w:w="680" w:type="pct"/>
            <w:tcBorders>
              <w:top w:val="single" w:color="auto" w:sz="4" w:space="0"/>
              <w:left w:val="single" w:color="auto" w:sz="4" w:space="0"/>
              <w:bottom w:val="single" w:color="auto" w:sz="4" w:space="0"/>
              <w:right w:val="single" w:color="auto" w:sz="4" w:space="0"/>
            </w:tcBorders>
            <w:noWrap/>
            <w:vAlign w:val="bottom"/>
          </w:tcPr>
          <w:p>
            <w:pPr>
              <w:spacing w:line="520" w:lineRule="exact"/>
              <w:jc w:val="center"/>
              <w:rPr>
                <w:rFonts w:hint="eastAsia" w:ascii="仿宋_GB2312" w:eastAsia="仿宋_GB2312"/>
                <w:sz w:val="28"/>
                <w:szCs w:val="28"/>
                <w:lang w:val="en-US" w:eastAsia="zh-CN"/>
              </w:rPr>
            </w:pPr>
            <w:r>
              <w:rPr>
                <w:rFonts w:hint="eastAsia" w:ascii="仿宋_GB2312" w:eastAsia="仿宋_GB2312"/>
                <w:sz w:val="28"/>
                <w:szCs w:val="28"/>
                <w:lang w:val="en-US" w:eastAsia="zh-CN"/>
              </w:rPr>
              <w:t>7</w:t>
            </w:r>
          </w:p>
        </w:tc>
        <w:tc>
          <w:tcPr>
            <w:tcW w:w="941" w:type="pct"/>
            <w:tcBorders>
              <w:top w:val="single" w:color="auto" w:sz="4" w:space="0"/>
              <w:left w:val="single" w:color="auto" w:sz="4" w:space="0"/>
              <w:bottom w:val="single" w:color="auto" w:sz="4" w:space="0"/>
              <w:right w:val="single" w:color="auto" w:sz="4" w:space="0"/>
            </w:tcBorders>
            <w:noWrap/>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保障全年安全生产执法工作</w:t>
            </w:r>
          </w:p>
        </w:tc>
        <w:tc>
          <w:tcPr>
            <w:tcW w:w="853" w:type="pct"/>
            <w:tcBorders>
              <w:top w:val="single" w:color="auto" w:sz="4" w:space="0"/>
              <w:left w:val="single" w:color="auto" w:sz="4" w:space="0"/>
              <w:bottom w:val="single" w:color="auto" w:sz="4" w:space="0"/>
              <w:right w:val="single" w:color="auto" w:sz="4" w:space="0"/>
            </w:tcBorders>
            <w:noWrap/>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100%</w:t>
            </w:r>
          </w:p>
        </w:tc>
        <w:tc>
          <w:tcPr>
            <w:tcW w:w="683" w:type="pct"/>
            <w:tcBorders>
              <w:top w:val="single" w:color="auto" w:sz="4" w:space="0"/>
              <w:left w:val="single" w:color="auto" w:sz="4" w:space="0"/>
              <w:bottom w:val="single" w:color="auto" w:sz="4" w:space="0"/>
              <w:right w:val="single" w:color="auto" w:sz="4" w:space="0"/>
            </w:tcBorders>
            <w:noWrap/>
            <w:vAlign w:val="center"/>
          </w:tcPr>
          <w:p>
            <w:pPr>
              <w:spacing w:line="520" w:lineRule="exact"/>
              <w:ind w:firstLine="640" w:firstLineChars="0"/>
              <w:jc w:val="both"/>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符合考核</w:t>
            </w:r>
          </w:p>
        </w:tc>
        <w:tc>
          <w:tcPr>
            <w:tcW w:w="855" w:type="pct"/>
            <w:tcBorders>
              <w:top w:val="single" w:color="auto" w:sz="4" w:space="0"/>
              <w:left w:val="single" w:color="auto" w:sz="4" w:space="0"/>
              <w:bottom w:val="single" w:color="auto" w:sz="4" w:space="0"/>
              <w:right w:val="single" w:color="auto" w:sz="4" w:space="0"/>
            </w:tcBorders>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符合考核</w:t>
            </w:r>
          </w:p>
        </w:tc>
        <w:tc>
          <w:tcPr>
            <w:tcW w:w="987" w:type="pct"/>
            <w:tcBorders>
              <w:top w:val="single" w:color="auto" w:sz="4" w:space="0"/>
              <w:left w:val="single" w:color="auto" w:sz="4" w:space="0"/>
              <w:bottom w:val="single" w:color="auto" w:sz="4" w:space="0"/>
              <w:right w:val="single" w:color="auto" w:sz="4" w:space="0"/>
            </w:tcBorders>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w:t>
            </w:r>
          </w:p>
        </w:tc>
      </w:tr>
      <w:tr>
        <w:tblPrEx>
          <w:tblCellMar>
            <w:top w:w="0" w:type="dxa"/>
            <w:left w:w="108" w:type="dxa"/>
            <w:bottom w:w="0" w:type="dxa"/>
            <w:right w:w="108" w:type="dxa"/>
          </w:tblCellMar>
        </w:tblPrEx>
        <w:trPr>
          <w:trHeight w:val="275" w:hRule="atLeast"/>
        </w:trPr>
        <w:tc>
          <w:tcPr>
            <w:tcW w:w="680" w:type="pct"/>
            <w:tcBorders>
              <w:top w:val="single" w:color="auto" w:sz="4" w:space="0"/>
              <w:left w:val="single" w:color="auto" w:sz="4" w:space="0"/>
              <w:bottom w:val="single" w:color="auto" w:sz="4" w:space="0"/>
              <w:right w:val="single" w:color="auto" w:sz="4" w:space="0"/>
            </w:tcBorders>
            <w:noWrap/>
            <w:vAlign w:val="bottom"/>
          </w:tcPr>
          <w:p>
            <w:pPr>
              <w:spacing w:line="520" w:lineRule="exact"/>
              <w:jc w:val="center"/>
              <w:rPr>
                <w:rFonts w:hint="eastAsia" w:ascii="仿宋_GB2312" w:eastAsia="仿宋_GB2312"/>
                <w:sz w:val="28"/>
                <w:szCs w:val="28"/>
                <w:lang w:val="en-US" w:eastAsia="zh-CN"/>
              </w:rPr>
            </w:pPr>
            <w:r>
              <w:rPr>
                <w:rFonts w:hint="eastAsia" w:ascii="仿宋_GB2312" w:eastAsia="仿宋_GB2312"/>
                <w:sz w:val="28"/>
                <w:szCs w:val="28"/>
                <w:lang w:val="en-US" w:eastAsia="zh-CN"/>
              </w:rPr>
              <w:t>8</w:t>
            </w:r>
          </w:p>
        </w:tc>
        <w:tc>
          <w:tcPr>
            <w:tcW w:w="941" w:type="pct"/>
            <w:tcBorders>
              <w:top w:val="single" w:color="auto" w:sz="4" w:space="0"/>
              <w:left w:val="single" w:color="auto" w:sz="4" w:space="0"/>
              <w:bottom w:val="single" w:color="auto" w:sz="4" w:space="0"/>
              <w:right w:val="single" w:color="auto" w:sz="4" w:space="0"/>
            </w:tcBorders>
            <w:noWrap/>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完成是上级政府部门相关考核工作</w:t>
            </w:r>
          </w:p>
        </w:tc>
        <w:tc>
          <w:tcPr>
            <w:tcW w:w="853" w:type="pct"/>
            <w:tcBorders>
              <w:top w:val="single" w:color="auto" w:sz="4" w:space="0"/>
              <w:left w:val="single" w:color="auto" w:sz="4" w:space="0"/>
              <w:bottom w:val="single" w:color="auto" w:sz="4" w:space="0"/>
              <w:right w:val="single" w:color="auto" w:sz="4" w:space="0"/>
            </w:tcBorders>
            <w:noWrap/>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100%</w:t>
            </w:r>
          </w:p>
        </w:tc>
        <w:tc>
          <w:tcPr>
            <w:tcW w:w="683" w:type="pct"/>
            <w:tcBorders>
              <w:top w:val="single" w:color="auto" w:sz="4" w:space="0"/>
              <w:left w:val="single" w:color="auto" w:sz="4" w:space="0"/>
              <w:bottom w:val="single" w:color="auto" w:sz="4" w:space="0"/>
              <w:right w:val="single" w:color="auto" w:sz="4" w:space="0"/>
            </w:tcBorders>
            <w:noWrap/>
            <w:vAlign w:val="center"/>
          </w:tcPr>
          <w:p>
            <w:pPr>
              <w:spacing w:line="520" w:lineRule="exact"/>
              <w:ind w:firstLine="640" w:firstLineChars="0"/>
              <w:jc w:val="both"/>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符合考核</w:t>
            </w:r>
          </w:p>
        </w:tc>
        <w:tc>
          <w:tcPr>
            <w:tcW w:w="855" w:type="pct"/>
            <w:tcBorders>
              <w:top w:val="single" w:color="auto" w:sz="4" w:space="0"/>
              <w:left w:val="single" w:color="auto" w:sz="4" w:space="0"/>
              <w:bottom w:val="single" w:color="auto" w:sz="4" w:space="0"/>
              <w:right w:val="single" w:color="auto" w:sz="4" w:space="0"/>
            </w:tcBorders>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符合考核</w:t>
            </w:r>
          </w:p>
        </w:tc>
        <w:tc>
          <w:tcPr>
            <w:tcW w:w="987" w:type="pct"/>
            <w:tcBorders>
              <w:top w:val="single" w:color="auto" w:sz="4" w:space="0"/>
              <w:left w:val="single" w:color="auto" w:sz="4" w:space="0"/>
              <w:bottom w:val="single" w:color="auto" w:sz="4" w:space="0"/>
              <w:right w:val="single" w:color="auto" w:sz="4" w:space="0"/>
            </w:tcBorders>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w:t>
            </w:r>
          </w:p>
        </w:tc>
      </w:tr>
    </w:tbl>
    <w:p>
      <w:pPr>
        <w:spacing w:line="580" w:lineRule="exact"/>
        <w:ind w:firstLine="641"/>
        <w:rPr>
          <w:rFonts w:hint="eastAsia" w:ascii="楷体_GB2312" w:hAnsi="Calibri" w:eastAsia="楷体_GB2312"/>
          <w:b/>
          <w:sz w:val="32"/>
          <w:szCs w:val="32"/>
        </w:rPr>
      </w:pPr>
      <w:r>
        <w:rPr>
          <w:rFonts w:hint="eastAsia" w:ascii="楷体_GB2312" w:eastAsia="楷体_GB2312"/>
          <w:b/>
          <w:sz w:val="32"/>
          <w:szCs w:val="32"/>
        </w:rPr>
        <w:t>(二)当年预算执行情况</w:t>
      </w:r>
      <w:bookmarkEnd w:id="3"/>
      <w:r>
        <w:rPr>
          <w:rFonts w:hint="eastAsia" w:ascii="仿宋_GB2312" w:eastAsia="仿宋_GB2312"/>
          <w:sz w:val="32"/>
          <w:szCs w:val="32"/>
        </w:rPr>
        <w:t xml:space="preserve">  </w:t>
      </w:r>
    </w:p>
    <w:p>
      <w:pPr>
        <w:spacing w:line="580" w:lineRule="exact"/>
        <w:ind w:firstLine="641"/>
        <w:rPr>
          <w:rFonts w:hint="eastAsia" w:ascii="仿宋_GB2312" w:eastAsia="仿宋_GB2312"/>
          <w:sz w:val="28"/>
          <w:szCs w:val="28"/>
        </w:rPr>
      </w:pPr>
      <w:r>
        <w:rPr>
          <w:rFonts w:hint="eastAsia" w:ascii="仿宋_GB2312" w:eastAsia="仿宋_GB2312"/>
          <w:sz w:val="28"/>
          <w:szCs w:val="28"/>
        </w:rPr>
        <w:t>2025年全年预算数</w:t>
      </w:r>
      <w:r>
        <w:rPr>
          <w:rFonts w:hint="eastAsia" w:ascii="仿宋_GB2312" w:eastAsia="仿宋_GB2312"/>
          <w:sz w:val="28"/>
          <w:szCs w:val="28"/>
          <w:lang w:val="en-US" w:eastAsia="zh-CN"/>
        </w:rPr>
        <w:t>28,455,410.56</w:t>
      </w:r>
      <w:r>
        <w:rPr>
          <w:rFonts w:hint="eastAsia" w:ascii="仿宋_GB2312" w:eastAsia="仿宋_GB2312"/>
          <w:sz w:val="28"/>
          <w:szCs w:val="28"/>
        </w:rPr>
        <w:t>元，其中，基本支出预算数</w:t>
      </w:r>
      <w:r>
        <w:rPr>
          <w:rFonts w:hint="eastAsia" w:ascii="仿宋_GB2312" w:eastAsia="仿宋_GB2312"/>
          <w:sz w:val="28"/>
          <w:szCs w:val="28"/>
          <w:lang w:val="en-US" w:eastAsia="zh-CN"/>
        </w:rPr>
        <w:t>16,887,430.60</w:t>
      </w:r>
      <w:r>
        <w:rPr>
          <w:rFonts w:hint="eastAsia" w:ascii="仿宋_GB2312" w:eastAsia="仿宋_GB2312"/>
          <w:sz w:val="28"/>
          <w:szCs w:val="28"/>
        </w:rPr>
        <w:t>元，项目支出预算数</w:t>
      </w:r>
      <w:r>
        <w:rPr>
          <w:rFonts w:hint="eastAsia" w:ascii="仿宋_GB2312" w:eastAsia="仿宋_GB2312"/>
          <w:sz w:val="28"/>
          <w:szCs w:val="28"/>
          <w:lang w:val="en-US" w:eastAsia="zh-CN"/>
        </w:rPr>
        <w:t>11,567,979.96</w:t>
      </w:r>
      <w:r>
        <w:rPr>
          <w:rFonts w:hint="eastAsia" w:ascii="仿宋_GB2312" w:eastAsia="仿宋_GB2312"/>
          <w:sz w:val="28"/>
          <w:szCs w:val="28"/>
        </w:rPr>
        <w:t>元。全年支出</w:t>
      </w:r>
      <w:r>
        <w:rPr>
          <w:rFonts w:hint="eastAsia" w:ascii="仿宋_GB2312" w:eastAsia="仿宋_GB2312"/>
          <w:sz w:val="28"/>
          <w:szCs w:val="28"/>
          <w:lang w:val="en-US" w:eastAsia="zh-CN"/>
        </w:rPr>
        <w:t>123,566,300.55</w:t>
      </w:r>
      <w:r>
        <w:rPr>
          <w:rFonts w:hint="eastAsia" w:ascii="仿宋_GB2312" w:eastAsia="仿宋_GB2312"/>
          <w:sz w:val="28"/>
          <w:szCs w:val="28"/>
        </w:rPr>
        <w:t>元，其中，基本支出</w:t>
      </w:r>
      <w:r>
        <w:rPr>
          <w:rFonts w:hint="eastAsia" w:ascii="仿宋_GB2312" w:eastAsia="仿宋_GB2312"/>
          <w:sz w:val="28"/>
          <w:szCs w:val="28"/>
          <w:lang w:val="en-US" w:eastAsia="zh-CN"/>
        </w:rPr>
        <w:t>18,612,064.00</w:t>
      </w:r>
      <w:r>
        <w:rPr>
          <w:rFonts w:hint="eastAsia" w:ascii="仿宋_GB2312" w:eastAsia="仿宋_GB2312"/>
          <w:sz w:val="28"/>
          <w:szCs w:val="28"/>
        </w:rPr>
        <w:t>元，项目支出</w:t>
      </w:r>
      <w:r>
        <w:rPr>
          <w:rFonts w:hint="eastAsia" w:ascii="仿宋_GB2312" w:eastAsia="仿宋_GB2312"/>
          <w:sz w:val="28"/>
          <w:szCs w:val="28"/>
          <w:lang w:val="en-US" w:eastAsia="zh-CN"/>
        </w:rPr>
        <w:t>104,954,236.55</w:t>
      </w:r>
      <w:r>
        <w:rPr>
          <w:rFonts w:hint="eastAsia" w:ascii="仿宋_GB2312" w:eastAsia="仿宋_GB2312"/>
          <w:sz w:val="28"/>
          <w:szCs w:val="28"/>
        </w:rPr>
        <w:t>元。预算执行率为</w:t>
      </w:r>
      <w:r>
        <w:rPr>
          <w:rFonts w:hint="eastAsia" w:ascii="仿宋_GB2312" w:eastAsia="仿宋_GB2312"/>
          <w:sz w:val="28"/>
          <w:szCs w:val="28"/>
          <w:lang w:val="en-US" w:eastAsia="zh-CN"/>
        </w:rPr>
        <w:t>100.0</w:t>
      </w:r>
      <w:r>
        <w:rPr>
          <w:rFonts w:hint="eastAsia" w:ascii="仿宋_GB2312" w:eastAsia="仿宋_GB2312"/>
          <w:sz w:val="28"/>
          <w:szCs w:val="28"/>
        </w:rPr>
        <w:t xml:space="preserve">%。                                  </w:t>
      </w:r>
    </w:p>
    <w:p>
      <w:pPr>
        <w:spacing w:line="580" w:lineRule="exact"/>
        <w:ind w:firstLine="641"/>
        <w:rPr>
          <w:rFonts w:hint="eastAsia" w:ascii="仿宋_GB2312" w:eastAsia="仿宋_GB2312"/>
          <w:sz w:val="28"/>
          <w:szCs w:val="28"/>
        </w:rPr>
      </w:pPr>
      <w:r>
        <w:rPr>
          <w:rFonts w:hint="eastAsia" w:ascii="仿宋_GB2312" w:eastAsia="仿宋_GB2312"/>
          <w:sz w:val="28"/>
          <w:szCs w:val="28"/>
        </w:rPr>
        <w:t>2025年年末结转结余资金总额为</w:t>
      </w:r>
      <w:r>
        <w:rPr>
          <w:rFonts w:hint="eastAsia" w:ascii="仿宋_GB2312" w:eastAsia="仿宋_GB2312"/>
          <w:sz w:val="28"/>
          <w:szCs w:val="28"/>
          <w:lang w:val="en-US" w:eastAsia="zh-CN"/>
        </w:rPr>
        <w:t>0.00</w:t>
      </w:r>
      <w:r>
        <w:rPr>
          <w:rFonts w:hint="eastAsia" w:ascii="仿宋_GB2312" w:eastAsia="仿宋_GB2312"/>
          <w:sz w:val="28"/>
          <w:szCs w:val="28"/>
        </w:rPr>
        <w:t>元，全年支出预算数为</w:t>
      </w:r>
      <w:r>
        <w:rPr>
          <w:rFonts w:hint="eastAsia" w:ascii="仿宋_GB2312" w:eastAsia="仿宋_GB2312"/>
          <w:sz w:val="28"/>
          <w:szCs w:val="28"/>
          <w:lang w:val="en-US" w:eastAsia="zh-CN"/>
        </w:rPr>
        <w:t>0.00</w:t>
      </w:r>
      <w:r>
        <w:rPr>
          <w:rFonts w:hint="eastAsia" w:ascii="仿宋_GB2312" w:eastAsia="仿宋_GB2312"/>
          <w:sz w:val="28"/>
          <w:szCs w:val="28"/>
        </w:rPr>
        <w:t>元，资金结转结余率为</w:t>
      </w:r>
      <w:r>
        <w:rPr>
          <w:rFonts w:hint="eastAsia" w:ascii="仿宋_GB2312" w:eastAsia="仿宋_GB2312"/>
          <w:sz w:val="28"/>
          <w:szCs w:val="28"/>
          <w:lang w:val="en-US" w:eastAsia="zh-CN"/>
        </w:rPr>
        <w:t>0.0</w:t>
      </w:r>
      <w:r>
        <w:rPr>
          <w:rFonts w:hint="eastAsia" w:ascii="仿宋_GB2312" w:eastAsia="仿宋_GB2312"/>
          <w:sz w:val="28"/>
          <w:szCs w:val="28"/>
        </w:rPr>
        <w:t>%；2024年年末结转结余资金总额为</w:t>
      </w:r>
      <w:r>
        <w:rPr>
          <w:rFonts w:hint="eastAsia" w:ascii="仿宋_GB2312" w:eastAsia="仿宋_GB2312"/>
          <w:sz w:val="28"/>
          <w:szCs w:val="28"/>
          <w:lang w:val="en-US" w:eastAsia="zh-CN"/>
        </w:rPr>
        <w:t>0.00</w:t>
      </w:r>
      <w:r>
        <w:rPr>
          <w:rFonts w:hint="eastAsia" w:ascii="仿宋_GB2312" w:eastAsia="仿宋_GB2312"/>
          <w:sz w:val="28"/>
          <w:szCs w:val="28"/>
        </w:rPr>
        <w:t>元，全年支出预算数为</w:t>
      </w:r>
      <w:r>
        <w:rPr>
          <w:rFonts w:hint="eastAsia" w:ascii="仿宋_GB2312" w:eastAsia="仿宋_GB2312"/>
          <w:sz w:val="28"/>
          <w:szCs w:val="28"/>
          <w:lang w:val="en-US" w:eastAsia="zh-CN"/>
        </w:rPr>
        <w:t>0.00</w:t>
      </w:r>
      <w:r>
        <w:rPr>
          <w:rFonts w:hint="eastAsia" w:ascii="仿宋_GB2312" w:eastAsia="仿宋_GB2312"/>
          <w:sz w:val="28"/>
          <w:szCs w:val="28"/>
        </w:rPr>
        <w:t>元，资金结转结余率为</w:t>
      </w:r>
      <w:r>
        <w:rPr>
          <w:rFonts w:hint="eastAsia" w:ascii="仿宋_GB2312" w:eastAsia="仿宋_GB2312"/>
          <w:sz w:val="28"/>
          <w:szCs w:val="28"/>
          <w:lang w:val="en-US" w:eastAsia="zh-CN"/>
        </w:rPr>
        <w:t>0.0</w:t>
      </w:r>
      <w:r>
        <w:rPr>
          <w:rFonts w:hint="eastAsia" w:ascii="仿宋_GB2312" w:eastAsia="仿宋_GB2312"/>
          <w:sz w:val="28"/>
          <w:szCs w:val="28"/>
        </w:rPr>
        <w:t>%；2025年度部门结转结余率较上一年上升/下降了</w:t>
      </w:r>
      <w:r>
        <w:rPr>
          <w:rFonts w:hint="eastAsia" w:ascii="仿宋_GB2312" w:eastAsia="仿宋_GB2312"/>
          <w:sz w:val="28"/>
          <w:szCs w:val="28"/>
          <w:lang w:val="en-US" w:eastAsia="zh-CN"/>
        </w:rPr>
        <w:t>0.0</w:t>
      </w:r>
      <w:r>
        <w:rPr>
          <w:rFonts w:hint="eastAsia" w:ascii="仿宋_GB2312" w:eastAsia="仿宋_GB2312"/>
          <w:sz w:val="28"/>
          <w:szCs w:val="28"/>
        </w:rPr>
        <w:t>%。</w:t>
      </w:r>
    </w:p>
    <w:p>
      <w:pPr>
        <w:spacing w:line="580" w:lineRule="exact"/>
        <w:ind w:firstLine="641"/>
        <w:rPr>
          <w:rFonts w:hint="eastAsia" w:ascii="楷体_GB2312" w:eastAsia="楷体_GB2312"/>
          <w:b/>
          <w:sz w:val="32"/>
          <w:szCs w:val="32"/>
        </w:rPr>
      </w:pPr>
      <w:r>
        <w:rPr>
          <w:rFonts w:hint="eastAsia" w:ascii="楷体_GB2312" w:eastAsia="楷体_GB2312"/>
          <w:b/>
          <w:sz w:val="32"/>
          <w:szCs w:val="32"/>
        </w:rPr>
        <w:t>（三）整体绩效目标实现情况</w:t>
      </w:r>
    </w:p>
    <w:p>
      <w:pPr>
        <w:spacing w:line="580" w:lineRule="exact"/>
        <w:ind w:firstLine="641"/>
        <w:rPr>
          <w:rFonts w:hint="eastAsia" w:ascii="仿宋_GB2312" w:eastAsia="仿宋_GB2312"/>
          <w:sz w:val="28"/>
          <w:szCs w:val="28"/>
        </w:rPr>
      </w:pPr>
      <w:r>
        <w:rPr>
          <w:rFonts w:hint="eastAsia" w:ascii="仿宋_GB2312" w:eastAsia="仿宋_GB2312"/>
          <w:sz w:val="28"/>
          <w:szCs w:val="28"/>
        </w:rPr>
        <w:t>1.产出完成情况分析</w:t>
      </w:r>
    </w:p>
    <w:p>
      <w:pPr>
        <w:spacing w:line="580" w:lineRule="exact"/>
        <w:ind w:firstLine="641"/>
        <w:rPr>
          <w:rFonts w:hint="eastAsia" w:ascii="仿宋_GB2312" w:eastAsia="仿宋_GB2312"/>
          <w:sz w:val="28"/>
          <w:szCs w:val="28"/>
        </w:rPr>
      </w:pPr>
      <w:r>
        <w:rPr>
          <w:rFonts w:hint="eastAsia" w:ascii="仿宋_GB2312" w:eastAsia="仿宋_GB2312"/>
          <w:sz w:val="28"/>
          <w:szCs w:val="28"/>
        </w:rPr>
        <w:t>（1）产出数量</w:t>
      </w:r>
    </w:p>
    <w:tbl>
      <w:tblPr>
        <w:tblStyle w:val="10"/>
        <w:tblW w:w="13979" w:type="dxa"/>
        <w:tblInd w:w="108" w:type="dxa"/>
        <w:tblLayout w:type="autofit"/>
        <w:tblCellMar>
          <w:top w:w="0" w:type="dxa"/>
          <w:left w:w="108" w:type="dxa"/>
          <w:bottom w:w="0" w:type="dxa"/>
          <w:right w:w="108" w:type="dxa"/>
        </w:tblCellMar>
      </w:tblPr>
      <w:tblGrid>
        <w:gridCol w:w="880"/>
        <w:gridCol w:w="5042"/>
        <w:gridCol w:w="2871"/>
        <w:gridCol w:w="2057"/>
        <w:gridCol w:w="3129"/>
      </w:tblGrid>
      <w:tr>
        <w:tblPrEx>
          <w:tblCellMar>
            <w:top w:w="0" w:type="dxa"/>
            <w:left w:w="108" w:type="dxa"/>
            <w:bottom w:w="0" w:type="dxa"/>
            <w:right w:w="108" w:type="dxa"/>
          </w:tblCellMar>
        </w:tblPrEx>
        <w:trPr>
          <w:trHeight w:val="510" w:hRule="atLeast"/>
        </w:trPr>
        <w:tc>
          <w:tcPr>
            <w:tcW w:w="880"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hint="eastAsia" w:ascii="仿宋_GB2312" w:eastAsia="仿宋_GB2312"/>
                <w:sz w:val="28"/>
                <w:szCs w:val="28"/>
              </w:rPr>
            </w:pPr>
            <w:r>
              <w:rPr>
                <w:rFonts w:hint="eastAsia" w:ascii="仿宋_GB2312" w:eastAsia="仿宋_GB2312"/>
                <w:sz w:val="28"/>
                <w:szCs w:val="28"/>
              </w:rPr>
              <w:t>序号</w:t>
            </w:r>
          </w:p>
        </w:tc>
        <w:tc>
          <w:tcPr>
            <w:tcW w:w="5042" w:type="dxa"/>
            <w:tcBorders>
              <w:top w:val="single" w:color="auto" w:sz="4" w:space="0"/>
              <w:left w:val="nil"/>
              <w:bottom w:val="single" w:color="auto" w:sz="4" w:space="0"/>
              <w:right w:val="single" w:color="auto" w:sz="4" w:space="0"/>
            </w:tcBorders>
            <w:vAlign w:val="center"/>
          </w:tcPr>
          <w:p>
            <w:pPr>
              <w:spacing w:line="520" w:lineRule="exact"/>
              <w:jc w:val="center"/>
              <w:rPr>
                <w:rFonts w:hint="eastAsia" w:ascii="仿宋_GB2312" w:eastAsia="仿宋_GB2312"/>
                <w:sz w:val="28"/>
                <w:szCs w:val="28"/>
              </w:rPr>
            </w:pPr>
            <w:r>
              <w:rPr>
                <w:rFonts w:hint="eastAsia" w:ascii="仿宋_GB2312" w:eastAsia="仿宋_GB2312"/>
                <w:sz w:val="28"/>
                <w:szCs w:val="28"/>
              </w:rPr>
              <w:t>三级指标</w:t>
            </w:r>
          </w:p>
        </w:tc>
        <w:tc>
          <w:tcPr>
            <w:tcW w:w="2871" w:type="dxa"/>
            <w:tcBorders>
              <w:top w:val="single" w:color="auto" w:sz="4" w:space="0"/>
              <w:left w:val="nil"/>
              <w:bottom w:val="single" w:color="auto" w:sz="4" w:space="0"/>
              <w:right w:val="single" w:color="auto" w:sz="4" w:space="0"/>
            </w:tcBorders>
            <w:vAlign w:val="center"/>
          </w:tcPr>
          <w:p>
            <w:pPr>
              <w:spacing w:line="520" w:lineRule="exact"/>
              <w:jc w:val="center"/>
              <w:rPr>
                <w:rFonts w:hint="eastAsia" w:ascii="仿宋_GB2312" w:eastAsia="仿宋_GB2312"/>
                <w:sz w:val="28"/>
                <w:szCs w:val="28"/>
              </w:rPr>
            </w:pPr>
            <w:r>
              <w:rPr>
                <w:rFonts w:hint="eastAsia" w:ascii="仿宋_GB2312" w:eastAsia="仿宋_GB2312"/>
                <w:sz w:val="28"/>
                <w:szCs w:val="28"/>
              </w:rPr>
              <w:t>计划值</w:t>
            </w:r>
          </w:p>
        </w:tc>
        <w:tc>
          <w:tcPr>
            <w:tcW w:w="2057" w:type="dxa"/>
            <w:tcBorders>
              <w:top w:val="single" w:color="auto" w:sz="4" w:space="0"/>
              <w:left w:val="nil"/>
              <w:bottom w:val="single" w:color="auto" w:sz="4" w:space="0"/>
              <w:right w:val="single" w:color="auto" w:sz="4" w:space="0"/>
            </w:tcBorders>
            <w:vAlign w:val="center"/>
          </w:tcPr>
          <w:p>
            <w:pPr>
              <w:spacing w:line="520" w:lineRule="exact"/>
              <w:jc w:val="center"/>
              <w:rPr>
                <w:rFonts w:hint="eastAsia" w:ascii="仿宋_GB2312" w:eastAsia="仿宋_GB2312"/>
                <w:sz w:val="28"/>
                <w:szCs w:val="28"/>
              </w:rPr>
            </w:pPr>
            <w:r>
              <w:rPr>
                <w:rFonts w:hint="eastAsia" w:ascii="仿宋_GB2312" w:eastAsia="仿宋_GB2312"/>
                <w:sz w:val="28"/>
                <w:szCs w:val="28"/>
              </w:rPr>
              <w:t>完成值</w:t>
            </w:r>
          </w:p>
        </w:tc>
        <w:tc>
          <w:tcPr>
            <w:tcW w:w="3129" w:type="dxa"/>
            <w:tcBorders>
              <w:top w:val="single" w:color="auto" w:sz="4" w:space="0"/>
              <w:left w:val="nil"/>
              <w:bottom w:val="single" w:color="auto" w:sz="4" w:space="0"/>
              <w:right w:val="single" w:color="auto" w:sz="4" w:space="0"/>
            </w:tcBorders>
            <w:vAlign w:val="center"/>
          </w:tcPr>
          <w:p>
            <w:pPr>
              <w:spacing w:line="520" w:lineRule="exact"/>
              <w:jc w:val="center"/>
              <w:rPr>
                <w:rFonts w:hint="eastAsia" w:ascii="仿宋_GB2312" w:eastAsia="仿宋_GB2312"/>
                <w:sz w:val="28"/>
                <w:szCs w:val="28"/>
              </w:rPr>
            </w:pPr>
            <w:r>
              <w:rPr>
                <w:rFonts w:hint="eastAsia" w:ascii="仿宋_GB2312" w:eastAsia="仿宋_GB2312"/>
                <w:sz w:val="28"/>
                <w:szCs w:val="28"/>
              </w:rPr>
              <w:t>偏差原因</w:t>
            </w:r>
          </w:p>
        </w:tc>
      </w:tr>
      <w:tr>
        <w:tblPrEx>
          <w:tblCellMar>
            <w:top w:w="0" w:type="dxa"/>
            <w:left w:w="108" w:type="dxa"/>
            <w:bottom w:w="0" w:type="dxa"/>
            <w:right w:w="108" w:type="dxa"/>
          </w:tblCellMar>
        </w:tblPrEx>
        <w:trPr>
          <w:trHeight w:val="510" w:hRule="atLeast"/>
        </w:trPr>
        <w:tc>
          <w:tcPr>
            <w:tcW w:w="880"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hint="eastAsia" w:ascii="仿宋_GB2312" w:eastAsia="仿宋_GB2312"/>
                <w:sz w:val="28"/>
                <w:szCs w:val="28"/>
              </w:rPr>
            </w:pPr>
            <w:r>
              <w:rPr>
                <w:rFonts w:hint="eastAsia" w:ascii="仿宋_GB2312" w:eastAsia="仿宋_GB2312"/>
                <w:sz w:val="28"/>
                <w:szCs w:val="28"/>
              </w:rPr>
              <w:t>1</w:t>
            </w:r>
          </w:p>
        </w:tc>
        <w:tc>
          <w:tcPr>
            <w:tcW w:w="5042" w:type="dxa"/>
            <w:tcBorders>
              <w:top w:val="single" w:color="auto" w:sz="4" w:space="0"/>
              <w:left w:val="single" w:color="auto" w:sz="4" w:space="0"/>
              <w:bottom w:val="single" w:color="auto" w:sz="4" w:space="0"/>
              <w:right w:val="single" w:color="auto" w:sz="4" w:space="0"/>
            </w:tcBorders>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保障24小时应急值守</w:t>
            </w:r>
          </w:p>
        </w:tc>
        <w:tc>
          <w:tcPr>
            <w:tcW w:w="2871" w:type="dxa"/>
            <w:tcBorders>
              <w:top w:val="single" w:color="auto" w:sz="4" w:space="0"/>
              <w:left w:val="single" w:color="auto" w:sz="4" w:space="0"/>
              <w:bottom w:val="single" w:color="auto" w:sz="4" w:space="0"/>
              <w:right w:val="single" w:color="auto" w:sz="4" w:space="0"/>
            </w:tcBorders>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100%保障</w:t>
            </w:r>
          </w:p>
        </w:tc>
        <w:tc>
          <w:tcPr>
            <w:tcW w:w="2057" w:type="dxa"/>
            <w:tcBorders>
              <w:top w:val="single" w:color="auto" w:sz="4" w:space="0"/>
              <w:left w:val="single" w:color="auto" w:sz="4" w:space="0"/>
              <w:bottom w:val="single" w:color="auto" w:sz="4" w:space="0"/>
              <w:right w:val="single" w:color="auto" w:sz="4" w:space="0"/>
            </w:tcBorders>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100%保障</w:t>
            </w:r>
          </w:p>
        </w:tc>
        <w:tc>
          <w:tcPr>
            <w:tcW w:w="3129" w:type="dxa"/>
            <w:tcBorders>
              <w:top w:val="single" w:color="auto" w:sz="4" w:space="0"/>
              <w:left w:val="single" w:color="auto" w:sz="4" w:space="0"/>
              <w:bottom w:val="single" w:color="auto" w:sz="4" w:space="0"/>
              <w:right w:val="single" w:color="auto" w:sz="4" w:space="0"/>
            </w:tcBorders>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w:t>
            </w:r>
          </w:p>
        </w:tc>
      </w:tr>
      <w:tr>
        <w:tblPrEx>
          <w:tblCellMar>
            <w:top w:w="0" w:type="dxa"/>
            <w:left w:w="108" w:type="dxa"/>
            <w:bottom w:w="0" w:type="dxa"/>
            <w:right w:w="108" w:type="dxa"/>
          </w:tblCellMar>
        </w:tblPrEx>
        <w:trPr>
          <w:trHeight w:val="510" w:hRule="atLeast"/>
        </w:trPr>
        <w:tc>
          <w:tcPr>
            <w:tcW w:w="880"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hint="eastAsia" w:ascii="仿宋_GB2312" w:eastAsia="仿宋_GB2312"/>
                <w:sz w:val="28"/>
                <w:szCs w:val="28"/>
              </w:rPr>
            </w:pPr>
            <w:r>
              <w:rPr>
                <w:rFonts w:hint="eastAsia" w:ascii="仿宋_GB2312" w:eastAsia="仿宋_GB2312"/>
                <w:sz w:val="28"/>
                <w:szCs w:val="28"/>
              </w:rPr>
              <w:t>2</w:t>
            </w:r>
          </w:p>
        </w:tc>
        <w:tc>
          <w:tcPr>
            <w:tcW w:w="5042" w:type="dxa"/>
            <w:tcBorders>
              <w:top w:val="single" w:color="auto" w:sz="4" w:space="0"/>
              <w:left w:val="single" w:color="auto" w:sz="4" w:space="0"/>
              <w:bottom w:val="single" w:color="auto" w:sz="4" w:space="0"/>
              <w:right w:val="single" w:color="auto" w:sz="4" w:space="0"/>
            </w:tcBorders>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保障应急调度，应急处置。</w:t>
            </w:r>
          </w:p>
        </w:tc>
        <w:tc>
          <w:tcPr>
            <w:tcW w:w="2871" w:type="dxa"/>
            <w:tcBorders>
              <w:top w:val="single" w:color="auto" w:sz="4" w:space="0"/>
              <w:left w:val="single" w:color="auto" w:sz="4" w:space="0"/>
              <w:bottom w:val="single" w:color="auto" w:sz="4" w:space="0"/>
              <w:right w:val="single" w:color="auto" w:sz="4" w:space="0"/>
            </w:tcBorders>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100%保障</w:t>
            </w:r>
          </w:p>
        </w:tc>
        <w:tc>
          <w:tcPr>
            <w:tcW w:w="2057" w:type="dxa"/>
            <w:tcBorders>
              <w:top w:val="single" w:color="auto" w:sz="4" w:space="0"/>
              <w:left w:val="single" w:color="auto" w:sz="4" w:space="0"/>
              <w:bottom w:val="single" w:color="auto" w:sz="4" w:space="0"/>
              <w:right w:val="single" w:color="auto" w:sz="4" w:space="0"/>
            </w:tcBorders>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100%保障</w:t>
            </w:r>
          </w:p>
        </w:tc>
        <w:tc>
          <w:tcPr>
            <w:tcW w:w="3129" w:type="dxa"/>
            <w:tcBorders>
              <w:top w:val="single" w:color="auto" w:sz="4" w:space="0"/>
              <w:left w:val="single" w:color="auto" w:sz="4" w:space="0"/>
              <w:bottom w:val="single" w:color="auto" w:sz="4" w:space="0"/>
              <w:right w:val="single" w:color="auto" w:sz="4" w:space="0"/>
            </w:tcBorders>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w:t>
            </w:r>
          </w:p>
        </w:tc>
      </w:tr>
      <w:tr>
        <w:tblPrEx>
          <w:tblCellMar>
            <w:top w:w="0" w:type="dxa"/>
            <w:left w:w="108" w:type="dxa"/>
            <w:bottom w:w="0" w:type="dxa"/>
            <w:right w:w="108" w:type="dxa"/>
          </w:tblCellMar>
        </w:tblPrEx>
        <w:trPr>
          <w:trHeight w:val="510" w:hRule="atLeast"/>
        </w:trPr>
        <w:tc>
          <w:tcPr>
            <w:tcW w:w="880"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hint="eastAsia" w:ascii="仿宋_GB2312" w:eastAsia="仿宋_GB2312"/>
                <w:sz w:val="28"/>
                <w:szCs w:val="28"/>
              </w:rPr>
            </w:pPr>
            <w:r>
              <w:rPr>
                <w:rFonts w:hint="eastAsia" w:ascii="仿宋_GB2312" w:eastAsia="仿宋_GB2312"/>
                <w:sz w:val="28"/>
                <w:szCs w:val="28"/>
              </w:rPr>
              <w:t>3</w:t>
            </w:r>
          </w:p>
        </w:tc>
        <w:tc>
          <w:tcPr>
            <w:tcW w:w="5042" w:type="dxa"/>
            <w:tcBorders>
              <w:top w:val="single" w:color="auto" w:sz="4" w:space="0"/>
              <w:left w:val="single" w:color="auto" w:sz="4" w:space="0"/>
              <w:bottom w:val="single" w:color="auto" w:sz="4" w:space="0"/>
              <w:right w:val="single" w:color="auto" w:sz="4" w:space="0"/>
            </w:tcBorders>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京西哨兵平台建设</w:t>
            </w:r>
          </w:p>
        </w:tc>
        <w:tc>
          <w:tcPr>
            <w:tcW w:w="2871" w:type="dxa"/>
            <w:tcBorders>
              <w:top w:val="single" w:color="auto" w:sz="4" w:space="0"/>
              <w:left w:val="single" w:color="auto" w:sz="4" w:space="0"/>
              <w:bottom w:val="single" w:color="auto" w:sz="4" w:space="0"/>
              <w:right w:val="single" w:color="auto" w:sz="4" w:space="0"/>
            </w:tcBorders>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100%保障</w:t>
            </w:r>
          </w:p>
        </w:tc>
        <w:tc>
          <w:tcPr>
            <w:tcW w:w="2057" w:type="dxa"/>
            <w:tcBorders>
              <w:top w:val="single" w:color="auto" w:sz="4" w:space="0"/>
              <w:left w:val="single" w:color="auto" w:sz="4" w:space="0"/>
              <w:bottom w:val="single" w:color="auto" w:sz="4" w:space="0"/>
              <w:right w:val="single" w:color="auto" w:sz="4" w:space="0"/>
            </w:tcBorders>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100%保障</w:t>
            </w:r>
          </w:p>
        </w:tc>
        <w:tc>
          <w:tcPr>
            <w:tcW w:w="3129" w:type="dxa"/>
            <w:tcBorders>
              <w:top w:val="single" w:color="auto" w:sz="4" w:space="0"/>
              <w:left w:val="single" w:color="auto" w:sz="4" w:space="0"/>
              <w:bottom w:val="single" w:color="auto" w:sz="4" w:space="0"/>
              <w:right w:val="single" w:color="auto" w:sz="4" w:space="0"/>
            </w:tcBorders>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w:t>
            </w:r>
          </w:p>
        </w:tc>
      </w:tr>
      <w:tr>
        <w:tblPrEx>
          <w:tblCellMar>
            <w:top w:w="0" w:type="dxa"/>
            <w:left w:w="108" w:type="dxa"/>
            <w:bottom w:w="0" w:type="dxa"/>
            <w:right w:w="108" w:type="dxa"/>
          </w:tblCellMar>
        </w:tblPrEx>
        <w:trPr>
          <w:trHeight w:val="510" w:hRule="atLeast"/>
        </w:trPr>
        <w:tc>
          <w:tcPr>
            <w:tcW w:w="880"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hint="eastAsia" w:ascii="仿宋_GB2312" w:eastAsia="仿宋_GB2312"/>
                <w:sz w:val="28"/>
                <w:szCs w:val="28"/>
                <w:lang w:eastAsia="zh-CN"/>
              </w:rPr>
            </w:pPr>
            <w:r>
              <w:rPr>
                <w:rFonts w:hint="eastAsia" w:ascii="仿宋_GB2312" w:eastAsia="仿宋_GB2312"/>
                <w:sz w:val="28"/>
                <w:szCs w:val="28"/>
                <w:lang w:val="en-US" w:eastAsia="zh-CN"/>
              </w:rPr>
              <w:t>4</w:t>
            </w:r>
          </w:p>
        </w:tc>
        <w:tc>
          <w:tcPr>
            <w:tcW w:w="5042" w:type="dxa"/>
            <w:tcBorders>
              <w:top w:val="single" w:color="auto" w:sz="4" w:space="0"/>
              <w:left w:val="single" w:color="auto" w:sz="4" w:space="0"/>
              <w:bottom w:val="single" w:color="auto" w:sz="4" w:space="0"/>
              <w:right w:val="single" w:color="auto" w:sz="4" w:space="0"/>
            </w:tcBorders>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查出安全隐患</w:t>
            </w:r>
          </w:p>
        </w:tc>
        <w:tc>
          <w:tcPr>
            <w:tcW w:w="2871" w:type="dxa"/>
            <w:tcBorders>
              <w:top w:val="single" w:color="auto" w:sz="4" w:space="0"/>
              <w:left w:val="single" w:color="auto" w:sz="4" w:space="0"/>
              <w:bottom w:val="single" w:color="auto" w:sz="4" w:space="0"/>
              <w:right w:val="single" w:color="auto" w:sz="4" w:space="0"/>
            </w:tcBorders>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500项</w:t>
            </w:r>
          </w:p>
        </w:tc>
        <w:tc>
          <w:tcPr>
            <w:tcW w:w="2057" w:type="dxa"/>
            <w:tcBorders>
              <w:top w:val="single" w:color="auto" w:sz="4" w:space="0"/>
              <w:left w:val="single" w:color="auto" w:sz="4" w:space="0"/>
              <w:bottom w:val="single" w:color="auto" w:sz="4" w:space="0"/>
              <w:right w:val="single" w:color="auto" w:sz="4" w:space="0"/>
            </w:tcBorders>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1183项</w:t>
            </w:r>
          </w:p>
        </w:tc>
        <w:tc>
          <w:tcPr>
            <w:tcW w:w="3129" w:type="dxa"/>
            <w:tcBorders>
              <w:top w:val="single" w:color="auto" w:sz="4" w:space="0"/>
              <w:left w:val="single" w:color="auto" w:sz="4" w:space="0"/>
              <w:bottom w:val="single" w:color="auto" w:sz="4" w:space="0"/>
              <w:right w:val="single" w:color="auto" w:sz="4" w:space="0"/>
            </w:tcBorders>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w:t>
            </w:r>
          </w:p>
        </w:tc>
      </w:tr>
      <w:tr>
        <w:tblPrEx>
          <w:tblCellMar>
            <w:top w:w="0" w:type="dxa"/>
            <w:left w:w="108" w:type="dxa"/>
            <w:bottom w:w="0" w:type="dxa"/>
            <w:right w:w="108" w:type="dxa"/>
          </w:tblCellMar>
        </w:tblPrEx>
        <w:trPr>
          <w:trHeight w:val="510" w:hRule="atLeast"/>
        </w:trPr>
        <w:tc>
          <w:tcPr>
            <w:tcW w:w="880"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hint="eastAsia" w:ascii="仿宋_GB2312" w:eastAsia="仿宋_GB2312"/>
                <w:sz w:val="28"/>
                <w:szCs w:val="28"/>
                <w:lang w:val="en-US" w:eastAsia="zh-CN"/>
              </w:rPr>
            </w:pPr>
            <w:r>
              <w:rPr>
                <w:rFonts w:hint="eastAsia" w:ascii="仿宋_GB2312" w:eastAsia="仿宋_GB2312"/>
                <w:sz w:val="28"/>
                <w:szCs w:val="28"/>
                <w:lang w:val="en-US" w:eastAsia="zh-CN"/>
              </w:rPr>
              <w:t>5</w:t>
            </w:r>
          </w:p>
        </w:tc>
        <w:tc>
          <w:tcPr>
            <w:tcW w:w="5042" w:type="dxa"/>
            <w:tcBorders>
              <w:top w:val="single" w:color="auto" w:sz="4" w:space="0"/>
              <w:left w:val="single" w:color="auto" w:sz="4" w:space="0"/>
              <w:bottom w:val="single" w:color="auto" w:sz="4" w:space="0"/>
              <w:right w:val="single" w:color="auto" w:sz="4" w:space="0"/>
            </w:tcBorders>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应对强降雨</w:t>
            </w:r>
          </w:p>
        </w:tc>
        <w:tc>
          <w:tcPr>
            <w:tcW w:w="2871" w:type="dxa"/>
            <w:tcBorders>
              <w:top w:val="single" w:color="auto" w:sz="4" w:space="0"/>
              <w:left w:val="single" w:color="auto" w:sz="4" w:space="0"/>
              <w:bottom w:val="single" w:color="auto" w:sz="4" w:space="0"/>
              <w:right w:val="single" w:color="auto" w:sz="4" w:space="0"/>
            </w:tcBorders>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100%保障</w:t>
            </w:r>
          </w:p>
        </w:tc>
        <w:tc>
          <w:tcPr>
            <w:tcW w:w="2057" w:type="dxa"/>
            <w:tcBorders>
              <w:top w:val="single" w:color="auto" w:sz="4" w:space="0"/>
              <w:left w:val="single" w:color="auto" w:sz="4" w:space="0"/>
              <w:bottom w:val="single" w:color="auto" w:sz="4" w:space="0"/>
              <w:right w:val="single" w:color="auto" w:sz="4" w:space="0"/>
            </w:tcBorders>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全年共</w:t>
            </w:r>
            <w:r>
              <w:rPr>
                <w:rFonts w:hint="eastAsia" w:ascii="仿宋_GB2312" w:eastAsia="仿宋_GB2312"/>
                <w:sz w:val="28"/>
                <w:szCs w:val="28"/>
                <w:lang w:eastAsia="zh-CN"/>
              </w:rPr>
              <w:t>16次较强降雨过程</w:t>
            </w:r>
          </w:p>
        </w:tc>
        <w:tc>
          <w:tcPr>
            <w:tcW w:w="3129" w:type="dxa"/>
            <w:tcBorders>
              <w:top w:val="single" w:color="auto" w:sz="4" w:space="0"/>
              <w:left w:val="single" w:color="auto" w:sz="4" w:space="0"/>
              <w:bottom w:val="single" w:color="auto" w:sz="4" w:space="0"/>
              <w:right w:val="single" w:color="auto" w:sz="4" w:space="0"/>
            </w:tcBorders>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w:t>
            </w:r>
          </w:p>
        </w:tc>
      </w:tr>
      <w:tr>
        <w:tblPrEx>
          <w:tblCellMar>
            <w:top w:w="0" w:type="dxa"/>
            <w:left w:w="108" w:type="dxa"/>
            <w:bottom w:w="0" w:type="dxa"/>
            <w:right w:w="108" w:type="dxa"/>
          </w:tblCellMar>
        </w:tblPrEx>
        <w:trPr>
          <w:trHeight w:val="510" w:hRule="atLeast"/>
        </w:trPr>
        <w:tc>
          <w:tcPr>
            <w:tcW w:w="880"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hint="eastAsia" w:ascii="仿宋_GB2312" w:eastAsia="仿宋_GB2312"/>
                <w:sz w:val="28"/>
                <w:szCs w:val="28"/>
                <w:lang w:val="en-US" w:eastAsia="zh-CN"/>
              </w:rPr>
            </w:pPr>
            <w:r>
              <w:rPr>
                <w:rFonts w:hint="eastAsia" w:ascii="仿宋_GB2312" w:eastAsia="仿宋_GB2312"/>
                <w:sz w:val="28"/>
                <w:szCs w:val="28"/>
                <w:lang w:val="en-US" w:eastAsia="zh-CN"/>
              </w:rPr>
              <w:t>6</w:t>
            </w:r>
          </w:p>
        </w:tc>
        <w:tc>
          <w:tcPr>
            <w:tcW w:w="5042" w:type="dxa"/>
            <w:tcBorders>
              <w:top w:val="single" w:color="auto" w:sz="4" w:space="0"/>
              <w:left w:val="single" w:color="auto" w:sz="4" w:space="0"/>
              <w:bottom w:val="single" w:color="auto" w:sz="4" w:space="0"/>
              <w:right w:val="single" w:color="auto" w:sz="4" w:space="0"/>
            </w:tcBorders>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开展应急，防汛，森林防灭火，安全生产宣传</w:t>
            </w:r>
          </w:p>
        </w:tc>
        <w:tc>
          <w:tcPr>
            <w:tcW w:w="2871" w:type="dxa"/>
            <w:tcBorders>
              <w:top w:val="single" w:color="auto" w:sz="4" w:space="0"/>
              <w:left w:val="single" w:color="auto" w:sz="4" w:space="0"/>
              <w:bottom w:val="single" w:color="auto" w:sz="4" w:space="0"/>
              <w:right w:val="single" w:color="auto" w:sz="4" w:space="0"/>
            </w:tcBorders>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各1次</w:t>
            </w:r>
          </w:p>
        </w:tc>
        <w:tc>
          <w:tcPr>
            <w:tcW w:w="2057" w:type="dxa"/>
            <w:tcBorders>
              <w:top w:val="single" w:color="auto" w:sz="4" w:space="0"/>
              <w:left w:val="single" w:color="auto" w:sz="4" w:space="0"/>
              <w:bottom w:val="single" w:color="auto" w:sz="4" w:space="0"/>
              <w:right w:val="single" w:color="auto" w:sz="4" w:space="0"/>
            </w:tcBorders>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各1次</w:t>
            </w:r>
          </w:p>
        </w:tc>
        <w:tc>
          <w:tcPr>
            <w:tcW w:w="3129" w:type="dxa"/>
            <w:tcBorders>
              <w:top w:val="single" w:color="auto" w:sz="4" w:space="0"/>
              <w:left w:val="single" w:color="auto" w:sz="4" w:space="0"/>
              <w:bottom w:val="single" w:color="auto" w:sz="4" w:space="0"/>
              <w:right w:val="single" w:color="auto" w:sz="4" w:space="0"/>
            </w:tcBorders>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w:t>
            </w:r>
          </w:p>
        </w:tc>
      </w:tr>
      <w:tr>
        <w:tblPrEx>
          <w:tblCellMar>
            <w:top w:w="0" w:type="dxa"/>
            <w:left w:w="108" w:type="dxa"/>
            <w:bottom w:w="0" w:type="dxa"/>
            <w:right w:w="108" w:type="dxa"/>
          </w:tblCellMar>
        </w:tblPrEx>
        <w:trPr>
          <w:trHeight w:val="510" w:hRule="atLeast"/>
        </w:trPr>
        <w:tc>
          <w:tcPr>
            <w:tcW w:w="880"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hint="eastAsia" w:ascii="仿宋_GB2312" w:eastAsia="仿宋_GB2312"/>
                <w:sz w:val="28"/>
                <w:szCs w:val="28"/>
                <w:lang w:val="en-US" w:eastAsia="zh-CN"/>
              </w:rPr>
            </w:pPr>
            <w:r>
              <w:rPr>
                <w:rFonts w:hint="eastAsia" w:ascii="仿宋_GB2312" w:eastAsia="仿宋_GB2312"/>
                <w:sz w:val="28"/>
                <w:szCs w:val="28"/>
                <w:lang w:val="en-US" w:eastAsia="zh-CN"/>
              </w:rPr>
              <w:t>7</w:t>
            </w:r>
          </w:p>
        </w:tc>
        <w:tc>
          <w:tcPr>
            <w:tcW w:w="5042" w:type="dxa"/>
            <w:tcBorders>
              <w:top w:val="single" w:color="auto" w:sz="4" w:space="0"/>
              <w:left w:val="single" w:color="auto" w:sz="4" w:space="0"/>
              <w:bottom w:val="single" w:color="auto" w:sz="4" w:space="0"/>
              <w:right w:val="single" w:color="auto" w:sz="4" w:space="0"/>
            </w:tcBorders>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开展山区村居避难场所建设</w:t>
            </w:r>
          </w:p>
        </w:tc>
        <w:tc>
          <w:tcPr>
            <w:tcW w:w="2871" w:type="dxa"/>
            <w:tcBorders>
              <w:top w:val="single" w:color="auto" w:sz="4" w:space="0"/>
              <w:left w:val="single" w:color="auto" w:sz="4" w:space="0"/>
              <w:bottom w:val="single" w:color="auto" w:sz="4" w:space="0"/>
              <w:right w:val="single" w:color="auto" w:sz="4" w:space="0"/>
            </w:tcBorders>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120处</w:t>
            </w:r>
          </w:p>
        </w:tc>
        <w:tc>
          <w:tcPr>
            <w:tcW w:w="2057" w:type="dxa"/>
            <w:tcBorders>
              <w:top w:val="single" w:color="auto" w:sz="4" w:space="0"/>
              <w:left w:val="single" w:color="auto" w:sz="4" w:space="0"/>
              <w:bottom w:val="single" w:color="auto" w:sz="4" w:space="0"/>
              <w:right w:val="single" w:color="auto" w:sz="4" w:space="0"/>
            </w:tcBorders>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120处</w:t>
            </w:r>
          </w:p>
        </w:tc>
        <w:tc>
          <w:tcPr>
            <w:tcW w:w="3129" w:type="dxa"/>
            <w:tcBorders>
              <w:top w:val="single" w:color="auto" w:sz="4" w:space="0"/>
              <w:left w:val="single" w:color="auto" w:sz="4" w:space="0"/>
              <w:bottom w:val="single" w:color="auto" w:sz="4" w:space="0"/>
              <w:right w:val="single" w:color="auto" w:sz="4" w:space="0"/>
            </w:tcBorders>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w:t>
            </w:r>
          </w:p>
        </w:tc>
      </w:tr>
      <w:tr>
        <w:tblPrEx>
          <w:tblCellMar>
            <w:top w:w="0" w:type="dxa"/>
            <w:left w:w="108" w:type="dxa"/>
            <w:bottom w:w="0" w:type="dxa"/>
            <w:right w:w="108" w:type="dxa"/>
          </w:tblCellMar>
        </w:tblPrEx>
        <w:trPr>
          <w:trHeight w:val="510" w:hRule="atLeast"/>
        </w:trPr>
        <w:tc>
          <w:tcPr>
            <w:tcW w:w="880"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hint="eastAsia" w:ascii="仿宋_GB2312" w:eastAsia="仿宋_GB2312"/>
                <w:sz w:val="28"/>
                <w:szCs w:val="28"/>
                <w:lang w:val="en-US" w:eastAsia="zh-CN"/>
              </w:rPr>
            </w:pPr>
            <w:r>
              <w:rPr>
                <w:rFonts w:hint="eastAsia" w:ascii="仿宋_GB2312" w:eastAsia="仿宋_GB2312"/>
                <w:sz w:val="28"/>
                <w:szCs w:val="28"/>
                <w:lang w:val="en-US" w:eastAsia="zh-CN"/>
              </w:rPr>
              <w:t>8</w:t>
            </w:r>
          </w:p>
        </w:tc>
        <w:tc>
          <w:tcPr>
            <w:tcW w:w="5042" w:type="dxa"/>
            <w:tcBorders>
              <w:top w:val="single" w:color="auto" w:sz="4" w:space="0"/>
              <w:left w:val="single" w:color="auto" w:sz="4" w:space="0"/>
              <w:bottom w:val="single" w:color="auto" w:sz="4" w:space="0"/>
              <w:right w:val="single" w:color="auto" w:sz="4" w:space="0"/>
            </w:tcBorders>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开展保障中心建设工程</w:t>
            </w:r>
          </w:p>
        </w:tc>
        <w:tc>
          <w:tcPr>
            <w:tcW w:w="2871" w:type="dxa"/>
            <w:tcBorders>
              <w:top w:val="single" w:color="auto" w:sz="4" w:space="0"/>
              <w:left w:val="single" w:color="auto" w:sz="4" w:space="0"/>
              <w:bottom w:val="single" w:color="auto" w:sz="4" w:space="0"/>
              <w:right w:val="single" w:color="auto" w:sz="4" w:space="0"/>
            </w:tcBorders>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按照进度开展</w:t>
            </w:r>
          </w:p>
        </w:tc>
        <w:tc>
          <w:tcPr>
            <w:tcW w:w="2057" w:type="dxa"/>
            <w:tcBorders>
              <w:top w:val="single" w:color="auto" w:sz="4" w:space="0"/>
              <w:left w:val="single" w:color="auto" w:sz="4" w:space="0"/>
              <w:bottom w:val="single" w:color="auto" w:sz="4" w:space="0"/>
              <w:right w:val="single" w:color="auto" w:sz="4" w:space="0"/>
            </w:tcBorders>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100%</w:t>
            </w:r>
          </w:p>
        </w:tc>
        <w:tc>
          <w:tcPr>
            <w:tcW w:w="3129" w:type="dxa"/>
            <w:tcBorders>
              <w:top w:val="single" w:color="auto" w:sz="4" w:space="0"/>
              <w:left w:val="single" w:color="auto" w:sz="4" w:space="0"/>
              <w:bottom w:val="single" w:color="auto" w:sz="4" w:space="0"/>
              <w:right w:val="single" w:color="auto" w:sz="4" w:space="0"/>
            </w:tcBorders>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w:t>
            </w:r>
          </w:p>
        </w:tc>
      </w:tr>
      <w:tr>
        <w:tblPrEx>
          <w:tblCellMar>
            <w:top w:w="0" w:type="dxa"/>
            <w:left w:w="108" w:type="dxa"/>
            <w:bottom w:w="0" w:type="dxa"/>
            <w:right w:w="108" w:type="dxa"/>
          </w:tblCellMar>
        </w:tblPrEx>
        <w:trPr>
          <w:trHeight w:val="510" w:hRule="atLeast"/>
        </w:trPr>
        <w:tc>
          <w:tcPr>
            <w:tcW w:w="880"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hint="eastAsia" w:ascii="仿宋_GB2312" w:eastAsia="仿宋_GB2312"/>
                <w:sz w:val="28"/>
                <w:szCs w:val="28"/>
                <w:lang w:val="en-US" w:eastAsia="zh-CN"/>
              </w:rPr>
            </w:pPr>
            <w:r>
              <w:rPr>
                <w:rFonts w:hint="eastAsia" w:ascii="仿宋_GB2312" w:eastAsia="仿宋_GB2312"/>
                <w:sz w:val="28"/>
                <w:szCs w:val="28"/>
                <w:lang w:val="en-US" w:eastAsia="zh-CN"/>
              </w:rPr>
              <w:t>9</w:t>
            </w:r>
          </w:p>
        </w:tc>
        <w:tc>
          <w:tcPr>
            <w:tcW w:w="5042" w:type="dxa"/>
            <w:tcBorders>
              <w:top w:val="single" w:color="auto" w:sz="4" w:space="0"/>
              <w:left w:val="single" w:color="auto" w:sz="4" w:space="0"/>
              <w:bottom w:val="single" w:color="auto" w:sz="4" w:space="0"/>
              <w:right w:val="single" w:color="auto" w:sz="4" w:space="0"/>
            </w:tcBorders>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完成城市安全发展提升建设</w:t>
            </w:r>
          </w:p>
        </w:tc>
        <w:tc>
          <w:tcPr>
            <w:tcW w:w="2871" w:type="dxa"/>
            <w:tcBorders>
              <w:top w:val="single" w:color="auto" w:sz="4" w:space="0"/>
              <w:left w:val="single" w:color="auto" w:sz="4" w:space="0"/>
              <w:bottom w:val="single" w:color="auto" w:sz="4" w:space="0"/>
              <w:right w:val="single" w:color="auto" w:sz="4" w:space="0"/>
            </w:tcBorders>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100%</w:t>
            </w:r>
          </w:p>
        </w:tc>
        <w:tc>
          <w:tcPr>
            <w:tcW w:w="2057" w:type="dxa"/>
            <w:tcBorders>
              <w:top w:val="single" w:color="auto" w:sz="4" w:space="0"/>
              <w:left w:val="single" w:color="auto" w:sz="4" w:space="0"/>
              <w:bottom w:val="single" w:color="auto" w:sz="4" w:space="0"/>
              <w:right w:val="single" w:color="auto" w:sz="4" w:space="0"/>
            </w:tcBorders>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100%</w:t>
            </w:r>
          </w:p>
        </w:tc>
        <w:tc>
          <w:tcPr>
            <w:tcW w:w="3129" w:type="dxa"/>
            <w:tcBorders>
              <w:top w:val="single" w:color="auto" w:sz="4" w:space="0"/>
              <w:left w:val="single" w:color="auto" w:sz="4" w:space="0"/>
              <w:bottom w:val="single" w:color="auto" w:sz="4" w:space="0"/>
              <w:right w:val="single" w:color="auto" w:sz="4" w:space="0"/>
            </w:tcBorders>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5%</w:t>
            </w:r>
          </w:p>
        </w:tc>
      </w:tr>
      <w:tr>
        <w:tblPrEx>
          <w:tblCellMar>
            <w:top w:w="0" w:type="dxa"/>
            <w:left w:w="108" w:type="dxa"/>
            <w:bottom w:w="0" w:type="dxa"/>
            <w:right w:w="108" w:type="dxa"/>
          </w:tblCellMar>
        </w:tblPrEx>
        <w:trPr>
          <w:trHeight w:val="510" w:hRule="atLeast"/>
        </w:trPr>
        <w:tc>
          <w:tcPr>
            <w:tcW w:w="880"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hint="default" w:ascii="仿宋_GB2312" w:eastAsia="仿宋_GB2312"/>
                <w:sz w:val="28"/>
                <w:szCs w:val="28"/>
                <w:lang w:val="en-US" w:eastAsia="zh-CN"/>
              </w:rPr>
            </w:pPr>
            <w:r>
              <w:rPr>
                <w:rFonts w:hint="eastAsia" w:ascii="仿宋_GB2312" w:eastAsia="仿宋_GB2312"/>
                <w:sz w:val="28"/>
                <w:szCs w:val="28"/>
                <w:lang w:val="en-US" w:eastAsia="zh-CN"/>
              </w:rPr>
              <w:t>10</w:t>
            </w:r>
          </w:p>
        </w:tc>
        <w:tc>
          <w:tcPr>
            <w:tcW w:w="5042" w:type="dxa"/>
            <w:tcBorders>
              <w:top w:val="single" w:color="auto" w:sz="4" w:space="0"/>
              <w:left w:val="single" w:color="auto" w:sz="4" w:space="0"/>
              <w:bottom w:val="single" w:color="auto" w:sz="4" w:space="0"/>
              <w:right w:val="single" w:color="auto" w:sz="4" w:space="0"/>
            </w:tcBorders>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为我区提供巨灾保险，自然灾害保险保障</w:t>
            </w:r>
          </w:p>
        </w:tc>
        <w:tc>
          <w:tcPr>
            <w:tcW w:w="2871" w:type="dxa"/>
            <w:tcBorders>
              <w:top w:val="single" w:color="auto" w:sz="4" w:space="0"/>
              <w:left w:val="single" w:color="auto" w:sz="4" w:space="0"/>
              <w:bottom w:val="single" w:color="auto" w:sz="4" w:space="0"/>
              <w:right w:val="single" w:color="auto" w:sz="4" w:space="0"/>
            </w:tcBorders>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2个保险</w:t>
            </w:r>
          </w:p>
        </w:tc>
        <w:tc>
          <w:tcPr>
            <w:tcW w:w="2057" w:type="dxa"/>
            <w:tcBorders>
              <w:top w:val="single" w:color="auto" w:sz="4" w:space="0"/>
              <w:left w:val="single" w:color="auto" w:sz="4" w:space="0"/>
              <w:bottom w:val="single" w:color="auto" w:sz="4" w:space="0"/>
              <w:right w:val="single" w:color="auto" w:sz="4" w:space="0"/>
            </w:tcBorders>
            <w:vAlign w:val="center"/>
          </w:tcPr>
          <w:p>
            <w:pPr>
              <w:spacing w:line="520" w:lineRule="exact"/>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2个保险</w:t>
            </w:r>
          </w:p>
        </w:tc>
        <w:tc>
          <w:tcPr>
            <w:tcW w:w="3129" w:type="dxa"/>
            <w:tcBorders>
              <w:top w:val="single" w:color="auto" w:sz="4" w:space="0"/>
              <w:left w:val="single" w:color="auto" w:sz="4" w:space="0"/>
              <w:bottom w:val="single" w:color="auto" w:sz="4" w:space="0"/>
              <w:right w:val="single" w:color="auto" w:sz="4" w:space="0"/>
            </w:tcBorders>
            <w:vAlign w:val="center"/>
          </w:tcPr>
          <w:p>
            <w:pPr>
              <w:spacing w:line="520" w:lineRule="exact"/>
              <w:ind w:firstLine="640" w:firstLineChars="0"/>
              <w:rPr>
                <w:rFonts w:hint="eastAsia" w:ascii="仿宋_GB2312" w:hAnsi="Times New Roman" w:eastAsia="仿宋_GB2312" w:cs="Times New Roman"/>
                <w:kern w:val="2"/>
                <w:sz w:val="28"/>
                <w:szCs w:val="28"/>
                <w:lang w:val="en-US" w:eastAsia="zh-CN" w:bidi="ar-SA"/>
              </w:rPr>
            </w:pPr>
            <w:r>
              <w:rPr>
                <w:rFonts w:hint="eastAsia" w:ascii="仿宋_GB2312" w:eastAsia="仿宋_GB2312"/>
                <w:sz w:val="28"/>
                <w:szCs w:val="28"/>
                <w:lang w:val="en-US" w:eastAsia="zh-CN"/>
              </w:rPr>
              <w:t>5%</w:t>
            </w:r>
          </w:p>
        </w:tc>
      </w:tr>
    </w:tbl>
    <w:p>
      <w:pPr>
        <w:spacing w:line="52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（2）产出质量：符合市区两级相关考核标准</w:t>
      </w:r>
    </w:p>
    <w:p>
      <w:pPr>
        <w:spacing w:line="52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（3）产出进度：2025年完成。</w:t>
      </w:r>
    </w:p>
    <w:p>
      <w:pPr>
        <w:spacing w:line="52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（4）产出成本：</w:t>
      </w:r>
    </w:p>
    <w:p>
      <w:pPr>
        <w:spacing w:line="580" w:lineRule="exact"/>
        <w:ind w:firstLine="640"/>
        <w:rPr>
          <w:rFonts w:hint="eastAsia" w:ascii="仿宋_GB2312" w:eastAsia="仿宋_GB2312"/>
          <w:sz w:val="28"/>
          <w:szCs w:val="28"/>
        </w:rPr>
      </w:pPr>
      <w:r>
        <w:rPr>
          <w:rFonts w:hint="eastAsia" w:ascii="仿宋_GB2312" w:eastAsia="仿宋_GB2312"/>
          <w:sz w:val="28"/>
          <w:szCs w:val="28"/>
        </w:rPr>
        <w:t>2.效果实现情况分析</w:t>
      </w:r>
    </w:p>
    <w:p>
      <w:pPr>
        <w:spacing w:line="52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（1）经济效益：不涉及</w:t>
      </w:r>
    </w:p>
    <w:p>
      <w:pPr>
        <w:spacing w:line="52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（2）社会效益：提高全区应急管理水平，加强防灾减灾建设，保障全区安全生产整体水平。</w:t>
      </w:r>
    </w:p>
    <w:p>
      <w:pPr>
        <w:spacing w:line="52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（3）环境效益：不涉及</w:t>
      </w:r>
    </w:p>
    <w:p>
      <w:pPr>
        <w:spacing w:line="52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（4）可持续影响：不涉及</w:t>
      </w:r>
    </w:p>
    <w:p>
      <w:pPr>
        <w:spacing w:line="52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（5）服务对象满意度：不涉及</w:t>
      </w:r>
    </w:p>
    <w:p>
      <w:pPr>
        <w:spacing w:line="580" w:lineRule="exact"/>
        <w:ind w:firstLine="640"/>
        <w:rPr>
          <w:rFonts w:hint="eastAsia" w:ascii="楷体_GB2312" w:eastAsia="楷体_GB2312"/>
          <w:b/>
          <w:sz w:val="32"/>
          <w:szCs w:val="32"/>
        </w:rPr>
      </w:pPr>
      <w:r>
        <w:rPr>
          <w:rFonts w:hint="eastAsia" w:ascii="楷体_GB2312" w:eastAsia="楷体_GB2312"/>
          <w:b/>
          <w:sz w:val="32"/>
          <w:szCs w:val="32"/>
        </w:rPr>
        <w:t>（四）预算管理情况分析</w:t>
      </w:r>
    </w:p>
    <w:p>
      <w:pPr>
        <w:spacing w:line="52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1.财务管理</w:t>
      </w:r>
    </w:p>
    <w:p>
      <w:pPr>
        <w:spacing w:line="52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在财务管理上，我单位严格审批流程，使用科队申请-科队主管审批-财务主管审批，大额以上资金由领导班子集体讨论决定。财务信息资料由财务人员兼管，负责整理立卷，装订成册，统一妥善保管。严格执行安全和保密制度，严防毁损、丢失和泄密。</w:t>
      </w:r>
    </w:p>
    <w:p>
      <w:pPr>
        <w:spacing w:line="52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2.资产管理</w:t>
      </w:r>
    </w:p>
    <w:p>
      <w:pPr>
        <w:spacing w:line="520" w:lineRule="exact"/>
        <w:ind w:firstLine="560" w:firstLineChars="200"/>
        <w:rPr>
          <w:rFonts w:hint="eastAsia"/>
        </w:rPr>
      </w:pPr>
      <w:r>
        <w:rPr>
          <w:rFonts w:hint="eastAsia" w:ascii="仿宋_GB2312" w:eastAsia="仿宋_GB2312"/>
          <w:sz w:val="28"/>
          <w:szCs w:val="28"/>
          <w:lang w:val="en-US" w:eastAsia="zh-CN"/>
        </w:rPr>
        <w:t>我单位严格按照相关资产管理制度开展资产管理工作。</w:t>
      </w:r>
    </w:p>
    <w:p>
      <w:pPr>
        <w:spacing w:line="520" w:lineRule="exact"/>
        <w:ind w:firstLine="640"/>
        <w:rPr>
          <w:rFonts w:ascii="仿宋_GB2312" w:eastAsia="仿宋_GB2312"/>
          <w:sz w:val="28"/>
          <w:szCs w:val="28"/>
        </w:rPr>
      </w:pPr>
      <w:r>
        <w:rPr>
          <w:rFonts w:hint="eastAsia" w:ascii="仿宋_GB2312" w:eastAsia="仿宋_GB2312"/>
          <w:sz w:val="28"/>
          <w:szCs w:val="28"/>
        </w:rPr>
        <w:t>3.绩效管理</w:t>
      </w:r>
    </w:p>
    <w:p>
      <w:pPr>
        <w:spacing w:line="520" w:lineRule="exact"/>
        <w:ind w:firstLine="640"/>
        <w:rPr>
          <w:rFonts w:hint="eastAsia" w:ascii="仿宋_GB2312" w:eastAsia="仿宋_GB2312"/>
          <w:sz w:val="28"/>
          <w:szCs w:val="28"/>
          <w:lang w:eastAsia="zh-CN"/>
        </w:rPr>
      </w:pPr>
      <w:r>
        <w:rPr>
          <w:rFonts w:hint="eastAsia" w:ascii="仿宋_GB2312" w:eastAsia="仿宋_GB2312"/>
          <w:sz w:val="28"/>
          <w:szCs w:val="28"/>
        </w:rPr>
        <w:t>（1）预算绩效管理制度情况</w:t>
      </w:r>
      <w:r>
        <w:rPr>
          <w:rFonts w:hint="eastAsia" w:ascii="仿宋_GB2312" w:eastAsia="仿宋_GB2312"/>
          <w:sz w:val="28"/>
          <w:szCs w:val="28"/>
          <w:lang w:eastAsia="zh-CN"/>
        </w:rPr>
        <w:t>：</w:t>
      </w:r>
      <w:r>
        <w:rPr>
          <w:rFonts w:hint="eastAsia" w:ascii="仿宋_GB2312" w:eastAsia="仿宋_GB2312"/>
          <w:sz w:val="28"/>
          <w:szCs w:val="28"/>
          <w:lang w:val="en-US" w:eastAsia="zh-CN"/>
        </w:rPr>
        <w:t>我单位严格按照财政相关要求完成绩效管理工作。</w:t>
      </w:r>
    </w:p>
    <w:p>
      <w:pPr>
        <w:spacing w:line="520" w:lineRule="exact"/>
        <w:ind w:firstLine="640"/>
        <w:rPr>
          <w:rFonts w:ascii="仿宋_GB2312" w:eastAsia="仿宋_GB2312"/>
          <w:sz w:val="28"/>
          <w:szCs w:val="28"/>
        </w:rPr>
      </w:pPr>
      <w:r>
        <w:rPr>
          <w:rFonts w:hint="eastAsia" w:ascii="仿宋_GB2312" w:eastAsia="仿宋_GB2312"/>
          <w:sz w:val="28"/>
          <w:szCs w:val="28"/>
        </w:rPr>
        <w:t>（2）绩效目标管理情况</w:t>
      </w:r>
    </w:p>
    <w:p>
      <w:pPr>
        <w:spacing w:line="520" w:lineRule="exact"/>
        <w:ind w:firstLine="640"/>
        <w:rPr>
          <w:rFonts w:hint="eastAsia" w:ascii="仿宋_GB2312" w:eastAsia="仿宋_GB2312"/>
          <w:sz w:val="28"/>
          <w:szCs w:val="28"/>
        </w:rPr>
      </w:pPr>
      <w:r>
        <w:rPr>
          <w:rFonts w:hint="eastAsia" w:ascii="仿宋_GB2312" w:eastAsia="仿宋_GB2312"/>
          <w:sz w:val="28"/>
          <w:szCs w:val="28"/>
        </w:rPr>
        <w:t>2025年</w:t>
      </w:r>
      <w:r>
        <w:rPr>
          <w:rFonts w:hint="eastAsia" w:ascii="仿宋_GB2312" w:eastAsia="仿宋_GB2312"/>
          <w:sz w:val="28"/>
          <w:szCs w:val="28"/>
          <w:lang w:val="en-US" w:eastAsia="zh-CN"/>
        </w:rPr>
        <w:t>单位</w:t>
      </w:r>
      <w:r>
        <w:rPr>
          <w:rFonts w:hint="eastAsia" w:ascii="仿宋_GB2312" w:eastAsia="仿宋_GB2312"/>
          <w:sz w:val="28"/>
          <w:szCs w:val="28"/>
        </w:rPr>
        <w:t>预算项目</w:t>
      </w:r>
      <w:r>
        <w:rPr>
          <w:rFonts w:hint="eastAsia" w:ascii="仿宋_GB2312" w:eastAsia="仿宋_GB2312"/>
          <w:sz w:val="28"/>
          <w:szCs w:val="28"/>
          <w:lang w:val="en-US" w:eastAsia="zh-CN"/>
        </w:rPr>
        <w:t>33</w:t>
      </w:r>
      <w:r>
        <w:rPr>
          <w:rFonts w:hint="eastAsia" w:ascii="仿宋_GB2312" w:eastAsia="仿宋_GB2312"/>
          <w:sz w:val="28"/>
          <w:szCs w:val="28"/>
        </w:rPr>
        <w:t>个，</w:t>
      </w:r>
      <w:r>
        <w:rPr>
          <w:rFonts w:hint="eastAsia" w:ascii="仿宋_GB2312" w:eastAsia="仿宋_GB2312"/>
          <w:sz w:val="28"/>
          <w:szCs w:val="28"/>
          <w:lang w:eastAsia="zh-CN"/>
        </w:rPr>
        <w:t>单位</w:t>
      </w:r>
      <w:r>
        <w:rPr>
          <w:rFonts w:hint="eastAsia" w:ascii="仿宋_GB2312" w:eastAsia="仿宋_GB2312"/>
          <w:sz w:val="28"/>
          <w:szCs w:val="28"/>
        </w:rPr>
        <w:t>预算公开绩效目标的预算项目</w:t>
      </w:r>
      <w:r>
        <w:rPr>
          <w:rFonts w:hint="eastAsia" w:ascii="仿宋_GB2312" w:eastAsia="仿宋_GB2312"/>
          <w:sz w:val="28"/>
          <w:szCs w:val="28"/>
          <w:lang w:val="en-US" w:eastAsia="zh-CN"/>
        </w:rPr>
        <w:t>33</w:t>
      </w:r>
      <w:r>
        <w:rPr>
          <w:rFonts w:hint="eastAsia" w:ascii="仿宋_GB2312" w:eastAsia="仿宋_GB2312"/>
          <w:sz w:val="28"/>
          <w:szCs w:val="28"/>
        </w:rPr>
        <w:t>个，占本</w:t>
      </w:r>
      <w:r>
        <w:rPr>
          <w:rFonts w:hint="eastAsia" w:ascii="仿宋_GB2312" w:eastAsia="仿宋_GB2312"/>
          <w:sz w:val="28"/>
          <w:szCs w:val="28"/>
          <w:lang w:eastAsia="zh-CN"/>
        </w:rPr>
        <w:t>单位</w:t>
      </w:r>
      <w:r>
        <w:rPr>
          <w:rFonts w:hint="eastAsia" w:ascii="仿宋_GB2312" w:eastAsia="仿宋_GB2312"/>
          <w:sz w:val="28"/>
          <w:szCs w:val="28"/>
        </w:rPr>
        <w:t>全部预算项目的</w:t>
      </w:r>
      <w:r>
        <w:rPr>
          <w:rFonts w:hint="eastAsia" w:ascii="仿宋_GB2312" w:eastAsia="仿宋_GB2312"/>
          <w:sz w:val="28"/>
          <w:szCs w:val="28"/>
          <w:lang w:val="en-US" w:eastAsia="zh-CN"/>
        </w:rPr>
        <w:t>100.0</w:t>
      </w:r>
      <w:r>
        <w:rPr>
          <w:rFonts w:hint="eastAsia" w:ascii="仿宋_GB2312" w:eastAsia="仿宋_GB2312"/>
          <w:sz w:val="28"/>
          <w:szCs w:val="28"/>
        </w:rPr>
        <w:t>%。</w:t>
      </w:r>
    </w:p>
    <w:p>
      <w:pPr>
        <w:spacing w:line="520" w:lineRule="exact"/>
        <w:ind w:firstLine="640"/>
        <w:rPr>
          <w:rFonts w:hint="eastAsia" w:ascii="仿宋_GB2312" w:eastAsia="仿宋_GB2312"/>
          <w:sz w:val="28"/>
          <w:szCs w:val="28"/>
        </w:rPr>
      </w:pPr>
      <w:r>
        <w:rPr>
          <w:rFonts w:hint="eastAsia" w:ascii="仿宋_GB2312" w:eastAsia="仿宋_GB2312"/>
          <w:sz w:val="28"/>
          <w:szCs w:val="28"/>
        </w:rPr>
        <w:t>3.绩效运行监控情况</w:t>
      </w:r>
    </w:p>
    <w:p>
      <w:pPr>
        <w:spacing w:line="520" w:lineRule="exact"/>
        <w:ind w:firstLine="640"/>
        <w:rPr>
          <w:rFonts w:hint="eastAsia" w:ascii="仿宋_GB2312" w:eastAsia="仿宋_GB2312"/>
          <w:sz w:val="28"/>
          <w:szCs w:val="28"/>
          <w:highlight w:val="none"/>
        </w:rPr>
      </w:pPr>
      <w:r>
        <w:rPr>
          <w:rFonts w:hint="eastAsia" w:ascii="仿宋_GB2312" w:eastAsia="仿宋_GB2312"/>
          <w:sz w:val="28"/>
          <w:szCs w:val="28"/>
          <w:highlight w:val="none"/>
        </w:rPr>
        <w:t>2025年对本单位</w:t>
      </w:r>
      <w:r>
        <w:rPr>
          <w:rFonts w:hint="eastAsia" w:ascii="仿宋_GB2312" w:eastAsia="仿宋_GB2312"/>
          <w:sz w:val="28"/>
          <w:szCs w:val="28"/>
          <w:highlight w:val="none"/>
          <w:lang w:val="en-US" w:eastAsia="zh-CN"/>
        </w:rPr>
        <w:t>33</w:t>
      </w:r>
      <w:r>
        <w:rPr>
          <w:rFonts w:hint="eastAsia" w:ascii="仿宋_GB2312" w:eastAsia="仿宋_GB2312"/>
          <w:sz w:val="28"/>
          <w:szCs w:val="28"/>
          <w:highlight w:val="none"/>
        </w:rPr>
        <w:t>个预算项目进行绩效运行监控，占</w:t>
      </w:r>
      <w:r>
        <w:rPr>
          <w:rFonts w:hint="eastAsia" w:ascii="仿宋_GB2312" w:eastAsia="仿宋_GB2312"/>
          <w:sz w:val="28"/>
          <w:szCs w:val="28"/>
          <w:highlight w:val="none"/>
          <w:lang w:eastAsia="zh-CN"/>
        </w:rPr>
        <w:t>单位</w:t>
      </w:r>
      <w:r>
        <w:rPr>
          <w:rFonts w:hint="eastAsia" w:ascii="仿宋_GB2312" w:eastAsia="仿宋_GB2312"/>
          <w:sz w:val="28"/>
          <w:szCs w:val="28"/>
          <w:highlight w:val="none"/>
        </w:rPr>
        <w:t>项目总数的</w:t>
      </w:r>
      <w:r>
        <w:rPr>
          <w:rFonts w:hint="eastAsia" w:ascii="仿宋_GB2312" w:eastAsia="仿宋_GB2312"/>
          <w:sz w:val="28"/>
          <w:szCs w:val="28"/>
          <w:highlight w:val="none"/>
          <w:lang w:val="en-US" w:eastAsia="zh-CN"/>
        </w:rPr>
        <w:t>100.00</w:t>
      </w:r>
      <w:r>
        <w:rPr>
          <w:rFonts w:hint="eastAsia" w:ascii="仿宋_GB2312" w:eastAsia="仿宋_GB2312"/>
          <w:sz w:val="28"/>
          <w:szCs w:val="28"/>
          <w:highlight w:val="none"/>
        </w:rPr>
        <w:t>%，涉及资金</w:t>
      </w:r>
      <w:r>
        <w:rPr>
          <w:rFonts w:hint="eastAsia" w:ascii="仿宋_GB2312" w:eastAsia="仿宋_GB2312"/>
          <w:sz w:val="28"/>
          <w:szCs w:val="28"/>
          <w:highlight w:val="none"/>
          <w:lang w:val="en-US" w:eastAsia="zh-CN"/>
        </w:rPr>
        <w:t>104,954,236.55</w:t>
      </w:r>
      <w:r>
        <w:rPr>
          <w:rFonts w:hint="eastAsia" w:ascii="仿宋_GB2312" w:eastAsia="仿宋_GB2312"/>
          <w:sz w:val="28"/>
          <w:szCs w:val="28"/>
          <w:highlight w:val="none"/>
        </w:rPr>
        <w:t>元。</w:t>
      </w:r>
    </w:p>
    <w:p>
      <w:pPr>
        <w:spacing w:line="520" w:lineRule="exact"/>
        <w:ind w:firstLine="640"/>
        <w:rPr>
          <w:rFonts w:hint="eastAsia" w:ascii="仿宋_GB2312" w:eastAsia="仿宋_GB2312"/>
          <w:sz w:val="28"/>
          <w:szCs w:val="28"/>
          <w:highlight w:val="none"/>
        </w:rPr>
      </w:pPr>
      <w:r>
        <w:rPr>
          <w:rFonts w:hint="eastAsia" w:ascii="仿宋_GB2312" w:eastAsia="仿宋_GB2312"/>
          <w:sz w:val="28"/>
          <w:szCs w:val="28"/>
          <w:highlight w:val="none"/>
        </w:rPr>
        <w:t>4.绩效自评情况</w:t>
      </w:r>
    </w:p>
    <w:p>
      <w:pPr>
        <w:spacing w:line="520" w:lineRule="exact"/>
        <w:ind w:firstLine="640"/>
        <w:rPr>
          <w:rFonts w:hint="eastAsia" w:ascii="仿宋_GB2312" w:eastAsia="仿宋_GB2312"/>
          <w:sz w:val="28"/>
          <w:szCs w:val="28"/>
          <w:highlight w:val="none"/>
        </w:rPr>
      </w:pPr>
      <w:r>
        <w:rPr>
          <w:rFonts w:hint="eastAsia" w:ascii="仿宋_GB2312" w:eastAsia="仿宋_GB2312"/>
          <w:sz w:val="28"/>
          <w:szCs w:val="28"/>
          <w:highlight w:val="none"/>
        </w:rPr>
        <w:t>2025年对本单位202</w:t>
      </w:r>
      <w:r>
        <w:rPr>
          <w:rFonts w:hint="eastAsia" w:ascii="仿宋_GB2312" w:eastAsia="仿宋_GB2312"/>
          <w:sz w:val="28"/>
          <w:szCs w:val="28"/>
          <w:highlight w:val="none"/>
          <w:lang w:val="en-US" w:eastAsia="zh-CN"/>
        </w:rPr>
        <w:t>5</w:t>
      </w:r>
      <w:r>
        <w:rPr>
          <w:rFonts w:hint="eastAsia" w:ascii="仿宋_GB2312" w:eastAsia="仿宋_GB2312"/>
          <w:sz w:val="28"/>
          <w:szCs w:val="28"/>
          <w:highlight w:val="none"/>
        </w:rPr>
        <w:t>年项目支出实施了绩效自评，评价项目</w:t>
      </w:r>
      <w:r>
        <w:rPr>
          <w:rFonts w:hint="eastAsia" w:ascii="仿宋_GB2312" w:eastAsia="仿宋_GB2312"/>
          <w:sz w:val="28"/>
          <w:szCs w:val="28"/>
          <w:highlight w:val="none"/>
          <w:lang w:val="en-US" w:eastAsia="zh-CN"/>
        </w:rPr>
        <w:t>33</w:t>
      </w:r>
      <w:r>
        <w:rPr>
          <w:rFonts w:hint="eastAsia" w:ascii="仿宋_GB2312" w:eastAsia="仿宋_GB2312"/>
          <w:sz w:val="28"/>
          <w:szCs w:val="28"/>
          <w:highlight w:val="none"/>
        </w:rPr>
        <w:t>个，涉及</w:t>
      </w:r>
      <w:r>
        <w:rPr>
          <w:rFonts w:hint="eastAsia" w:ascii="仿宋_GB2312" w:eastAsia="仿宋_GB2312"/>
          <w:sz w:val="28"/>
          <w:szCs w:val="28"/>
          <w:highlight w:val="none"/>
          <w:lang w:val="en-US" w:eastAsia="zh-CN"/>
        </w:rPr>
        <w:t>金额104,954,236.55</w:t>
      </w:r>
      <w:r>
        <w:rPr>
          <w:rFonts w:hint="eastAsia" w:ascii="仿宋_GB2312" w:eastAsia="仿宋_GB2312"/>
          <w:sz w:val="28"/>
          <w:szCs w:val="28"/>
          <w:highlight w:val="none"/>
        </w:rPr>
        <w:t>元。</w:t>
      </w:r>
    </w:p>
    <w:p>
      <w:pPr>
        <w:spacing w:line="580" w:lineRule="exact"/>
        <w:ind w:firstLine="640"/>
        <w:rPr>
          <w:rFonts w:hint="eastAsia" w:ascii="楷体_GB2312" w:eastAsia="楷体_GB2312"/>
          <w:b/>
          <w:sz w:val="32"/>
          <w:szCs w:val="32"/>
        </w:rPr>
      </w:pPr>
      <w:r>
        <w:rPr>
          <w:rFonts w:hint="eastAsia" w:ascii="楷体_GB2312" w:eastAsia="楷体_GB2312"/>
          <w:b/>
          <w:sz w:val="32"/>
          <w:szCs w:val="32"/>
        </w:rPr>
        <w:t>（五）总体评价结论</w:t>
      </w:r>
    </w:p>
    <w:p>
      <w:pPr>
        <w:spacing w:line="520" w:lineRule="exact"/>
        <w:ind w:firstLine="640"/>
        <w:rPr>
          <w:rFonts w:hint="eastAsia" w:ascii="仿宋_GB2312" w:eastAsia="仿宋_GB2312"/>
          <w:sz w:val="28"/>
          <w:szCs w:val="28"/>
          <w:lang w:val="en-US" w:eastAsia="zh-CN"/>
        </w:rPr>
      </w:pPr>
      <w:r>
        <w:rPr>
          <w:rFonts w:hint="eastAsia" w:ascii="仿宋_GB2312" w:eastAsia="仿宋_GB2312"/>
          <w:sz w:val="28"/>
          <w:szCs w:val="28"/>
          <w:lang w:val="en-US" w:eastAsia="zh-CN"/>
        </w:rPr>
        <w:t>1.评价得分情况</w:t>
      </w:r>
    </w:p>
    <w:p>
      <w:pPr>
        <w:spacing w:line="520" w:lineRule="exact"/>
        <w:ind w:firstLine="640"/>
        <w:rPr>
          <w:rFonts w:hint="eastAsia" w:ascii="仿宋_GB2312" w:eastAsia="仿宋_GB2312"/>
          <w:sz w:val="28"/>
          <w:szCs w:val="28"/>
          <w:lang w:val="en-US" w:eastAsia="zh-CN"/>
        </w:rPr>
      </w:pPr>
      <w:r>
        <w:rPr>
          <w:rFonts w:hint="eastAsia" w:ascii="仿宋_GB2312" w:eastAsia="仿宋_GB2312"/>
          <w:sz w:val="28"/>
          <w:szCs w:val="28"/>
          <w:lang w:val="en-US" w:eastAsia="zh-CN"/>
        </w:rPr>
        <w:t>绩效自评总分：99分</w:t>
      </w:r>
    </w:p>
    <w:p>
      <w:pPr>
        <w:spacing w:line="520" w:lineRule="exact"/>
        <w:ind w:firstLine="640"/>
        <w:rPr>
          <w:rFonts w:hint="eastAsia" w:ascii="仿宋_GB2312" w:eastAsia="仿宋_GB2312"/>
          <w:sz w:val="28"/>
          <w:szCs w:val="28"/>
          <w:lang w:val="en-US" w:eastAsia="zh-CN"/>
        </w:rPr>
      </w:pPr>
      <w:r>
        <w:rPr>
          <w:rFonts w:hint="eastAsia" w:ascii="仿宋_GB2312" w:eastAsia="仿宋_GB2312"/>
          <w:sz w:val="28"/>
          <w:szCs w:val="28"/>
          <w:lang w:val="en-US" w:eastAsia="zh-CN"/>
        </w:rPr>
        <w:t>绩效自评等级：优秀</w:t>
      </w:r>
    </w:p>
    <w:p>
      <w:pPr>
        <w:spacing w:line="520" w:lineRule="exact"/>
        <w:ind w:firstLine="640"/>
        <w:rPr>
          <w:rFonts w:hint="eastAsia" w:ascii="仿宋_GB2312" w:eastAsia="仿宋_GB2312"/>
          <w:sz w:val="28"/>
          <w:szCs w:val="28"/>
          <w:lang w:val="en-US" w:eastAsia="zh-CN"/>
        </w:rPr>
      </w:pPr>
      <w:r>
        <w:rPr>
          <w:rFonts w:hint="eastAsia" w:ascii="仿宋_GB2312" w:eastAsia="仿宋_GB2312"/>
          <w:sz w:val="28"/>
          <w:szCs w:val="28"/>
          <w:lang w:val="en-US" w:eastAsia="zh-CN"/>
        </w:rPr>
        <w:t>2.存在的问题及原因分析</w:t>
      </w:r>
    </w:p>
    <w:p>
      <w:pPr>
        <w:spacing w:line="520" w:lineRule="exact"/>
        <w:ind w:firstLine="640"/>
        <w:rPr>
          <w:rFonts w:hint="eastAsia" w:ascii="仿宋_GB2312" w:eastAsia="仿宋_GB2312"/>
          <w:sz w:val="28"/>
          <w:szCs w:val="28"/>
          <w:lang w:val="en-US" w:eastAsia="zh-CN"/>
        </w:rPr>
      </w:pPr>
      <w:r>
        <w:rPr>
          <w:rFonts w:hint="eastAsia" w:ascii="仿宋_GB2312" w:eastAsia="仿宋_GB2312"/>
          <w:sz w:val="28"/>
          <w:szCs w:val="28"/>
          <w:lang w:val="en-US" w:eastAsia="zh-CN"/>
        </w:rPr>
        <w:t>我单位存在主要问题为整体预算支出进度较慢，部分项目为需要安装施工，导致整体支出进度较慢。</w:t>
      </w:r>
    </w:p>
    <w:p>
      <w:pPr>
        <w:spacing w:line="520" w:lineRule="exact"/>
        <w:ind w:firstLine="640"/>
        <w:rPr>
          <w:rFonts w:hint="eastAsia" w:ascii="仿宋_GB2312" w:eastAsia="仿宋_GB2312"/>
          <w:sz w:val="28"/>
          <w:szCs w:val="28"/>
          <w:lang w:val="en-US" w:eastAsia="zh-CN"/>
        </w:rPr>
      </w:pPr>
      <w:r>
        <w:rPr>
          <w:rFonts w:hint="eastAsia" w:ascii="仿宋_GB2312" w:eastAsia="仿宋_GB2312"/>
          <w:sz w:val="28"/>
          <w:szCs w:val="28"/>
          <w:lang w:val="en-US" w:eastAsia="zh-CN"/>
        </w:rPr>
        <w:t>3.改进措施</w:t>
      </w:r>
    </w:p>
    <w:bookmarkEnd w:id="1"/>
    <w:p>
      <w:pPr>
        <w:spacing w:line="520" w:lineRule="exact"/>
        <w:ind w:firstLine="640"/>
        <w:rPr>
          <w:rFonts w:hint="eastAsia" w:ascii="仿宋_GB2312" w:eastAsia="仿宋_GB2312"/>
          <w:sz w:val="28"/>
          <w:szCs w:val="28"/>
          <w:lang w:val="en-US" w:eastAsia="zh-CN"/>
        </w:rPr>
      </w:pPr>
      <w:r>
        <w:rPr>
          <w:rFonts w:hint="eastAsia" w:ascii="仿宋_GB2312" w:eastAsia="仿宋_GB2312"/>
          <w:sz w:val="28"/>
          <w:szCs w:val="28"/>
          <w:lang w:val="en-US" w:eastAsia="zh-CN"/>
        </w:rPr>
        <w:t>强化项目绩效管理加快支出进度。</w:t>
      </w:r>
    </w:p>
    <w:p>
      <w:pPr>
        <w:spacing w:line="580" w:lineRule="exact"/>
        <w:ind w:firstLine="640"/>
        <w:rPr>
          <w:rFonts w:hint="eastAsia" w:ascii="黑体" w:hAnsi="黑体" w:eastAsia="黑体"/>
          <w:sz w:val="32"/>
          <w:szCs w:val="32"/>
        </w:rPr>
      </w:pPr>
      <w:r>
        <w:rPr>
          <w:rFonts w:hint="eastAsia" w:ascii="黑体" w:hAnsi="黑体" w:eastAsia="黑体"/>
          <w:sz w:val="32"/>
          <w:szCs w:val="32"/>
        </w:rPr>
        <w:t>二、项目支出绩效自评情况</w:t>
      </w:r>
    </w:p>
    <w:p>
      <w:pPr>
        <w:spacing w:line="580" w:lineRule="exact"/>
        <w:ind w:firstLine="809" w:firstLineChars="253"/>
        <w:rPr>
          <w:rFonts w:hint="eastAsia" w:ascii="楷体_GB2312" w:hAnsi="仿宋" w:eastAsia="楷体_GB2312"/>
          <w:b/>
          <w:sz w:val="32"/>
          <w:szCs w:val="32"/>
        </w:rPr>
      </w:pPr>
      <w:r>
        <w:rPr>
          <w:rFonts w:hint="eastAsia" w:ascii="楷体_GB2312" w:hAnsi="仿宋" w:eastAsia="楷体_GB2312"/>
          <w:b/>
          <w:sz w:val="32"/>
          <w:szCs w:val="32"/>
        </w:rPr>
        <w:t>（一）绩效自评开展总体情况</w:t>
      </w:r>
    </w:p>
    <w:p>
      <w:pPr>
        <w:spacing w:line="580" w:lineRule="exact"/>
        <w:ind w:firstLine="708" w:firstLineChars="253"/>
        <w:rPr>
          <w:rFonts w:hint="eastAsia" w:ascii="仿宋_GB2312" w:hAnsi="Calibri" w:eastAsia="仿宋_GB2312"/>
          <w:sz w:val="32"/>
          <w:szCs w:val="32"/>
        </w:rPr>
      </w:pPr>
      <w:r>
        <w:rPr>
          <w:rFonts w:hint="eastAsia" w:ascii="仿宋_GB2312" w:eastAsia="仿宋_GB2312"/>
          <w:sz w:val="28"/>
          <w:szCs w:val="28"/>
        </w:rPr>
        <w:t>2025年度区财政批复项目支出预算项目</w:t>
      </w:r>
      <w:r>
        <w:rPr>
          <w:rFonts w:hint="eastAsia" w:ascii="仿宋_GB2312" w:eastAsia="仿宋_GB2312"/>
          <w:sz w:val="28"/>
          <w:szCs w:val="28"/>
          <w:lang w:val="en-US" w:eastAsia="zh-CN"/>
        </w:rPr>
        <w:t>33</w:t>
      </w:r>
      <w:r>
        <w:rPr>
          <w:rFonts w:hint="eastAsia" w:ascii="仿宋_GB2312" w:eastAsia="仿宋_GB2312"/>
          <w:sz w:val="28"/>
          <w:szCs w:val="28"/>
        </w:rPr>
        <w:t>个，涉及金额</w:t>
      </w:r>
      <w:r>
        <w:rPr>
          <w:rFonts w:hint="eastAsia" w:ascii="仿宋_GB2312" w:eastAsia="仿宋_GB2312"/>
          <w:sz w:val="28"/>
          <w:szCs w:val="28"/>
          <w:lang w:val="en-US" w:eastAsia="zh-CN"/>
        </w:rPr>
        <w:t>104,954,236.55</w:t>
      </w:r>
      <w:r>
        <w:rPr>
          <w:rFonts w:hint="eastAsia" w:ascii="仿宋_GB2312" w:eastAsia="仿宋_GB2312"/>
          <w:sz w:val="28"/>
          <w:szCs w:val="28"/>
        </w:rPr>
        <w:t>元。本次实施</w:t>
      </w:r>
      <w:r>
        <w:rPr>
          <w:rFonts w:hint="eastAsia" w:ascii="仿宋_GB2312" w:eastAsia="仿宋_GB2312"/>
          <w:sz w:val="28"/>
          <w:szCs w:val="28"/>
        </w:rPr>
        <w:t>绩效自评项目</w:t>
      </w:r>
      <w:r>
        <w:rPr>
          <w:rFonts w:hint="eastAsia" w:ascii="仿宋_GB2312" w:eastAsia="仿宋_GB2312"/>
          <w:sz w:val="28"/>
          <w:szCs w:val="28"/>
          <w:lang w:val="en-US" w:eastAsia="zh-CN"/>
        </w:rPr>
        <w:t>33</w:t>
      </w:r>
      <w:r>
        <w:rPr>
          <w:rFonts w:hint="eastAsia" w:ascii="仿宋_GB2312" w:eastAsia="仿宋_GB2312"/>
          <w:sz w:val="28"/>
          <w:szCs w:val="28"/>
        </w:rPr>
        <w:t>个，涉及金额</w:t>
      </w:r>
      <w:r>
        <w:rPr>
          <w:rFonts w:hint="eastAsia" w:ascii="仿宋_GB2312" w:eastAsia="仿宋_GB2312"/>
          <w:sz w:val="28"/>
          <w:szCs w:val="28"/>
          <w:lang w:val="en-US" w:eastAsia="zh-CN"/>
        </w:rPr>
        <w:t>104,954,236.55</w:t>
      </w:r>
      <w:r>
        <w:rPr>
          <w:rFonts w:hint="eastAsia" w:ascii="仿宋_GB2312" w:eastAsia="仿宋_GB2312"/>
          <w:sz w:val="28"/>
          <w:szCs w:val="28"/>
        </w:rPr>
        <w:t>元。评价得分在90分（含90分）以上的</w:t>
      </w:r>
      <w:r>
        <w:rPr>
          <w:rFonts w:hint="eastAsia" w:ascii="仿宋_GB2312" w:eastAsia="仿宋_GB2312"/>
          <w:sz w:val="28"/>
          <w:szCs w:val="28"/>
          <w:lang w:val="en-US" w:eastAsia="zh-CN"/>
        </w:rPr>
        <w:t>33</w:t>
      </w:r>
      <w:r>
        <w:rPr>
          <w:rFonts w:hint="eastAsia" w:ascii="仿宋_GB2312" w:eastAsia="仿宋_GB2312"/>
          <w:sz w:val="28"/>
          <w:szCs w:val="28"/>
        </w:rPr>
        <w:t>个，评价得分在80-90分（含80分）的</w:t>
      </w:r>
      <w:r>
        <w:rPr>
          <w:rFonts w:hint="eastAsia" w:ascii="仿宋_GB2312" w:eastAsia="仿宋_GB2312"/>
          <w:sz w:val="28"/>
          <w:szCs w:val="28"/>
          <w:lang w:val="en-US" w:eastAsia="zh-CN"/>
        </w:rPr>
        <w:t>0</w:t>
      </w:r>
      <w:r>
        <w:rPr>
          <w:rFonts w:hint="eastAsia" w:ascii="仿宋_GB2312" w:eastAsia="仿宋_GB2312"/>
          <w:sz w:val="28"/>
          <w:szCs w:val="28"/>
        </w:rPr>
        <w:t>个，评价得分在60-80分（含60分）的</w:t>
      </w:r>
      <w:r>
        <w:rPr>
          <w:rFonts w:hint="eastAsia" w:ascii="仿宋_GB2312" w:eastAsia="仿宋_GB2312"/>
          <w:sz w:val="28"/>
          <w:szCs w:val="28"/>
          <w:lang w:val="en-US" w:eastAsia="zh-CN"/>
        </w:rPr>
        <w:t>0</w:t>
      </w:r>
      <w:r>
        <w:rPr>
          <w:rFonts w:hint="eastAsia" w:ascii="仿宋_GB2312" w:eastAsia="仿宋_GB2312"/>
          <w:sz w:val="28"/>
          <w:szCs w:val="28"/>
        </w:rPr>
        <w:t>个，评价得分在60分以下的</w:t>
      </w:r>
      <w:r>
        <w:rPr>
          <w:rFonts w:hint="eastAsia" w:ascii="仿宋_GB2312" w:eastAsia="仿宋_GB2312"/>
          <w:sz w:val="28"/>
          <w:szCs w:val="28"/>
          <w:lang w:val="en-US" w:eastAsia="zh-CN"/>
        </w:rPr>
        <w:t>0</w:t>
      </w:r>
      <w:r>
        <w:rPr>
          <w:rFonts w:hint="eastAsia" w:ascii="仿宋_GB2312" w:eastAsia="仿宋_GB2312"/>
          <w:sz w:val="28"/>
          <w:szCs w:val="28"/>
        </w:rPr>
        <w:t>个。</w:t>
      </w:r>
    </w:p>
    <w:p>
      <w:pPr>
        <w:spacing w:line="580" w:lineRule="exact"/>
        <w:ind w:firstLine="809" w:firstLineChars="253"/>
        <w:rPr>
          <w:rFonts w:hint="eastAsia" w:ascii="楷体_GB2312" w:hAnsi="仿宋" w:eastAsia="楷体_GB2312"/>
          <w:b/>
          <w:sz w:val="32"/>
          <w:szCs w:val="32"/>
        </w:rPr>
      </w:pPr>
      <w:r>
        <w:rPr>
          <w:rFonts w:hint="eastAsia" w:ascii="楷体_GB2312" w:hAnsi="仿宋" w:eastAsia="楷体_GB2312"/>
          <w:b/>
          <w:sz w:val="32"/>
          <w:szCs w:val="32"/>
        </w:rPr>
        <w:t>（二）重点支出项目绩效自评报告</w:t>
      </w:r>
    </w:p>
    <w:p>
      <w:pPr>
        <w:spacing w:line="580" w:lineRule="exact"/>
        <w:ind w:firstLine="560" w:firstLineChars="200"/>
        <w:outlineLvl w:val="0"/>
        <w:rPr>
          <w:rFonts w:hint="eastAsia" w:ascii="仿宋_GB2312" w:hAnsi="Calibri" w:eastAsia="仿宋_GB2312"/>
          <w:sz w:val="32"/>
          <w:szCs w:val="32"/>
        </w:rPr>
      </w:pPr>
      <w:r>
        <w:rPr>
          <w:rFonts w:hint="eastAsia" w:ascii="仿宋_GB2312" w:eastAsia="仿宋_GB2312"/>
          <w:sz w:val="28"/>
          <w:szCs w:val="28"/>
        </w:rPr>
        <w:t>请参考《关于开展2025年度项目支出绩效自评工作的通知》（门财绩效[2026]72号）要求，将本部门撰写的《重点支出项目绩效自评报告》电子版汇总到1个文件夹中，作为部门决算草案的附件1，并随决算全部公开。</w:t>
      </w:r>
    </w:p>
    <w:p>
      <w:pPr>
        <w:spacing w:line="580" w:lineRule="exact"/>
        <w:ind w:firstLine="640"/>
        <w:rPr>
          <w:rFonts w:hint="eastAsia" w:ascii="楷体_GB2312" w:hAnsi="仿宋" w:eastAsia="楷体_GB2312"/>
          <w:b/>
          <w:sz w:val="32"/>
          <w:szCs w:val="32"/>
        </w:rPr>
      </w:pPr>
      <w:r>
        <w:rPr>
          <w:rFonts w:hint="eastAsia" w:ascii="楷体_GB2312" w:hAnsi="仿宋" w:eastAsia="楷体_GB2312"/>
          <w:b/>
          <w:sz w:val="32"/>
          <w:szCs w:val="32"/>
        </w:rPr>
        <w:t>（三）项目支出绩效自评表</w:t>
      </w:r>
    </w:p>
    <w:p>
      <w:pPr>
        <w:spacing w:line="580" w:lineRule="exact"/>
        <w:ind w:firstLine="560" w:firstLineChars="200"/>
        <w:outlineLvl w:val="0"/>
        <w:rPr>
          <w:rFonts w:hint="eastAsia" w:ascii="仿宋_GB2312" w:hAnsi="Calibri" w:eastAsia="仿宋_GB2312"/>
          <w:sz w:val="28"/>
          <w:szCs w:val="28"/>
        </w:rPr>
      </w:pPr>
      <w:r>
        <w:rPr>
          <w:rFonts w:hint="eastAsia" w:ascii="仿宋_GB2312" w:eastAsia="仿宋_GB2312"/>
          <w:sz w:val="28"/>
          <w:szCs w:val="28"/>
        </w:rPr>
        <w:t>请参考《关于开展2025年度项目支出绩效自评工作的通知》（门财绩效[2026]72号）</w:t>
      </w:r>
      <w:r>
        <w:rPr>
          <w:rFonts w:hint="eastAsia" w:ascii="仿宋_GB2312" w:eastAsia="仿宋_GB2312"/>
          <w:b/>
          <w:sz w:val="28"/>
          <w:szCs w:val="28"/>
        </w:rPr>
        <w:t>及决算公开培训要求</w:t>
      </w:r>
      <w:r>
        <w:rPr>
          <w:rFonts w:hint="eastAsia" w:ascii="仿宋_GB2312" w:eastAsia="仿宋_GB2312"/>
          <w:sz w:val="28"/>
          <w:szCs w:val="28"/>
        </w:rPr>
        <w:t>，将本部门本单位拟公开的《项目支出绩效自评表》电子版汇总到1个文件夹中，作为部门决算草案的附件2，并随决算全部公开。</w:t>
      </w:r>
    </w:p>
    <w:p>
      <w:pPr>
        <w:spacing w:line="580" w:lineRule="exact"/>
        <w:ind w:firstLine="640" w:firstLineChars="200"/>
        <w:outlineLvl w:val="0"/>
        <w:rPr>
          <w:rFonts w:hint="eastAsia" w:ascii="仿宋_GB2312" w:eastAsia="仿宋_GB2312"/>
          <w:b/>
          <w:sz w:val="32"/>
          <w:szCs w:val="32"/>
        </w:rPr>
      </w:pPr>
      <w:r>
        <w:rPr>
          <w:rFonts w:hint="eastAsia" w:ascii="仿宋_GB2312" w:eastAsia="仿宋_GB2312"/>
          <w:b/>
          <w:sz w:val="32"/>
          <w:szCs w:val="32"/>
        </w:rPr>
        <w:t>（注：一级预算部门“一、二”均公开；二级预算单位仅公开“二（三）”。）</w:t>
      </w:r>
    </w:p>
    <w:p>
      <w:pPr>
        <w:spacing w:line="580" w:lineRule="exact"/>
        <w:ind w:firstLine="700" w:firstLineChars="250"/>
        <w:rPr>
          <w:rFonts w:hint="eastAsia" w:ascii="仿宋_GB2312" w:eastAsia="仿宋_GB2312"/>
          <w:sz w:val="28"/>
          <w:szCs w:val="28"/>
        </w:rPr>
      </w:pPr>
      <w:r>
        <w:rPr>
          <w:rFonts w:hint="eastAsia" w:ascii="仿宋_GB2312" w:eastAsia="仿宋_GB2312"/>
          <w:sz w:val="28"/>
          <w:szCs w:val="28"/>
        </w:rPr>
        <w:t>附件：1.重点支出项目绩效自评报告</w:t>
      </w:r>
    </w:p>
    <w:p>
      <w:pPr>
        <w:spacing w:line="580" w:lineRule="exact"/>
        <w:ind w:firstLine="1540" w:firstLineChars="550"/>
        <w:rPr>
          <w:rFonts w:hint="eastAsia" w:ascii="仿宋_GB2312" w:eastAsia="仿宋_GB2312"/>
          <w:sz w:val="28"/>
          <w:szCs w:val="28"/>
        </w:rPr>
      </w:pPr>
      <w:r>
        <w:rPr>
          <w:rFonts w:hint="eastAsia" w:ascii="仿宋_GB2312" w:eastAsia="仿宋_GB2312"/>
          <w:sz w:val="28"/>
          <w:szCs w:val="28"/>
        </w:rPr>
        <w:t>2.项目支出绩效自评表</w:t>
      </w:r>
    </w:p>
    <w:sectPr>
      <w:footerReference r:id="rId4" w:type="default"/>
      <w:footerReference r:id="rId5" w:type="even"/>
      <w:pgSz w:w="16838" w:h="11906" w:orient="landscape"/>
      <w:pgMar w:top="1134" w:right="1134" w:bottom="1134" w:left="1134"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Droid Sans">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rPr>
        <w:rStyle w:val="13"/>
      </w:rPr>
      <w:t>3</w:t>
    </w:r>
    <w:r>
      <w:fldChar w:fldCharType="end"/>
    </w:r>
  </w:p>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rPr>
        <w:rStyle w:val="13"/>
      </w:rPr>
      <w:t>16</w:t>
    </w:r>
    <w: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rPr>
        <w:rStyle w:val="13"/>
      </w:rPr>
      <w:t>15</w:t>
    </w:r>
    <w:r>
      <w:fldChar w:fldCharType="end"/>
    </w:r>
  </w:p>
  <w:p>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ZmNWE4NzRhMTczNjJlZDE5ZTE5YTczN2QxMzcyMjAifQ=="/>
  </w:docVars>
  <w:rsids>
    <w:rsidRoot w:val="00100246"/>
    <w:rsid w:val="00003B03"/>
    <w:rsid w:val="000040E6"/>
    <w:rsid w:val="00011D72"/>
    <w:rsid w:val="0002352D"/>
    <w:rsid w:val="00027CD5"/>
    <w:rsid w:val="00031B8E"/>
    <w:rsid w:val="00033EC1"/>
    <w:rsid w:val="00034224"/>
    <w:rsid w:val="00040275"/>
    <w:rsid w:val="0004719C"/>
    <w:rsid w:val="00047F6E"/>
    <w:rsid w:val="00051B00"/>
    <w:rsid w:val="000601B1"/>
    <w:rsid w:val="00063034"/>
    <w:rsid w:val="00066E19"/>
    <w:rsid w:val="0006752F"/>
    <w:rsid w:val="00071797"/>
    <w:rsid w:val="00071860"/>
    <w:rsid w:val="0007258E"/>
    <w:rsid w:val="00077A9E"/>
    <w:rsid w:val="00077F4A"/>
    <w:rsid w:val="00077FE5"/>
    <w:rsid w:val="00080447"/>
    <w:rsid w:val="00085663"/>
    <w:rsid w:val="00095948"/>
    <w:rsid w:val="00095C26"/>
    <w:rsid w:val="00096504"/>
    <w:rsid w:val="00096B86"/>
    <w:rsid w:val="000A1770"/>
    <w:rsid w:val="000A283C"/>
    <w:rsid w:val="000B15B7"/>
    <w:rsid w:val="000B70F1"/>
    <w:rsid w:val="000C4611"/>
    <w:rsid w:val="000D1B61"/>
    <w:rsid w:val="000D6854"/>
    <w:rsid w:val="000E0B26"/>
    <w:rsid w:val="000E3291"/>
    <w:rsid w:val="000F08FE"/>
    <w:rsid w:val="000F208B"/>
    <w:rsid w:val="000F2A48"/>
    <w:rsid w:val="000F49BE"/>
    <w:rsid w:val="00100246"/>
    <w:rsid w:val="0010682D"/>
    <w:rsid w:val="001073C6"/>
    <w:rsid w:val="00107DB5"/>
    <w:rsid w:val="00113613"/>
    <w:rsid w:val="0011483D"/>
    <w:rsid w:val="00115724"/>
    <w:rsid w:val="00130995"/>
    <w:rsid w:val="00131FF9"/>
    <w:rsid w:val="00132320"/>
    <w:rsid w:val="00135B6A"/>
    <w:rsid w:val="001369A7"/>
    <w:rsid w:val="001428C5"/>
    <w:rsid w:val="001503D8"/>
    <w:rsid w:val="00157540"/>
    <w:rsid w:val="0017111F"/>
    <w:rsid w:val="00173CF6"/>
    <w:rsid w:val="00180DAD"/>
    <w:rsid w:val="0018370E"/>
    <w:rsid w:val="001852E1"/>
    <w:rsid w:val="00191568"/>
    <w:rsid w:val="001A4277"/>
    <w:rsid w:val="001A7D2E"/>
    <w:rsid w:val="001B1DF9"/>
    <w:rsid w:val="001B1E93"/>
    <w:rsid w:val="001B375E"/>
    <w:rsid w:val="001B4A46"/>
    <w:rsid w:val="001B5E87"/>
    <w:rsid w:val="001B5E91"/>
    <w:rsid w:val="001B69BF"/>
    <w:rsid w:val="001B7988"/>
    <w:rsid w:val="001D78D9"/>
    <w:rsid w:val="001E0556"/>
    <w:rsid w:val="001E2355"/>
    <w:rsid w:val="001E2379"/>
    <w:rsid w:val="001E29A9"/>
    <w:rsid w:val="001F5857"/>
    <w:rsid w:val="00206EC3"/>
    <w:rsid w:val="0021047C"/>
    <w:rsid w:val="00211E4E"/>
    <w:rsid w:val="00213D1C"/>
    <w:rsid w:val="00214C3A"/>
    <w:rsid w:val="00217517"/>
    <w:rsid w:val="00222628"/>
    <w:rsid w:val="002253CB"/>
    <w:rsid w:val="002267A6"/>
    <w:rsid w:val="002326DE"/>
    <w:rsid w:val="00234314"/>
    <w:rsid w:val="00241724"/>
    <w:rsid w:val="0024390C"/>
    <w:rsid w:val="002441F4"/>
    <w:rsid w:val="00244204"/>
    <w:rsid w:val="002448A4"/>
    <w:rsid w:val="00245A0A"/>
    <w:rsid w:val="00246C42"/>
    <w:rsid w:val="002515CC"/>
    <w:rsid w:val="00253EC4"/>
    <w:rsid w:val="00254515"/>
    <w:rsid w:val="0026479D"/>
    <w:rsid w:val="002673C4"/>
    <w:rsid w:val="0027112B"/>
    <w:rsid w:val="00271C3F"/>
    <w:rsid w:val="00272460"/>
    <w:rsid w:val="00273070"/>
    <w:rsid w:val="0027394A"/>
    <w:rsid w:val="00274D50"/>
    <w:rsid w:val="002760D5"/>
    <w:rsid w:val="00276289"/>
    <w:rsid w:val="0028081D"/>
    <w:rsid w:val="0028458C"/>
    <w:rsid w:val="002911BD"/>
    <w:rsid w:val="00291C98"/>
    <w:rsid w:val="00294DE9"/>
    <w:rsid w:val="002A1488"/>
    <w:rsid w:val="002A4C2B"/>
    <w:rsid w:val="002B19D0"/>
    <w:rsid w:val="002B3682"/>
    <w:rsid w:val="002B5464"/>
    <w:rsid w:val="002C0443"/>
    <w:rsid w:val="002C12FB"/>
    <w:rsid w:val="002C24BC"/>
    <w:rsid w:val="002D03C6"/>
    <w:rsid w:val="002D0FDF"/>
    <w:rsid w:val="002D3955"/>
    <w:rsid w:val="002D68A9"/>
    <w:rsid w:val="002E06AE"/>
    <w:rsid w:val="002E4B75"/>
    <w:rsid w:val="002E68DD"/>
    <w:rsid w:val="002F17C2"/>
    <w:rsid w:val="002F32EE"/>
    <w:rsid w:val="002F4054"/>
    <w:rsid w:val="002F5574"/>
    <w:rsid w:val="00301D20"/>
    <w:rsid w:val="00302B19"/>
    <w:rsid w:val="00303428"/>
    <w:rsid w:val="003053C4"/>
    <w:rsid w:val="003058A3"/>
    <w:rsid w:val="00307204"/>
    <w:rsid w:val="00307DA5"/>
    <w:rsid w:val="0031169D"/>
    <w:rsid w:val="0031170D"/>
    <w:rsid w:val="00313E14"/>
    <w:rsid w:val="003167DD"/>
    <w:rsid w:val="00320C8B"/>
    <w:rsid w:val="00321BD8"/>
    <w:rsid w:val="00325687"/>
    <w:rsid w:val="00332C14"/>
    <w:rsid w:val="00335079"/>
    <w:rsid w:val="003352CE"/>
    <w:rsid w:val="00341D8E"/>
    <w:rsid w:val="003502B9"/>
    <w:rsid w:val="00351B8F"/>
    <w:rsid w:val="00353226"/>
    <w:rsid w:val="00353717"/>
    <w:rsid w:val="00354630"/>
    <w:rsid w:val="00365A24"/>
    <w:rsid w:val="003712DB"/>
    <w:rsid w:val="00373DDC"/>
    <w:rsid w:val="00382A86"/>
    <w:rsid w:val="00383BCC"/>
    <w:rsid w:val="00385243"/>
    <w:rsid w:val="003925D4"/>
    <w:rsid w:val="0039318C"/>
    <w:rsid w:val="00393366"/>
    <w:rsid w:val="003937DC"/>
    <w:rsid w:val="00393D75"/>
    <w:rsid w:val="003A2F2D"/>
    <w:rsid w:val="003A43AC"/>
    <w:rsid w:val="003A4EB6"/>
    <w:rsid w:val="003A7AE9"/>
    <w:rsid w:val="003A7BC5"/>
    <w:rsid w:val="003A7FF5"/>
    <w:rsid w:val="003B0352"/>
    <w:rsid w:val="003B4437"/>
    <w:rsid w:val="003B48C4"/>
    <w:rsid w:val="003B5E20"/>
    <w:rsid w:val="003B6DAD"/>
    <w:rsid w:val="003B735F"/>
    <w:rsid w:val="003C030C"/>
    <w:rsid w:val="003C55FC"/>
    <w:rsid w:val="003D0EC3"/>
    <w:rsid w:val="003D7274"/>
    <w:rsid w:val="003E4D82"/>
    <w:rsid w:val="003E5BC1"/>
    <w:rsid w:val="003F0D1B"/>
    <w:rsid w:val="003F1DD6"/>
    <w:rsid w:val="00401087"/>
    <w:rsid w:val="00402E26"/>
    <w:rsid w:val="00405701"/>
    <w:rsid w:val="004110BC"/>
    <w:rsid w:val="0041271F"/>
    <w:rsid w:val="0041688E"/>
    <w:rsid w:val="004170EF"/>
    <w:rsid w:val="0042093C"/>
    <w:rsid w:val="004233DD"/>
    <w:rsid w:val="00424405"/>
    <w:rsid w:val="00425B25"/>
    <w:rsid w:val="00425D24"/>
    <w:rsid w:val="00426A4D"/>
    <w:rsid w:val="00427687"/>
    <w:rsid w:val="00433231"/>
    <w:rsid w:val="004334CA"/>
    <w:rsid w:val="0043506A"/>
    <w:rsid w:val="00435830"/>
    <w:rsid w:val="0043619C"/>
    <w:rsid w:val="0044475D"/>
    <w:rsid w:val="00444D1E"/>
    <w:rsid w:val="0044571A"/>
    <w:rsid w:val="0044705D"/>
    <w:rsid w:val="0045090E"/>
    <w:rsid w:val="00453E36"/>
    <w:rsid w:val="00457286"/>
    <w:rsid w:val="00461FA5"/>
    <w:rsid w:val="00463566"/>
    <w:rsid w:val="00464182"/>
    <w:rsid w:val="00471C52"/>
    <w:rsid w:val="0047460C"/>
    <w:rsid w:val="00474FF2"/>
    <w:rsid w:val="00480098"/>
    <w:rsid w:val="00484A93"/>
    <w:rsid w:val="00485E12"/>
    <w:rsid w:val="004865DA"/>
    <w:rsid w:val="0048779C"/>
    <w:rsid w:val="00487AB7"/>
    <w:rsid w:val="00487ED0"/>
    <w:rsid w:val="00491D09"/>
    <w:rsid w:val="0049682C"/>
    <w:rsid w:val="004A168E"/>
    <w:rsid w:val="004A4EC7"/>
    <w:rsid w:val="004B0003"/>
    <w:rsid w:val="004C020A"/>
    <w:rsid w:val="004C03A3"/>
    <w:rsid w:val="004C44B8"/>
    <w:rsid w:val="004C7629"/>
    <w:rsid w:val="004D0D5D"/>
    <w:rsid w:val="004E27DD"/>
    <w:rsid w:val="004E3350"/>
    <w:rsid w:val="004E5292"/>
    <w:rsid w:val="004F2C5B"/>
    <w:rsid w:val="004F641B"/>
    <w:rsid w:val="004F71F3"/>
    <w:rsid w:val="005052FA"/>
    <w:rsid w:val="005069E1"/>
    <w:rsid w:val="00507E59"/>
    <w:rsid w:val="005122B5"/>
    <w:rsid w:val="0052381C"/>
    <w:rsid w:val="005346B3"/>
    <w:rsid w:val="0054051C"/>
    <w:rsid w:val="00546A84"/>
    <w:rsid w:val="00547BE2"/>
    <w:rsid w:val="0055353D"/>
    <w:rsid w:val="0056187C"/>
    <w:rsid w:val="00576B03"/>
    <w:rsid w:val="00581E1A"/>
    <w:rsid w:val="00591655"/>
    <w:rsid w:val="00591BEC"/>
    <w:rsid w:val="005940EA"/>
    <w:rsid w:val="00594448"/>
    <w:rsid w:val="005A1D6F"/>
    <w:rsid w:val="005A4D82"/>
    <w:rsid w:val="005A52A6"/>
    <w:rsid w:val="005B0DEC"/>
    <w:rsid w:val="005B368E"/>
    <w:rsid w:val="005B6E69"/>
    <w:rsid w:val="005C0015"/>
    <w:rsid w:val="005C1E82"/>
    <w:rsid w:val="005C2BCE"/>
    <w:rsid w:val="005C2CA5"/>
    <w:rsid w:val="005C7062"/>
    <w:rsid w:val="005C7788"/>
    <w:rsid w:val="005D10B9"/>
    <w:rsid w:val="005D18DA"/>
    <w:rsid w:val="005E00DC"/>
    <w:rsid w:val="005E3BBC"/>
    <w:rsid w:val="005E3EC6"/>
    <w:rsid w:val="005E4E07"/>
    <w:rsid w:val="005E4E46"/>
    <w:rsid w:val="005E5275"/>
    <w:rsid w:val="005E7DC8"/>
    <w:rsid w:val="005E7EC9"/>
    <w:rsid w:val="005F7087"/>
    <w:rsid w:val="00611BE4"/>
    <w:rsid w:val="0061219B"/>
    <w:rsid w:val="00621419"/>
    <w:rsid w:val="00626446"/>
    <w:rsid w:val="00626BE8"/>
    <w:rsid w:val="00631827"/>
    <w:rsid w:val="00632804"/>
    <w:rsid w:val="006376DA"/>
    <w:rsid w:val="006459DA"/>
    <w:rsid w:val="006502E8"/>
    <w:rsid w:val="00654A2B"/>
    <w:rsid w:val="0065675C"/>
    <w:rsid w:val="0065793F"/>
    <w:rsid w:val="0066263B"/>
    <w:rsid w:val="0066713A"/>
    <w:rsid w:val="0067195C"/>
    <w:rsid w:val="006724F7"/>
    <w:rsid w:val="0067511A"/>
    <w:rsid w:val="0067539B"/>
    <w:rsid w:val="00675543"/>
    <w:rsid w:val="00677396"/>
    <w:rsid w:val="00677AD9"/>
    <w:rsid w:val="00681970"/>
    <w:rsid w:val="00690641"/>
    <w:rsid w:val="00690D88"/>
    <w:rsid w:val="00691844"/>
    <w:rsid w:val="00693DDF"/>
    <w:rsid w:val="00696F9E"/>
    <w:rsid w:val="006A374A"/>
    <w:rsid w:val="006A505E"/>
    <w:rsid w:val="006A513E"/>
    <w:rsid w:val="006A5265"/>
    <w:rsid w:val="006B0CB9"/>
    <w:rsid w:val="006B2609"/>
    <w:rsid w:val="006B2750"/>
    <w:rsid w:val="006B3678"/>
    <w:rsid w:val="006B7390"/>
    <w:rsid w:val="006C0084"/>
    <w:rsid w:val="006C107D"/>
    <w:rsid w:val="006C3600"/>
    <w:rsid w:val="006C4534"/>
    <w:rsid w:val="006C5205"/>
    <w:rsid w:val="006C75F6"/>
    <w:rsid w:val="006D3F53"/>
    <w:rsid w:val="006D60AF"/>
    <w:rsid w:val="006E4722"/>
    <w:rsid w:val="00701651"/>
    <w:rsid w:val="007049BF"/>
    <w:rsid w:val="00704E79"/>
    <w:rsid w:val="00707A26"/>
    <w:rsid w:val="0071120F"/>
    <w:rsid w:val="00716380"/>
    <w:rsid w:val="00722165"/>
    <w:rsid w:val="00724B1C"/>
    <w:rsid w:val="007428F0"/>
    <w:rsid w:val="007512EF"/>
    <w:rsid w:val="007551AC"/>
    <w:rsid w:val="0076101C"/>
    <w:rsid w:val="00763D87"/>
    <w:rsid w:val="007670B2"/>
    <w:rsid w:val="00771795"/>
    <w:rsid w:val="00774925"/>
    <w:rsid w:val="0079279F"/>
    <w:rsid w:val="00793E69"/>
    <w:rsid w:val="007A063C"/>
    <w:rsid w:val="007A16B0"/>
    <w:rsid w:val="007A19EA"/>
    <w:rsid w:val="007A6092"/>
    <w:rsid w:val="007A60B7"/>
    <w:rsid w:val="007A64A6"/>
    <w:rsid w:val="007A6EE1"/>
    <w:rsid w:val="007A7C89"/>
    <w:rsid w:val="007B1487"/>
    <w:rsid w:val="007B2A43"/>
    <w:rsid w:val="007B326F"/>
    <w:rsid w:val="007B6A58"/>
    <w:rsid w:val="007B6C06"/>
    <w:rsid w:val="007B7B78"/>
    <w:rsid w:val="007C32B1"/>
    <w:rsid w:val="007C7A22"/>
    <w:rsid w:val="007C7C62"/>
    <w:rsid w:val="007D1076"/>
    <w:rsid w:val="007D12B7"/>
    <w:rsid w:val="007D2A49"/>
    <w:rsid w:val="007D5E38"/>
    <w:rsid w:val="007D7AC4"/>
    <w:rsid w:val="007E0340"/>
    <w:rsid w:val="007E1D4A"/>
    <w:rsid w:val="007E53C0"/>
    <w:rsid w:val="007E7703"/>
    <w:rsid w:val="007F4558"/>
    <w:rsid w:val="007F64DF"/>
    <w:rsid w:val="008050EF"/>
    <w:rsid w:val="0080652C"/>
    <w:rsid w:val="0080715F"/>
    <w:rsid w:val="008113D6"/>
    <w:rsid w:val="00812BA7"/>
    <w:rsid w:val="00813A87"/>
    <w:rsid w:val="00813F63"/>
    <w:rsid w:val="00815926"/>
    <w:rsid w:val="00815F57"/>
    <w:rsid w:val="0081760B"/>
    <w:rsid w:val="008218AC"/>
    <w:rsid w:val="00825359"/>
    <w:rsid w:val="00825E13"/>
    <w:rsid w:val="00826F07"/>
    <w:rsid w:val="008337CB"/>
    <w:rsid w:val="00834A3C"/>
    <w:rsid w:val="008360A0"/>
    <w:rsid w:val="00837658"/>
    <w:rsid w:val="00837CD4"/>
    <w:rsid w:val="00837F78"/>
    <w:rsid w:val="008400EE"/>
    <w:rsid w:val="00840791"/>
    <w:rsid w:val="00845576"/>
    <w:rsid w:val="00850708"/>
    <w:rsid w:val="00851024"/>
    <w:rsid w:val="008526D7"/>
    <w:rsid w:val="0086238C"/>
    <w:rsid w:val="008655DC"/>
    <w:rsid w:val="0086732D"/>
    <w:rsid w:val="00870183"/>
    <w:rsid w:val="00875726"/>
    <w:rsid w:val="00877F10"/>
    <w:rsid w:val="0088225D"/>
    <w:rsid w:val="00882F8D"/>
    <w:rsid w:val="00884FB0"/>
    <w:rsid w:val="008853A5"/>
    <w:rsid w:val="008944DA"/>
    <w:rsid w:val="00894D78"/>
    <w:rsid w:val="008A6A18"/>
    <w:rsid w:val="008B033F"/>
    <w:rsid w:val="008B4003"/>
    <w:rsid w:val="008B7443"/>
    <w:rsid w:val="008C179E"/>
    <w:rsid w:val="008C2379"/>
    <w:rsid w:val="008C4FF7"/>
    <w:rsid w:val="008C5C4C"/>
    <w:rsid w:val="008C7056"/>
    <w:rsid w:val="008C706D"/>
    <w:rsid w:val="008D3145"/>
    <w:rsid w:val="008E1A54"/>
    <w:rsid w:val="008E1F95"/>
    <w:rsid w:val="008E36B6"/>
    <w:rsid w:val="008E4267"/>
    <w:rsid w:val="008E4847"/>
    <w:rsid w:val="008E5FF1"/>
    <w:rsid w:val="008E63D2"/>
    <w:rsid w:val="008E6E14"/>
    <w:rsid w:val="008F1528"/>
    <w:rsid w:val="008F1AE5"/>
    <w:rsid w:val="008F55D9"/>
    <w:rsid w:val="009057DE"/>
    <w:rsid w:val="00905F97"/>
    <w:rsid w:val="00906FA3"/>
    <w:rsid w:val="0091239D"/>
    <w:rsid w:val="00912825"/>
    <w:rsid w:val="009129B8"/>
    <w:rsid w:val="00912B99"/>
    <w:rsid w:val="00912C78"/>
    <w:rsid w:val="00927892"/>
    <w:rsid w:val="009319B9"/>
    <w:rsid w:val="009351E9"/>
    <w:rsid w:val="00937862"/>
    <w:rsid w:val="00942279"/>
    <w:rsid w:val="009524EB"/>
    <w:rsid w:val="00962013"/>
    <w:rsid w:val="00963942"/>
    <w:rsid w:val="0096716C"/>
    <w:rsid w:val="009672B2"/>
    <w:rsid w:val="00971C66"/>
    <w:rsid w:val="00972363"/>
    <w:rsid w:val="0098419C"/>
    <w:rsid w:val="009843EF"/>
    <w:rsid w:val="009867F2"/>
    <w:rsid w:val="00991347"/>
    <w:rsid w:val="00996018"/>
    <w:rsid w:val="0099738E"/>
    <w:rsid w:val="009A493E"/>
    <w:rsid w:val="009A531F"/>
    <w:rsid w:val="009A6931"/>
    <w:rsid w:val="009B1F9A"/>
    <w:rsid w:val="009B1FA9"/>
    <w:rsid w:val="009B349F"/>
    <w:rsid w:val="009B4293"/>
    <w:rsid w:val="009B6715"/>
    <w:rsid w:val="009C7B74"/>
    <w:rsid w:val="009D0BE2"/>
    <w:rsid w:val="009D114E"/>
    <w:rsid w:val="009D210F"/>
    <w:rsid w:val="009D309C"/>
    <w:rsid w:val="009D37B1"/>
    <w:rsid w:val="009D4717"/>
    <w:rsid w:val="009D694D"/>
    <w:rsid w:val="009E264E"/>
    <w:rsid w:val="009F0C98"/>
    <w:rsid w:val="009F0F81"/>
    <w:rsid w:val="009F2543"/>
    <w:rsid w:val="009F256D"/>
    <w:rsid w:val="009F341E"/>
    <w:rsid w:val="009F57CE"/>
    <w:rsid w:val="00A117CA"/>
    <w:rsid w:val="00A12225"/>
    <w:rsid w:val="00A14C18"/>
    <w:rsid w:val="00A25898"/>
    <w:rsid w:val="00A3071D"/>
    <w:rsid w:val="00A3182E"/>
    <w:rsid w:val="00A31A89"/>
    <w:rsid w:val="00A32F06"/>
    <w:rsid w:val="00A34934"/>
    <w:rsid w:val="00A34EFE"/>
    <w:rsid w:val="00A36546"/>
    <w:rsid w:val="00A4069C"/>
    <w:rsid w:val="00A413B5"/>
    <w:rsid w:val="00A429CB"/>
    <w:rsid w:val="00A44E87"/>
    <w:rsid w:val="00A5063C"/>
    <w:rsid w:val="00A52749"/>
    <w:rsid w:val="00A5422E"/>
    <w:rsid w:val="00A56EC1"/>
    <w:rsid w:val="00A6350C"/>
    <w:rsid w:val="00A6370B"/>
    <w:rsid w:val="00A63A73"/>
    <w:rsid w:val="00A6655C"/>
    <w:rsid w:val="00A66CBB"/>
    <w:rsid w:val="00A6704E"/>
    <w:rsid w:val="00A67EA4"/>
    <w:rsid w:val="00A773FF"/>
    <w:rsid w:val="00A83AA1"/>
    <w:rsid w:val="00A906F4"/>
    <w:rsid w:val="00A9343A"/>
    <w:rsid w:val="00A9706C"/>
    <w:rsid w:val="00A97B34"/>
    <w:rsid w:val="00AA1B5C"/>
    <w:rsid w:val="00AA7A27"/>
    <w:rsid w:val="00AB3FB0"/>
    <w:rsid w:val="00AB465D"/>
    <w:rsid w:val="00AB713D"/>
    <w:rsid w:val="00AC114C"/>
    <w:rsid w:val="00AC1478"/>
    <w:rsid w:val="00AC6C2D"/>
    <w:rsid w:val="00AC6E17"/>
    <w:rsid w:val="00AD2FF3"/>
    <w:rsid w:val="00AD7764"/>
    <w:rsid w:val="00AD7FE2"/>
    <w:rsid w:val="00AE1284"/>
    <w:rsid w:val="00AE1B18"/>
    <w:rsid w:val="00AE7339"/>
    <w:rsid w:val="00AF1B0B"/>
    <w:rsid w:val="00AF242C"/>
    <w:rsid w:val="00AF3CC4"/>
    <w:rsid w:val="00B05903"/>
    <w:rsid w:val="00B12C7A"/>
    <w:rsid w:val="00B12E10"/>
    <w:rsid w:val="00B22BC3"/>
    <w:rsid w:val="00B25865"/>
    <w:rsid w:val="00B272B6"/>
    <w:rsid w:val="00B2771B"/>
    <w:rsid w:val="00B336E9"/>
    <w:rsid w:val="00B33AE5"/>
    <w:rsid w:val="00B35BE5"/>
    <w:rsid w:val="00B46965"/>
    <w:rsid w:val="00B54ED0"/>
    <w:rsid w:val="00B55D47"/>
    <w:rsid w:val="00B6204E"/>
    <w:rsid w:val="00B649EC"/>
    <w:rsid w:val="00B728DD"/>
    <w:rsid w:val="00B72D43"/>
    <w:rsid w:val="00B74121"/>
    <w:rsid w:val="00B80ABA"/>
    <w:rsid w:val="00B859FF"/>
    <w:rsid w:val="00B85C1B"/>
    <w:rsid w:val="00B85FF0"/>
    <w:rsid w:val="00B86150"/>
    <w:rsid w:val="00B878F9"/>
    <w:rsid w:val="00B9044A"/>
    <w:rsid w:val="00B960F3"/>
    <w:rsid w:val="00B96A31"/>
    <w:rsid w:val="00BA05E6"/>
    <w:rsid w:val="00BA51B0"/>
    <w:rsid w:val="00BA6319"/>
    <w:rsid w:val="00BC03B0"/>
    <w:rsid w:val="00BC06A3"/>
    <w:rsid w:val="00BC0CEA"/>
    <w:rsid w:val="00BC2220"/>
    <w:rsid w:val="00BC26B9"/>
    <w:rsid w:val="00BC26FA"/>
    <w:rsid w:val="00BC4E01"/>
    <w:rsid w:val="00BC73F6"/>
    <w:rsid w:val="00BD1177"/>
    <w:rsid w:val="00BD1374"/>
    <w:rsid w:val="00BD3531"/>
    <w:rsid w:val="00BD4E35"/>
    <w:rsid w:val="00BE34CA"/>
    <w:rsid w:val="00BF116A"/>
    <w:rsid w:val="00C0623C"/>
    <w:rsid w:val="00C06A07"/>
    <w:rsid w:val="00C132B6"/>
    <w:rsid w:val="00C21A6C"/>
    <w:rsid w:val="00C24A10"/>
    <w:rsid w:val="00C27003"/>
    <w:rsid w:val="00C27597"/>
    <w:rsid w:val="00C32BD4"/>
    <w:rsid w:val="00C33E48"/>
    <w:rsid w:val="00C3618B"/>
    <w:rsid w:val="00C403FB"/>
    <w:rsid w:val="00C4316E"/>
    <w:rsid w:val="00C441A2"/>
    <w:rsid w:val="00C5076B"/>
    <w:rsid w:val="00C512D4"/>
    <w:rsid w:val="00C51CF4"/>
    <w:rsid w:val="00C531E2"/>
    <w:rsid w:val="00C53204"/>
    <w:rsid w:val="00C57E34"/>
    <w:rsid w:val="00C64659"/>
    <w:rsid w:val="00C662E9"/>
    <w:rsid w:val="00C66C2D"/>
    <w:rsid w:val="00C7190B"/>
    <w:rsid w:val="00C76852"/>
    <w:rsid w:val="00C77210"/>
    <w:rsid w:val="00C777FA"/>
    <w:rsid w:val="00C77989"/>
    <w:rsid w:val="00C811F4"/>
    <w:rsid w:val="00C81E51"/>
    <w:rsid w:val="00C87B73"/>
    <w:rsid w:val="00C92444"/>
    <w:rsid w:val="00C92FBB"/>
    <w:rsid w:val="00C93327"/>
    <w:rsid w:val="00C97B4D"/>
    <w:rsid w:val="00CA5602"/>
    <w:rsid w:val="00CA5CA9"/>
    <w:rsid w:val="00CA78E2"/>
    <w:rsid w:val="00CB1BBE"/>
    <w:rsid w:val="00CB65DB"/>
    <w:rsid w:val="00CB6BD9"/>
    <w:rsid w:val="00CC293A"/>
    <w:rsid w:val="00CE19F6"/>
    <w:rsid w:val="00CE6B76"/>
    <w:rsid w:val="00CF366B"/>
    <w:rsid w:val="00CF5D9D"/>
    <w:rsid w:val="00CF606C"/>
    <w:rsid w:val="00CF7423"/>
    <w:rsid w:val="00D001F5"/>
    <w:rsid w:val="00D03E80"/>
    <w:rsid w:val="00D1505F"/>
    <w:rsid w:val="00D15B9F"/>
    <w:rsid w:val="00D15DD6"/>
    <w:rsid w:val="00D25548"/>
    <w:rsid w:val="00D2601F"/>
    <w:rsid w:val="00D27759"/>
    <w:rsid w:val="00D30028"/>
    <w:rsid w:val="00D325D3"/>
    <w:rsid w:val="00D408D6"/>
    <w:rsid w:val="00D511DD"/>
    <w:rsid w:val="00D55C2A"/>
    <w:rsid w:val="00D571C1"/>
    <w:rsid w:val="00D602F4"/>
    <w:rsid w:val="00D6457E"/>
    <w:rsid w:val="00D742E2"/>
    <w:rsid w:val="00D7580E"/>
    <w:rsid w:val="00D87DAF"/>
    <w:rsid w:val="00D9446D"/>
    <w:rsid w:val="00DA2994"/>
    <w:rsid w:val="00DB08E8"/>
    <w:rsid w:val="00DB0DED"/>
    <w:rsid w:val="00DB3073"/>
    <w:rsid w:val="00DB3BA9"/>
    <w:rsid w:val="00DB50FE"/>
    <w:rsid w:val="00DB5EDA"/>
    <w:rsid w:val="00DC2349"/>
    <w:rsid w:val="00DC3026"/>
    <w:rsid w:val="00DD1EDB"/>
    <w:rsid w:val="00DD57AA"/>
    <w:rsid w:val="00DE1578"/>
    <w:rsid w:val="00DE7F67"/>
    <w:rsid w:val="00DF0529"/>
    <w:rsid w:val="00DF09EF"/>
    <w:rsid w:val="00DF0D0F"/>
    <w:rsid w:val="00DF13D6"/>
    <w:rsid w:val="00DF27D6"/>
    <w:rsid w:val="00DF2BEA"/>
    <w:rsid w:val="00DF4488"/>
    <w:rsid w:val="00DF5B98"/>
    <w:rsid w:val="00DF6FA8"/>
    <w:rsid w:val="00DF701E"/>
    <w:rsid w:val="00DF7BE5"/>
    <w:rsid w:val="00E00D49"/>
    <w:rsid w:val="00E019A8"/>
    <w:rsid w:val="00E03A46"/>
    <w:rsid w:val="00E03C6D"/>
    <w:rsid w:val="00E0476F"/>
    <w:rsid w:val="00E04899"/>
    <w:rsid w:val="00E0796F"/>
    <w:rsid w:val="00E10948"/>
    <w:rsid w:val="00E24371"/>
    <w:rsid w:val="00E243AB"/>
    <w:rsid w:val="00E26641"/>
    <w:rsid w:val="00E2778F"/>
    <w:rsid w:val="00E278B0"/>
    <w:rsid w:val="00E33023"/>
    <w:rsid w:val="00E331F3"/>
    <w:rsid w:val="00E3498D"/>
    <w:rsid w:val="00E42425"/>
    <w:rsid w:val="00E43E55"/>
    <w:rsid w:val="00E4554E"/>
    <w:rsid w:val="00E46D22"/>
    <w:rsid w:val="00E4768F"/>
    <w:rsid w:val="00E53C0E"/>
    <w:rsid w:val="00E54F7E"/>
    <w:rsid w:val="00E560CE"/>
    <w:rsid w:val="00E5674E"/>
    <w:rsid w:val="00E63783"/>
    <w:rsid w:val="00E650E2"/>
    <w:rsid w:val="00E75CAD"/>
    <w:rsid w:val="00E76922"/>
    <w:rsid w:val="00E8595B"/>
    <w:rsid w:val="00E915EC"/>
    <w:rsid w:val="00EA11B1"/>
    <w:rsid w:val="00EA2224"/>
    <w:rsid w:val="00EA7194"/>
    <w:rsid w:val="00EB1329"/>
    <w:rsid w:val="00EB2987"/>
    <w:rsid w:val="00EB2D75"/>
    <w:rsid w:val="00EB34BE"/>
    <w:rsid w:val="00EB571A"/>
    <w:rsid w:val="00EC2804"/>
    <w:rsid w:val="00EC6117"/>
    <w:rsid w:val="00EC6138"/>
    <w:rsid w:val="00ED1DCF"/>
    <w:rsid w:val="00ED43C9"/>
    <w:rsid w:val="00EE2C60"/>
    <w:rsid w:val="00EE2E58"/>
    <w:rsid w:val="00EE487A"/>
    <w:rsid w:val="00EE734C"/>
    <w:rsid w:val="00EF6907"/>
    <w:rsid w:val="00EF6D91"/>
    <w:rsid w:val="00F01F54"/>
    <w:rsid w:val="00F04D4D"/>
    <w:rsid w:val="00F11DD8"/>
    <w:rsid w:val="00F12745"/>
    <w:rsid w:val="00F13766"/>
    <w:rsid w:val="00F20A77"/>
    <w:rsid w:val="00F22C60"/>
    <w:rsid w:val="00F231A4"/>
    <w:rsid w:val="00F23252"/>
    <w:rsid w:val="00F27B2A"/>
    <w:rsid w:val="00F31762"/>
    <w:rsid w:val="00F345D3"/>
    <w:rsid w:val="00F356ED"/>
    <w:rsid w:val="00F359B5"/>
    <w:rsid w:val="00F4144F"/>
    <w:rsid w:val="00F433F3"/>
    <w:rsid w:val="00F47F64"/>
    <w:rsid w:val="00F522D9"/>
    <w:rsid w:val="00F52F54"/>
    <w:rsid w:val="00F53584"/>
    <w:rsid w:val="00F61B24"/>
    <w:rsid w:val="00F62DE5"/>
    <w:rsid w:val="00F63F8A"/>
    <w:rsid w:val="00F6514E"/>
    <w:rsid w:val="00F703DC"/>
    <w:rsid w:val="00F71D06"/>
    <w:rsid w:val="00F73B46"/>
    <w:rsid w:val="00F73D01"/>
    <w:rsid w:val="00F7642B"/>
    <w:rsid w:val="00F76A43"/>
    <w:rsid w:val="00F80334"/>
    <w:rsid w:val="00F8139D"/>
    <w:rsid w:val="00F83DF9"/>
    <w:rsid w:val="00F85DA0"/>
    <w:rsid w:val="00F930AF"/>
    <w:rsid w:val="00F9352C"/>
    <w:rsid w:val="00F975B0"/>
    <w:rsid w:val="00FA15F1"/>
    <w:rsid w:val="00FA19F5"/>
    <w:rsid w:val="00FA4A69"/>
    <w:rsid w:val="00FA649A"/>
    <w:rsid w:val="00FB1248"/>
    <w:rsid w:val="00FB208D"/>
    <w:rsid w:val="00FB3CF4"/>
    <w:rsid w:val="00FB4A27"/>
    <w:rsid w:val="00FB4A49"/>
    <w:rsid w:val="00FB69B3"/>
    <w:rsid w:val="00FC6FBE"/>
    <w:rsid w:val="00FD1162"/>
    <w:rsid w:val="00FD2232"/>
    <w:rsid w:val="00FD4AE7"/>
    <w:rsid w:val="00FD65A9"/>
    <w:rsid w:val="00FD7508"/>
    <w:rsid w:val="00FE1E51"/>
    <w:rsid w:val="00FE2496"/>
    <w:rsid w:val="00FE6A2B"/>
    <w:rsid w:val="00FF0275"/>
    <w:rsid w:val="00FF07B3"/>
    <w:rsid w:val="00FF1E37"/>
    <w:rsid w:val="02F120AB"/>
    <w:rsid w:val="03271FB5"/>
    <w:rsid w:val="032B5196"/>
    <w:rsid w:val="04C3537C"/>
    <w:rsid w:val="06DC157F"/>
    <w:rsid w:val="079004AC"/>
    <w:rsid w:val="089F6418"/>
    <w:rsid w:val="0BA148CA"/>
    <w:rsid w:val="0C1165C4"/>
    <w:rsid w:val="0D6D544B"/>
    <w:rsid w:val="0DD076D1"/>
    <w:rsid w:val="0DD136FE"/>
    <w:rsid w:val="0F30565D"/>
    <w:rsid w:val="0F8E2C57"/>
    <w:rsid w:val="1059665E"/>
    <w:rsid w:val="105C5AC2"/>
    <w:rsid w:val="10AC13BA"/>
    <w:rsid w:val="11980797"/>
    <w:rsid w:val="145A6C1B"/>
    <w:rsid w:val="14B73493"/>
    <w:rsid w:val="15FF42FC"/>
    <w:rsid w:val="167A2FF9"/>
    <w:rsid w:val="17E05399"/>
    <w:rsid w:val="18581C69"/>
    <w:rsid w:val="18681846"/>
    <w:rsid w:val="186D28E5"/>
    <w:rsid w:val="1AEC0734"/>
    <w:rsid w:val="1C203C3A"/>
    <w:rsid w:val="1CD77C7D"/>
    <w:rsid w:val="1DEF20B0"/>
    <w:rsid w:val="2068603D"/>
    <w:rsid w:val="20B25A42"/>
    <w:rsid w:val="214243FA"/>
    <w:rsid w:val="21AD613C"/>
    <w:rsid w:val="22467189"/>
    <w:rsid w:val="22C56678"/>
    <w:rsid w:val="252E2032"/>
    <w:rsid w:val="257668EC"/>
    <w:rsid w:val="257A14F5"/>
    <w:rsid w:val="27196C26"/>
    <w:rsid w:val="27872E78"/>
    <w:rsid w:val="27A54E17"/>
    <w:rsid w:val="280059A4"/>
    <w:rsid w:val="294A5759"/>
    <w:rsid w:val="29EF086F"/>
    <w:rsid w:val="2A014A0F"/>
    <w:rsid w:val="2A4855CF"/>
    <w:rsid w:val="2EFFE297"/>
    <w:rsid w:val="301437CA"/>
    <w:rsid w:val="31065091"/>
    <w:rsid w:val="325972CB"/>
    <w:rsid w:val="32745964"/>
    <w:rsid w:val="32791381"/>
    <w:rsid w:val="349D1F0A"/>
    <w:rsid w:val="34DD0473"/>
    <w:rsid w:val="356454F4"/>
    <w:rsid w:val="3AD74C45"/>
    <w:rsid w:val="3C181CA7"/>
    <w:rsid w:val="3C684897"/>
    <w:rsid w:val="3DD77D95"/>
    <w:rsid w:val="3E57747F"/>
    <w:rsid w:val="41946CD3"/>
    <w:rsid w:val="41C6204F"/>
    <w:rsid w:val="42472DD1"/>
    <w:rsid w:val="4318379A"/>
    <w:rsid w:val="433E495C"/>
    <w:rsid w:val="461808B2"/>
    <w:rsid w:val="480F1B08"/>
    <w:rsid w:val="4835061E"/>
    <w:rsid w:val="489F2FD7"/>
    <w:rsid w:val="48D41C1B"/>
    <w:rsid w:val="4997019F"/>
    <w:rsid w:val="4A9C1227"/>
    <w:rsid w:val="4AC27CB3"/>
    <w:rsid w:val="4BF72BEF"/>
    <w:rsid w:val="4F805E61"/>
    <w:rsid w:val="4FA90297"/>
    <w:rsid w:val="4FC41A43"/>
    <w:rsid w:val="51DB3C59"/>
    <w:rsid w:val="53A868CB"/>
    <w:rsid w:val="550C0952"/>
    <w:rsid w:val="55762E42"/>
    <w:rsid w:val="579C0569"/>
    <w:rsid w:val="57A7B272"/>
    <w:rsid w:val="57C24589"/>
    <w:rsid w:val="58470068"/>
    <w:rsid w:val="58747CAC"/>
    <w:rsid w:val="5A1720F9"/>
    <w:rsid w:val="5B9C37C2"/>
    <w:rsid w:val="5BA7C654"/>
    <w:rsid w:val="60A54109"/>
    <w:rsid w:val="61D01CDF"/>
    <w:rsid w:val="64C0607C"/>
    <w:rsid w:val="65756C86"/>
    <w:rsid w:val="67014FD3"/>
    <w:rsid w:val="674D385B"/>
    <w:rsid w:val="676F09E1"/>
    <w:rsid w:val="6E6E461F"/>
    <w:rsid w:val="71793A80"/>
    <w:rsid w:val="71AC233E"/>
    <w:rsid w:val="720B161C"/>
    <w:rsid w:val="72184546"/>
    <w:rsid w:val="72B43CBD"/>
    <w:rsid w:val="7357290B"/>
    <w:rsid w:val="74051AC0"/>
    <w:rsid w:val="749053A8"/>
    <w:rsid w:val="75492C12"/>
    <w:rsid w:val="75635B61"/>
    <w:rsid w:val="798524E4"/>
    <w:rsid w:val="7A7F1C49"/>
    <w:rsid w:val="7B5B7AE6"/>
    <w:rsid w:val="7B7B6628"/>
    <w:rsid w:val="7BA7071E"/>
    <w:rsid w:val="7BDF6DA8"/>
    <w:rsid w:val="7BDF7589"/>
    <w:rsid w:val="7C6931B2"/>
    <w:rsid w:val="7C7EDC1A"/>
    <w:rsid w:val="7CCED98D"/>
    <w:rsid w:val="7D08410F"/>
    <w:rsid w:val="7D2759BE"/>
    <w:rsid w:val="7DB96DED"/>
    <w:rsid w:val="7DD3AD81"/>
    <w:rsid w:val="7F7FE70F"/>
    <w:rsid w:val="7FFF772F"/>
    <w:rsid w:val="95F35EF6"/>
    <w:rsid w:val="9BFFD860"/>
    <w:rsid w:val="AC5F73DE"/>
    <w:rsid w:val="B5DDD2C8"/>
    <w:rsid w:val="B9DFABD9"/>
    <w:rsid w:val="BC0D83FC"/>
    <w:rsid w:val="BF3BDEFB"/>
    <w:rsid w:val="C75F6086"/>
    <w:rsid w:val="C7F7ED2D"/>
    <w:rsid w:val="CFAF854E"/>
    <w:rsid w:val="D8D7928E"/>
    <w:rsid w:val="D8FE3136"/>
    <w:rsid w:val="DDDE60B7"/>
    <w:rsid w:val="DE9F6A22"/>
    <w:rsid w:val="DF4FCE6A"/>
    <w:rsid w:val="E4FED278"/>
    <w:rsid w:val="EDAA365C"/>
    <w:rsid w:val="EDADFC12"/>
    <w:rsid w:val="F2FD229B"/>
    <w:rsid w:val="F7F709E9"/>
    <w:rsid w:val="F7FF3690"/>
    <w:rsid w:val="F9BD3900"/>
    <w:rsid w:val="FC8B9876"/>
    <w:rsid w:val="FEDFF218"/>
    <w:rsid w:val="FEDFFF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100" w:beforeAutospacing="1" w:after="100" w:afterAutospacing="1"/>
      <w:outlineLvl w:val="1"/>
    </w:pPr>
    <w:rPr>
      <w:rFonts w:ascii="Cambria" w:hAnsi="Cambria" w:eastAsia="黑体"/>
      <w:b/>
      <w:bCs/>
      <w:kern w:val="0"/>
      <w:sz w:val="36"/>
      <w:szCs w:val="32"/>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ind w:firstLine="200" w:firstLineChars="200"/>
    </w:pPr>
  </w:style>
  <w:style w:type="paragraph" w:styleId="4">
    <w:name w:val="Body Text Indent"/>
    <w:basedOn w:val="1"/>
    <w:qFormat/>
    <w:uiPriority w:val="0"/>
    <w:pPr>
      <w:ind w:firstLine="645"/>
    </w:pPr>
    <w:rPr>
      <w:rFonts w:ascii="仿宋_GB2312" w:hAnsi="Calibri" w:eastAsia="仿宋_GB2312"/>
      <w:sz w:val="32"/>
      <w:szCs w:val="32"/>
    </w:rPr>
  </w:style>
  <w:style w:type="paragraph" w:styleId="5">
    <w:name w:val="Date"/>
    <w:basedOn w:val="1"/>
    <w:next w:val="1"/>
    <w:qFormat/>
    <w:uiPriority w:val="0"/>
    <w:pPr>
      <w:ind w:left="100" w:leftChars="2500"/>
    </w:pPr>
  </w:style>
  <w:style w:type="paragraph" w:styleId="6">
    <w:name w:val="Balloon Text"/>
    <w:basedOn w:val="1"/>
    <w:semiHidden/>
    <w:qFormat/>
    <w:uiPriority w:val="0"/>
    <w:rPr>
      <w:sz w:val="18"/>
      <w:szCs w:val="18"/>
    </w:rPr>
  </w:style>
  <w:style w:type="paragraph" w:styleId="7">
    <w:name w:val="footer"/>
    <w:basedOn w:val="1"/>
    <w:link w:val="14"/>
    <w:qFormat/>
    <w:uiPriority w:val="0"/>
    <w:pPr>
      <w:tabs>
        <w:tab w:val="center" w:pos="4153"/>
        <w:tab w:val="right" w:pos="8306"/>
      </w:tabs>
      <w:snapToGrid w:val="0"/>
      <w:jc w:val="left"/>
    </w:pPr>
    <w:rPr>
      <w:sz w:val="18"/>
      <w:szCs w:val="18"/>
    </w:rPr>
  </w:style>
  <w:style w:type="paragraph" w:styleId="8">
    <w:name w:val="header"/>
    <w:basedOn w:val="1"/>
    <w:link w:val="15"/>
    <w:qFormat/>
    <w:uiPriority w:val="0"/>
    <w:pPr>
      <w:pBdr>
        <w:bottom w:val="single" w:color="auto" w:sz="6" w:space="1"/>
      </w:pBdr>
      <w:tabs>
        <w:tab w:val="center" w:pos="4153"/>
        <w:tab w:val="right" w:pos="8306"/>
      </w:tabs>
      <w:snapToGrid w:val="0"/>
      <w:jc w:val="center"/>
    </w:pPr>
    <w:rPr>
      <w:rFonts w:ascii="Calibri" w:hAnsi="Calibri"/>
      <w:sz w:val="18"/>
      <w:szCs w:val="18"/>
    </w:rPr>
  </w:style>
  <w:style w:type="paragraph" w:styleId="9">
    <w:name w:val="Normal (Web)"/>
    <w:basedOn w:val="1"/>
    <w:unhideWhenUsed/>
    <w:qFormat/>
    <w:uiPriority w:val="0"/>
    <w:pPr>
      <w:spacing w:before="100" w:beforeAutospacing="1" w:after="100" w:afterAutospacing="1"/>
      <w:ind w:right="238"/>
      <w:jc w:val="left"/>
    </w:pPr>
    <w:rPr>
      <w:b/>
      <w:kern w:val="0"/>
      <w:sz w:val="24"/>
      <w:szCs w:val="20"/>
    </w:rPr>
  </w:style>
  <w:style w:type="character" w:styleId="12">
    <w:name w:val="Strong"/>
    <w:qFormat/>
    <w:uiPriority w:val="0"/>
    <w:rPr>
      <w:b/>
    </w:rPr>
  </w:style>
  <w:style w:type="character" w:styleId="13">
    <w:name w:val="page number"/>
    <w:qFormat/>
    <w:uiPriority w:val="0"/>
  </w:style>
  <w:style w:type="character" w:customStyle="1" w:styleId="14">
    <w:name w:val="页脚 Char"/>
    <w:link w:val="7"/>
    <w:qFormat/>
    <w:uiPriority w:val="0"/>
    <w:rPr>
      <w:rFonts w:eastAsia="宋体"/>
      <w:kern w:val="2"/>
      <w:sz w:val="18"/>
      <w:szCs w:val="18"/>
      <w:lang w:val="en-US" w:eastAsia="zh-CN" w:bidi="ar-SA"/>
    </w:rPr>
  </w:style>
  <w:style w:type="character" w:customStyle="1" w:styleId="15">
    <w:name w:val="页眉 Char"/>
    <w:link w:val="8"/>
    <w:qFormat/>
    <w:uiPriority w:val="0"/>
    <w:rPr>
      <w:rFonts w:ascii="Calibri" w:hAnsi="Calibri" w:eastAsia="宋体"/>
      <w:kern w:val="2"/>
      <w:sz w:val="18"/>
      <w:szCs w:val="18"/>
      <w:lang w:val="en-US" w:eastAsia="zh-CN" w:bidi="ar-SA"/>
    </w:rPr>
  </w:style>
  <w:style w:type="paragraph" w:customStyle="1" w:styleId="16">
    <w:name w:val="Char Char Char Char Char Char Char"/>
    <w:basedOn w:val="1"/>
    <w:qFormat/>
    <w:uiPriority w:val="0"/>
    <w:rPr>
      <w:rFonts w:ascii="Tahoma" w:hAnsi="Tahoma"/>
      <w:sz w:val="24"/>
      <w:szCs w:val="20"/>
    </w:rPr>
  </w:style>
  <w:style w:type="paragraph" w:customStyle="1" w:styleId="17">
    <w:name w:val="Char1 Char Char Char"/>
    <w:basedOn w:val="1"/>
    <w:qFormat/>
    <w:uiPriority w:val="0"/>
    <w:pPr>
      <w:widowControl/>
      <w:spacing w:after="160" w:line="240" w:lineRule="exact"/>
      <w:jc w:val="left"/>
    </w:pPr>
    <w:rPr>
      <w:szCs w:val="20"/>
    </w:rPr>
  </w:style>
  <w:style w:type="paragraph" w:customStyle="1" w:styleId="18">
    <w:name w:val="Char"/>
    <w:basedOn w:val="1"/>
    <w:qFormat/>
    <w:uiPriority w:val="0"/>
    <w:rPr>
      <w:rFonts w:ascii="Tahoma" w:hAnsi="Tahoma"/>
      <w:sz w:val="24"/>
      <w:szCs w:val="20"/>
    </w:rPr>
  </w:style>
  <w:style w:type="paragraph" w:customStyle="1" w:styleId="19">
    <w:name w:val="Char Char3 Char Char"/>
    <w:basedOn w:val="1"/>
    <w:qFormat/>
    <w:uiPriority w:val="0"/>
    <w:rPr>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hart" Target="charts/chart2.xml"/><Relationship Id="rId7" Type="http://schemas.openxmlformats.org/officeDocument/2006/relationships/chart" Target="charts/chart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收入</c:v>
                </c:pt>
              </c:strCache>
            </c:strRef>
          </c:tx>
          <c:explosion val="0"/>
          <c:dPt>
            <c:idx val="0"/>
            <c:bubble3D val="0"/>
          </c:dPt>
          <c:dPt>
            <c:idx val="1"/>
            <c:bubble3D val="0"/>
          </c:dPt>
          <c:dPt>
            <c:idx val="2"/>
            <c:bubble3D val="0"/>
          </c:dPt>
          <c:dPt>
            <c:idx val="3"/>
            <c:bubble3D val="0"/>
          </c:dPt>
          <c:dPt>
            <c:idx val="4"/>
            <c:bubble3D val="0"/>
          </c:dPt>
          <c:dPt>
            <c:idx val="5"/>
            <c:bubble3D val="0"/>
          </c:dPt>
          <c:dLbls>
            <c:numFmt formatCode="0.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ext>
            </c:extLst>
          </c:dLbls>
          <c:cat>
            <c:strRef>
              <c:f>Sheet1!$A$2:$A$7</c:f>
              <c:strCache>
                <c:ptCount val="6"/>
                <c:pt idx="0">
                  <c:v>财政拨款收入</c:v>
                </c:pt>
                <c:pt idx="1">
                  <c:v>上级补助收入</c:v>
                </c:pt>
                <c:pt idx="2">
                  <c:v>事业收入</c:v>
                </c:pt>
                <c:pt idx="3">
                  <c:v>经营收入</c:v>
                </c:pt>
                <c:pt idx="4">
                  <c:v>附属单位上缴</c:v>
                </c:pt>
                <c:pt idx="5">
                  <c:v>其他收入</c:v>
                </c:pt>
              </c:strCache>
            </c:strRef>
          </c:cat>
          <c:val>
            <c:numRef>
              <c:f>Sheet1!$B$2:$B$7</c:f>
              <c:numCache>
                <c:formatCode>General</c:formatCode>
                <c:ptCount val="6"/>
                <c:pt idx="0">
                  <c:v>12356.63</c:v>
                </c:pt>
                <c:pt idx="1">
                  <c:v>0</c:v>
                </c:pt>
                <c:pt idx="2">
                  <c:v>0</c:v>
                </c:pt>
                <c:pt idx="3">
                  <c:v>0</c:v>
                </c:pt>
                <c:pt idx="4">
                  <c:v>0</c:v>
                </c:pt>
                <c:pt idx="5">
                  <c:v>0</c:v>
                </c:pt>
              </c:numCache>
            </c:numRef>
          </c:val>
        </c:ser>
        <c:dLbls>
          <c:showLegendKey val="0"/>
          <c:showVal val="1"/>
          <c:showCatName val="0"/>
          <c:showSerName val="0"/>
          <c:showPercent val="0"/>
          <c:showBubbleSize val="0"/>
          <c:showLeaderLines val="1"/>
        </c:dLbls>
        <c:firstSliceAng val="0"/>
      </c:pieChart>
    </c:plotArea>
    <c:legend>
      <c:legendPos val="r"/>
      <c:layout/>
      <c:overlay val="0"/>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legend>
    <c:plotVisOnly val="1"/>
    <c:dispBlanksAs val="gap"/>
    <c:showDLblsOverMax val="0"/>
  </c:chart>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Sheet0!$B$1</c:f>
              <c:strCache>
                <c:ptCount val="1"/>
                <c:pt idx="0">
                  <c:v>支出</c:v>
                </c:pt>
              </c:strCache>
            </c:strRef>
          </c:tx>
          <c:explosion val="0"/>
          <c:dPt>
            <c:idx val="0"/>
            <c:bubble3D val="0"/>
            <c:spPr>
              <a:solidFill>
                <a:srgbClr val="4F81BD"/>
              </a:solidFill>
              <a:ln w="19050">
                <a:solidFill>
                  <a:srgbClr val="FFFFFF"/>
                </a:solidFill>
              </a:ln>
              <a:effectLst/>
            </c:spPr>
          </c:dPt>
          <c:dPt>
            <c:idx val="1"/>
            <c:bubble3D val="0"/>
            <c:spPr>
              <a:solidFill>
                <a:srgbClr val="C0504D"/>
              </a:solidFill>
              <a:ln w="19050">
                <a:solidFill>
                  <a:srgbClr val="FFFFFF"/>
                </a:solidFill>
              </a:ln>
              <a:effectLst/>
            </c:spPr>
          </c:dPt>
          <c:dPt>
            <c:idx val="2"/>
            <c:bubble3D val="0"/>
            <c:spPr>
              <a:solidFill>
                <a:srgbClr val="9BBB59"/>
              </a:solidFill>
              <a:ln w="19050">
                <a:solidFill>
                  <a:srgbClr val="FFFFFF"/>
                </a:solidFill>
              </a:ln>
              <a:effectLst/>
            </c:spPr>
          </c:dPt>
          <c:dPt>
            <c:idx val="3"/>
            <c:bubble3D val="0"/>
            <c:spPr>
              <a:solidFill>
                <a:srgbClr val="8064A2"/>
              </a:solidFill>
              <a:ln w="19050">
                <a:solidFill>
                  <a:srgbClr val="FFFFFF"/>
                </a:solidFill>
              </a:ln>
              <a:effectLst/>
            </c:spPr>
          </c:dPt>
          <c:dPt>
            <c:idx val="4"/>
            <c:bubble3D val="0"/>
            <c:spPr>
              <a:solidFill>
                <a:srgbClr val="4BACC6"/>
              </a:solidFill>
              <a:ln w="19050">
                <a:solidFill>
                  <a:srgbClr val="FFFFFF"/>
                </a:solidFill>
              </a:ln>
              <a:effectLst/>
            </c:spPr>
          </c:dPt>
          <c:dLbls>
            <c:dLbl>
              <c:idx val="2"/>
              <c:layout>
                <c:manualLayout>
                  <c:x val="-0.03900372940115"/>
                  <c:y val="0.0328271436107878"/>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dLbl>
              <c:idx val="4"/>
              <c:layout>
                <c:manualLayout>
                  <c:x val="0.0389887693586102"/>
                  <c:y val="0.0105112295100623"/>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numFmt formatCode="0.00%" sourceLinked="0"/>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rgbClr val="A6A6A6">
                          <a:lumMod val="35000"/>
                          <a:lumOff val="65000"/>
                        </a:srgbClr>
                      </a:solidFill>
                      <a:prstDash val="solid"/>
                      <a:round/>
                    </a:ln>
                    <a:effectLst/>
                  </c:spPr>
                </c15:leaderLines>
              </c:ext>
            </c:extLst>
          </c:dLbls>
          <c:cat>
            <c:strRef>
              <c:f>Sheet0!$A$2:$A$6</c:f>
              <c:strCache>
                <c:ptCount val="5"/>
                <c:pt idx="0">
                  <c:v>基本支出</c:v>
                </c:pt>
                <c:pt idx="1">
                  <c:v>项目支出</c:v>
                </c:pt>
                <c:pt idx="2">
                  <c:v>上缴上级支出</c:v>
                </c:pt>
                <c:pt idx="3">
                  <c:v>经营支出</c:v>
                </c:pt>
                <c:pt idx="4">
                  <c:v>对附属单位补助支出</c:v>
                </c:pt>
              </c:strCache>
            </c:strRef>
          </c:cat>
          <c:val>
            <c:numRef>
              <c:f>Sheet0!$B$2:$B$6</c:f>
              <c:numCache>
                <c:formatCode>General</c:formatCode>
                <c:ptCount val="5"/>
                <c:pt idx="0">
                  <c:v>1861.21</c:v>
                </c:pt>
                <c:pt idx="1">
                  <c:v>10495.42</c:v>
                </c:pt>
                <c:pt idx="2">
                  <c:v>0</c:v>
                </c:pt>
                <c:pt idx="3">
                  <c:v>0</c:v>
                </c:pt>
                <c:pt idx="4">
                  <c:v>0</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b"/>
      <c:legendEntry>
        <c:idx val="0"/>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Entry>
      <c:legendEntry>
        <c:idx val="1"/>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Entry>
      <c:legendEntry>
        <c:idx val="2"/>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Entry>
      <c:legendEntry>
        <c:idx val="3"/>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Entry>
      <c:legendEntry>
        <c:idx val="4"/>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
    <c:plotVisOnly val="1"/>
    <c:dispBlanksAs val="gap"/>
    <c:showDLblsOverMax val="0"/>
  </c:chart>
  <c:spPr>
    <a:ln w="9525" cap="flat" cmpd="sng" algn="ctr">
      <a:solidFill>
        <a:srgbClr val="D9D9D9">
          <a:lumMod val="15000"/>
          <a:lumOff val="85000"/>
        </a:srgbClr>
      </a:solidFill>
      <a:prstDash val="solid"/>
      <a:round/>
    </a:ln>
    <a:effectLst/>
  </c:spPr>
  <c:txPr>
    <a:bodyPr/>
    <a:lstStyle/>
    <a:p>
      <a:pPr>
        <a:defRPr lang="zh-CN"/>
      </a:pPr>
    </a:p>
  </c:txPr>
  <c:externalData r:id="rId1">
    <c:autoUpdate val="0"/>
  </c:externalData>
</c:chartSpac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16</Pages>
  <Words>3958</Words>
  <Characters>6108</Characters>
  <Lines>47</Lines>
  <Paragraphs>13</Paragraphs>
  <TotalTime>237</TotalTime>
  <ScaleCrop>false</ScaleCrop>
  <LinksUpToDate>false</LinksUpToDate>
  <CharactersWithSpaces>6191</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2017-07-11T15:16:00Z</dcterms:created>
  <dc:creator>常程</dc:creator>
  <cp:lastModifiedBy>Lenovo-t</cp:lastModifiedBy>
  <cp:lastPrinted>2020-08-07T11:39:00Z</cp:lastPrinted>
  <dcterms:modified xsi:type="dcterms:W3CDTF">2026-09-03T07:28:59Z</dcterms:modified>
  <dc:title>北京市财政局关于做好向市人大常委会报送2015年度市级部门决算（草案）</dc:title>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435078ACFECC4A5A8A519EF4C3681114_13</vt:lpwstr>
  </property>
  <property fmtid="{D5CDD505-2E9C-101B-9397-08002B2CF9AE}" pid="4" name="KSOTemplateDocerSaveRecord">
    <vt:lpwstr>eyJoZGlkIjoiYjNlN2I2OGQxOGI1NmIxMWI3ZTg2MzgyOGIwNzE1YjAiLCJ1c2VySWQiOiI2NzgwOTI3MjgifQ==</vt:lpwstr>
  </property>
</Properties>
</file>