
<file path=[Content_Types].xml><?xml version="1.0" encoding="utf-8"?>
<Types xmlns="http://schemas.openxmlformats.org/package/2006/content-types">
  <Default Extension="xlsx" ContentType="application/vnd.openxmlformats-officedocument.spreadsheetml.sheet"/>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8C84EAC">
      <w:pPr>
        <w:jc w:val="center"/>
        <w:rPr>
          <w:rFonts w:ascii="仿宋_GB2312" w:eastAsia="仿宋_GB2312"/>
          <w:b/>
          <w:sz w:val="32"/>
          <w:szCs w:val="32"/>
        </w:rPr>
      </w:pPr>
    </w:p>
    <w:p w14:paraId="763F09C5">
      <w:pPr>
        <w:jc w:val="center"/>
        <w:rPr>
          <w:rFonts w:ascii="黑体" w:eastAsia="黑体"/>
          <w:sz w:val="72"/>
          <w:szCs w:val="72"/>
        </w:rPr>
      </w:pPr>
    </w:p>
    <w:p w14:paraId="7FA41B2E">
      <w:pPr>
        <w:jc w:val="center"/>
        <w:rPr>
          <w:rFonts w:ascii="黑体" w:eastAsia="黑体"/>
          <w:sz w:val="72"/>
          <w:szCs w:val="72"/>
        </w:rPr>
      </w:pPr>
    </w:p>
    <w:p w14:paraId="4B922FCB">
      <w:pPr>
        <w:jc w:val="center"/>
        <w:rPr>
          <w:rFonts w:ascii="黑体" w:eastAsia="黑体"/>
          <w:sz w:val="72"/>
          <w:szCs w:val="72"/>
        </w:rPr>
      </w:pPr>
    </w:p>
    <w:p w14:paraId="207E1198">
      <w:pPr>
        <w:jc w:val="center"/>
        <w:rPr>
          <w:rFonts w:ascii="黑体" w:eastAsia="黑体"/>
          <w:sz w:val="72"/>
          <w:szCs w:val="72"/>
        </w:rPr>
      </w:pPr>
    </w:p>
    <w:p w14:paraId="0B8A18E7">
      <w:pPr>
        <w:jc w:val="center"/>
        <w:rPr>
          <w:rFonts w:ascii="黑体" w:eastAsia="黑体"/>
          <w:sz w:val="72"/>
          <w:szCs w:val="72"/>
        </w:rPr>
      </w:pPr>
      <w:r>
        <w:rPr>
          <w:rFonts w:hint="eastAsia" w:ascii="黑体" w:eastAsia="黑体"/>
          <w:sz w:val="72"/>
          <w:szCs w:val="72"/>
        </w:rPr>
        <w:t>2025年度</w:t>
      </w:r>
      <w:bookmarkStart w:id="4" w:name="_GoBack"/>
      <w:bookmarkEnd w:id="4"/>
      <w:r>
        <w:rPr>
          <w:rFonts w:hint="eastAsia" w:ascii="黑体" w:eastAsia="黑体"/>
          <w:sz w:val="72"/>
          <w:szCs w:val="72"/>
        </w:rPr>
        <w:t>部门决算（公开</w:t>
      </w:r>
      <w:r>
        <w:rPr>
          <w:rFonts w:ascii="黑体" w:eastAsia="黑体"/>
          <w:sz w:val="72"/>
          <w:szCs w:val="72"/>
        </w:rPr>
        <w:t>）</w:t>
      </w:r>
    </w:p>
    <w:p w14:paraId="7EEE0DB2">
      <w:pPr>
        <w:jc w:val="center"/>
        <w:rPr>
          <w:rFonts w:ascii="黑体" w:eastAsia="黑体"/>
          <w:sz w:val="52"/>
          <w:szCs w:val="52"/>
        </w:rPr>
      </w:pPr>
    </w:p>
    <w:p w14:paraId="64E2BAC1">
      <w:pPr>
        <w:jc w:val="center"/>
        <w:rPr>
          <w:rFonts w:ascii="黑体" w:eastAsia="黑体"/>
          <w:sz w:val="52"/>
          <w:szCs w:val="52"/>
        </w:rPr>
      </w:pPr>
    </w:p>
    <w:p w14:paraId="2ACF7FBC">
      <w:pPr>
        <w:jc w:val="center"/>
        <w:rPr>
          <w:rFonts w:ascii="黑体" w:eastAsia="黑体"/>
          <w:sz w:val="52"/>
          <w:szCs w:val="52"/>
        </w:rPr>
      </w:pPr>
    </w:p>
    <w:p w14:paraId="7FF7B0F9">
      <w:pPr>
        <w:jc w:val="center"/>
        <w:rPr>
          <w:rFonts w:ascii="黑体" w:eastAsia="黑体"/>
          <w:sz w:val="52"/>
          <w:szCs w:val="52"/>
        </w:rPr>
      </w:pPr>
    </w:p>
    <w:p w14:paraId="1D54BAD7">
      <w:pPr>
        <w:jc w:val="center"/>
        <w:rPr>
          <w:rFonts w:ascii="黑体" w:eastAsia="黑体"/>
          <w:sz w:val="32"/>
          <w:szCs w:val="32"/>
        </w:rPr>
      </w:pPr>
    </w:p>
    <w:p w14:paraId="0FB20E57">
      <w:pPr>
        <w:spacing w:line="500" w:lineRule="exact"/>
        <w:ind w:firstLine="645"/>
        <w:jc w:val="center"/>
        <w:rPr>
          <w:rFonts w:ascii="宋体" w:hAnsi="宋体" w:cs="宋体"/>
          <w:b/>
          <w:bCs/>
          <w:kern w:val="0"/>
          <w:sz w:val="44"/>
          <w:szCs w:val="36"/>
        </w:rPr>
      </w:pPr>
      <w:r>
        <w:rPr>
          <w:rFonts w:hint="eastAsia" w:ascii="宋体" w:hAnsi="宋体" w:cs="宋体"/>
          <w:b/>
          <w:bCs/>
          <w:kern w:val="0"/>
          <w:sz w:val="44"/>
          <w:szCs w:val="36"/>
        </w:rPr>
        <w:t>目    录</w:t>
      </w:r>
    </w:p>
    <w:p w14:paraId="37833AAA">
      <w:pPr>
        <w:spacing w:line="500" w:lineRule="exact"/>
        <w:ind w:firstLine="645"/>
        <w:jc w:val="center"/>
        <w:rPr>
          <w:rFonts w:ascii="宋体" w:hAnsi="宋体" w:cs="宋体"/>
          <w:b/>
          <w:bCs/>
          <w:kern w:val="0"/>
          <w:sz w:val="36"/>
          <w:szCs w:val="36"/>
        </w:rPr>
      </w:pPr>
    </w:p>
    <w:p w14:paraId="64CF04FD">
      <w:pPr>
        <w:tabs>
          <w:tab w:val="center" w:pos="6979"/>
        </w:tabs>
        <w:spacing w:line="500" w:lineRule="exact"/>
        <w:ind w:firstLine="1600" w:firstLineChars="400"/>
        <w:jc w:val="left"/>
        <w:rPr>
          <w:rFonts w:ascii="宋体" w:hAnsi="宋体" w:cs="宋体"/>
          <w:bCs/>
          <w:spacing w:val="40"/>
          <w:kern w:val="0"/>
          <w:sz w:val="32"/>
          <w:szCs w:val="32"/>
        </w:rPr>
      </w:pPr>
      <w:r>
        <w:rPr>
          <w:rFonts w:hint="eastAsia" w:ascii="宋体" w:hAnsi="宋体" w:cs="宋体"/>
          <w:bCs/>
          <w:spacing w:val="40"/>
          <w:kern w:val="0"/>
          <w:sz w:val="32"/>
          <w:szCs w:val="32"/>
        </w:rPr>
        <w:t>第一部分 2025年度部门决算报表</w:t>
      </w:r>
    </w:p>
    <w:p w14:paraId="6C6C4C4D">
      <w:pPr>
        <w:tabs>
          <w:tab w:val="center" w:pos="6979"/>
        </w:tabs>
        <w:spacing w:line="500" w:lineRule="exact"/>
        <w:ind w:firstLine="2400" w:firstLineChars="600"/>
        <w:jc w:val="left"/>
        <w:rPr>
          <w:rFonts w:ascii="仿宋_GB2312" w:hAnsi="仿宋" w:eastAsia="仿宋_GB2312"/>
          <w:spacing w:val="40"/>
          <w:sz w:val="32"/>
          <w:szCs w:val="32"/>
        </w:rPr>
      </w:pPr>
      <w:r>
        <w:rPr>
          <w:rFonts w:hint="eastAsia" w:ascii="仿宋_GB2312" w:hAnsi="仿宋" w:eastAsia="仿宋_GB2312" w:cs="宋体"/>
          <w:bCs/>
          <w:spacing w:val="40"/>
          <w:kern w:val="0"/>
          <w:sz w:val="32"/>
          <w:szCs w:val="32"/>
        </w:rPr>
        <w:t>一、收入支出决算总表</w:t>
      </w:r>
    </w:p>
    <w:p w14:paraId="2439F4B1">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二、收入决算表</w:t>
      </w:r>
    </w:p>
    <w:p w14:paraId="615C11E4">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三、支出决算表</w:t>
      </w:r>
    </w:p>
    <w:p w14:paraId="00CC84C9">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四、财政拨款收入支出决算总表</w:t>
      </w:r>
    </w:p>
    <w:p w14:paraId="0068A5C3">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五、一般公共预算财政拨款支出决算表</w:t>
      </w:r>
    </w:p>
    <w:p w14:paraId="6F9326FF">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六、一般公共预算财政拨款</w:t>
      </w:r>
      <w:r>
        <w:rPr>
          <w:rFonts w:ascii="仿宋_GB2312" w:hAnsi="仿宋" w:eastAsia="仿宋_GB2312" w:cs="宋体"/>
          <w:bCs/>
          <w:spacing w:val="40"/>
          <w:kern w:val="0"/>
          <w:sz w:val="32"/>
          <w:szCs w:val="32"/>
        </w:rPr>
        <w:t>基本支出决算表</w:t>
      </w:r>
    </w:p>
    <w:p w14:paraId="6BA2DCE1">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七</w:t>
      </w:r>
      <w:r>
        <w:rPr>
          <w:rFonts w:ascii="仿宋_GB2312" w:hAnsi="仿宋" w:eastAsia="仿宋_GB2312" w:cs="宋体"/>
          <w:bCs/>
          <w:spacing w:val="40"/>
          <w:kern w:val="0"/>
          <w:sz w:val="32"/>
          <w:szCs w:val="32"/>
        </w:rPr>
        <w:t>、</w:t>
      </w:r>
      <w:r>
        <w:rPr>
          <w:rFonts w:hint="eastAsia" w:ascii="仿宋_GB2312" w:hAnsi="仿宋" w:eastAsia="仿宋_GB2312" w:cs="宋体"/>
          <w:bCs/>
          <w:spacing w:val="40"/>
          <w:kern w:val="0"/>
          <w:sz w:val="32"/>
          <w:szCs w:val="32"/>
        </w:rPr>
        <w:t>政府性基金预算财政拨款收入支出决算表</w:t>
      </w:r>
    </w:p>
    <w:p w14:paraId="1B990AE6">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八、</w:t>
      </w:r>
      <w:r>
        <w:rPr>
          <w:rFonts w:ascii="仿宋_GB2312" w:hAnsi="仿宋" w:eastAsia="仿宋_GB2312" w:cs="宋体"/>
          <w:bCs/>
          <w:spacing w:val="40"/>
          <w:kern w:val="0"/>
          <w:sz w:val="32"/>
          <w:szCs w:val="32"/>
        </w:rPr>
        <w:t>政府性基金</w:t>
      </w:r>
      <w:r>
        <w:rPr>
          <w:rFonts w:hint="eastAsia" w:ascii="仿宋_GB2312" w:hAnsi="仿宋" w:eastAsia="仿宋_GB2312" w:cs="宋体"/>
          <w:bCs/>
          <w:spacing w:val="40"/>
          <w:kern w:val="0"/>
          <w:sz w:val="32"/>
          <w:szCs w:val="32"/>
        </w:rPr>
        <w:t>预算</w:t>
      </w:r>
      <w:r>
        <w:rPr>
          <w:rFonts w:ascii="仿宋_GB2312" w:hAnsi="仿宋" w:eastAsia="仿宋_GB2312" w:cs="宋体"/>
          <w:bCs/>
          <w:spacing w:val="40"/>
          <w:kern w:val="0"/>
          <w:sz w:val="32"/>
          <w:szCs w:val="32"/>
        </w:rPr>
        <w:t>财政拨款基本支出决算表</w:t>
      </w:r>
    </w:p>
    <w:p w14:paraId="55DF27F1">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九、国有资本经营预算财政拨款支出决算表</w:t>
      </w:r>
    </w:p>
    <w:p w14:paraId="4D9DB854">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十、财政拨款“三公”经费支出决算表</w:t>
      </w:r>
    </w:p>
    <w:p w14:paraId="7E9F6A56">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十一、政府采购情况表</w:t>
      </w:r>
    </w:p>
    <w:p w14:paraId="54BC2532">
      <w:pPr>
        <w:tabs>
          <w:tab w:val="center" w:pos="6979"/>
        </w:tabs>
        <w:spacing w:line="500" w:lineRule="exact"/>
        <w:ind w:firstLine="1600" w:firstLineChars="400"/>
        <w:jc w:val="left"/>
        <w:rPr>
          <w:rFonts w:ascii="宋体" w:hAnsi="宋体" w:cs="宋体"/>
          <w:bCs/>
          <w:spacing w:val="40"/>
          <w:kern w:val="0"/>
          <w:sz w:val="32"/>
          <w:szCs w:val="32"/>
        </w:rPr>
      </w:pPr>
      <w:r>
        <w:rPr>
          <w:rFonts w:hint="eastAsia" w:ascii="宋体" w:hAnsi="宋体" w:cs="宋体"/>
          <w:bCs/>
          <w:spacing w:val="40"/>
          <w:kern w:val="0"/>
          <w:sz w:val="32"/>
          <w:szCs w:val="32"/>
        </w:rPr>
        <w:t xml:space="preserve">第二部分 </w:t>
      </w:r>
      <w:r>
        <w:rPr>
          <w:rFonts w:hint="eastAsia" w:ascii="宋体" w:hAnsi="宋体"/>
          <w:spacing w:val="40"/>
          <w:sz w:val="32"/>
          <w:szCs w:val="32"/>
        </w:rPr>
        <w:t>2025年度部门决算说明</w:t>
      </w:r>
    </w:p>
    <w:p w14:paraId="28F380BF">
      <w:pPr>
        <w:tabs>
          <w:tab w:val="center" w:pos="6979"/>
        </w:tabs>
        <w:spacing w:line="500" w:lineRule="exact"/>
        <w:ind w:firstLine="1600" w:firstLineChars="400"/>
        <w:jc w:val="left"/>
        <w:rPr>
          <w:rFonts w:ascii="宋体" w:hAnsi="宋体" w:cs="宋体"/>
          <w:spacing w:val="40"/>
          <w:kern w:val="0"/>
          <w:sz w:val="32"/>
          <w:szCs w:val="32"/>
        </w:rPr>
      </w:pPr>
      <w:r>
        <w:rPr>
          <w:rFonts w:hint="eastAsia" w:ascii="宋体" w:hAnsi="宋体" w:cs="宋体"/>
          <w:bCs/>
          <w:spacing w:val="40"/>
          <w:kern w:val="0"/>
          <w:sz w:val="32"/>
          <w:szCs w:val="32"/>
        </w:rPr>
        <w:t xml:space="preserve">第三部分 </w:t>
      </w:r>
      <w:r>
        <w:rPr>
          <w:rFonts w:hint="eastAsia" w:ascii="宋体" w:hAnsi="宋体"/>
          <w:spacing w:val="40"/>
          <w:sz w:val="32"/>
          <w:szCs w:val="32"/>
        </w:rPr>
        <w:t>2025年度</w:t>
      </w:r>
      <w:r>
        <w:rPr>
          <w:rFonts w:hint="eastAsia" w:ascii="宋体" w:hAnsi="宋体" w:cs="宋体"/>
          <w:spacing w:val="40"/>
          <w:kern w:val="0"/>
          <w:sz w:val="32"/>
          <w:szCs w:val="32"/>
        </w:rPr>
        <w:t>其他重要事项的情况说明</w:t>
      </w:r>
    </w:p>
    <w:p w14:paraId="0251CD6D">
      <w:pPr>
        <w:tabs>
          <w:tab w:val="center" w:pos="6979"/>
        </w:tabs>
        <w:spacing w:line="500" w:lineRule="exact"/>
        <w:ind w:firstLine="1600" w:firstLineChars="400"/>
        <w:jc w:val="left"/>
        <w:rPr>
          <w:rFonts w:ascii="宋体" w:hAnsi="宋体" w:cs="宋体"/>
          <w:spacing w:val="40"/>
          <w:kern w:val="0"/>
          <w:sz w:val="36"/>
          <w:szCs w:val="32"/>
        </w:rPr>
      </w:pPr>
      <w:r>
        <w:rPr>
          <w:rFonts w:hint="eastAsia" w:ascii="宋体" w:hAnsi="宋体" w:cs="宋体"/>
          <w:spacing w:val="40"/>
          <w:kern w:val="0"/>
          <w:sz w:val="32"/>
          <w:szCs w:val="32"/>
        </w:rPr>
        <w:t>第四部分 2025年度部门绩效评价情况</w:t>
      </w:r>
    </w:p>
    <w:p w14:paraId="6EB9E64C">
      <w:pPr>
        <w:tabs>
          <w:tab w:val="center" w:pos="6979"/>
        </w:tabs>
        <w:spacing w:before="156" w:beforeLines="50" w:after="156" w:afterLines="50"/>
        <w:jc w:val="center"/>
        <w:rPr>
          <w:rFonts w:ascii="宋体" w:hAnsi="宋体" w:cs="宋体"/>
          <w:b/>
          <w:bCs/>
          <w:spacing w:val="40"/>
          <w:kern w:val="0"/>
          <w:sz w:val="32"/>
          <w:szCs w:val="32"/>
        </w:rPr>
      </w:pPr>
    </w:p>
    <w:p w14:paraId="0BBB4FCA">
      <w:pPr>
        <w:tabs>
          <w:tab w:val="center" w:pos="6979"/>
        </w:tabs>
        <w:spacing w:before="156" w:beforeLines="50" w:after="156" w:afterLines="50"/>
        <w:jc w:val="center"/>
        <w:rPr>
          <w:rFonts w:ascii="宋体" w:hAnsi="宋体" w:cs="宋体"/>
          <w:b/>
          <w:bCs/>
          <w:spacing w:val="40"/>
          <w:kern w:val="0"/>
          <w:sz w:val="32"/>
          <w:szCs w:val="32"/>
        </w:rPr>
      </w:pPr>
    </w:p>
    <w:p w14:paraId="51CF84C0">
      <w:pPr>
        <w:tabs>
          <w:tab w:val="center" w:pos="6979"/>
        </w:tabs>
        <w:spacing w:before="156" w:beforeLines="50" w:after="156" w:afterLines="50"/>
        <w:jc w:val="center"/>
        <w:rPr>
          <w:rFonts w:ascii="宋体" w:hAnsi="宋体" w:cs="宋体"/>
          <w:b/>
          <w:bCs/>
          <w:spacing w:val="40"/>
          <w:kern w:val="0"/>
          <w:sz w:val="32"/>
          <w:szCs w:val="32"/>
        </w:rPr>
      </w:pPr>
    </w:p>
    <w:p w14:paraId="354B0F89">
      <w:pPr>
        <w:tabs>
          <w:tab w:val="center" w:pos="6979"/>
        </w:tabs>
        <w:spacing w:before="156" w:beforeLines="50" w:after="156" w:afterLines="50"/>
        <w:jc w:val="center"/>
        <w:rPr>
          <w:rFonts w:ascii="宋体" w:hAnsi="宋体" w:cs="宋体"/>
          <w:b/>
          <w:bCs/>
          <w:spacing w:val="40"/>
          <w:kern w:val="0"/>
          <w:sz w:val="32"/>
          <w:szCs w:val="32"/>
        </w:rPr>
      </w:pPr>
    </w:p>
    <w:p w14:paraId="711EC4F9">
      <w:pPr>
        <w:tabs>
          <w:tab w:val="center" w:pos="6979"/>
        </w:tabs>
        <w:spacing w:before="156" w:beforeLines="50" w:after="156" w:afterLines="50"/>
        <w:jc w:val="center"/>
        <w:rPr>
          <w:rFonts w:ascii="宋体" w:hAnsi="宋体" w:cs="宋体"/>
          <w:b/>
          <w:bCs/>
          <w:spacing w:val="40"/>
          <w:kern w:val="0"/>
          <w:sz w:val="32"/>
          <w:szCs w:val="32"/>
        </w:rPr>
      </w:pPr>
    </w:p>
    <w:p w14:paraId="2C51ADAD">
      <w:pPr>
        <w:tabs>
          <w:tab w:val="center" w:pos="6979"/>
        </w:tabs>
        <w:spacing w:before="156" w:beforeLines="50" w:after="156" w:afterLines="50"/>
        <w:jc w:val="center"/>
        <w:rPr>
          <w:rFonts w:ascii="宋体" w:hAnsi="宋体" w:cs="宋体"/>
          <w:b/>
          <w:bCs/>
          <w:spacing w:val="40"/>
          <w:kern w:val="0"/>
          <w:sz w:val="32"/>
          <w:szCs w:val="32"/>
        </w:rPr>
      </w:pPr>
      <w:r>
        <w:rPr>
          <w:rFonts w:hint="eastAsia" w:ascii="宋体" w:hAnsi="宋体" w:cs="宋体"/>
          <w:b/>
          <w:bCs/>
          <w:spacing w:val="40"/>
          <w:kern w:val="0"/>
          <w:sz w:val="44"/>
          <w:szCs w:val="44"/>
        </w:rPr>
        <w:t>第一部分 2025年度部门决算报表</w:t>
      </w:r>
    </w:p>
    <w:p w14:paraId="084530DF">
      <w:pPr>
        <w:pStyle w:val="2"/>
        <w:rPr>
          <w:b w:val="0"/>
          <w:bCs w:val="0"/>
        </w:rPr>
        <w:sectPr>
          <w:footerReference r:id="rId3" w:type="default"/>
          <w:pgSz w:w="16838" w:h="11906" w:orient="landscape"/>
          <w:pgMar w:top="1134" w:right="1134" w:bottom="1134" w:left="1134" w:header="851" w:footer="992" w:gutter="0"/>
          <w:cols w:space="720" w:num="1"/>
          <w:docGrid w:type="linesAndChars" w:linePitch="312" w:charSpace="0"/>
        </w:sectPr>
      </w:pPr>
      <w:r>
        <w:rPr>
          <w:rFonts w:hint="eastAsia" w:ascii="仿宋_GB2312" w:eastAsia="仿宋_GB2312"/>
          <w:sz w:val="28"/>
          <w:szCs w:val="28"/>
        </w:rPr>
        <w:t xml:space="preserve">   </w:t>
      </w:r>
      <w:r>
        <w:rPr>
          <w:rFonts w:hint="eastAsia" w:ascii="仿宋_GB2312" w:eastAsia="仿宋_GB2312"/>
          <w:b w:val="0"/>
          <w:bCs w:val="0"/>
          <w:sz w:val="28"/>
          <w:szCs w:val="28"/>
        </w:rPr>
        <w:t>报表详见附件。</w:t>
      </w:r>
    </w:p>
    <w:p w14:paraId="6A70A85F">
      <w:pPr>
        <w:tabs>
          <w:tab w:val="center" w:pos="6979"/>
        </w:tabs>
        <w:spacing w:before="156" w:beforeLines="50" w:after="156" w:afterLines="50"/>
        <w:jc w:val="center"/>
        <w:rPr>
          <w:rFonts w:ascii="宋体" w:hAnsi="宋体"/>
          <w:b/>
          <w:sz w:val="32"/>
          <w:szCs w:val="32"/>
        </w:rPr>
      </w:pPr>
      <w:r>
        <w:rPr>
          <w:rFonts w:hint="eastAsia" w:ascii="宋体" w:hAnsi="宋体" w:cs="宋体"/>
          <w:b/>
          <w:bCs/>
          <w:spacing w:val="40"/>
          <w:kern w:val="0"/>
          <w:sz w:val="32"/>
          <w:szCs w:val="32"/>
        </w:rPr>
        <w:t xml:space="preserve">第二部分 </w:t>
      </w:r>
      <w:r>
        <w:rPr>
          <w:rFonts w:hint="eastAsia" w:ascii="宋体" w:hAnsi="宋体"/>
          <w:b/>
          <w:spacing w:val="40"/>
          <w:sz w:val="32"/>
          <w:szCs w:val="32"/>
        </w:rPr>
        <w:t>2025年度部门决算说明</w:t>
      </w:r>
    </w:p>
    <w:p w14:paraId="763ACDB5">
      <w:pPr>
        <w:tabs>
          <w:tab w:val="center" w:pos="6979"/>
        </w:tabs>
        <w:spacing w:line="580" w:lineRule="exact"/>
        <w:ind w:firstLine="548" w:firstLineChars="196"/>
        <w:rPr>
          <w:rFonts w:ascii="黑体" w:eastAsia="黑体"/>
          <w:b/>
          <w:sz w:val="28"/>
          <w:szCs w:val="28"/>
        </w:rPr>
      </w:pPr>
      <w:r>
        <w:rPr>
          <w:rFonts w:hint="eastAsia" w:ascii="黑体" w:eastAsia="黑体"/>
          <w:b/>
          <w:sz w:val="28"/>
          <w:szCs w:val="28"/>
        </w:rPr>
        <w:t>一、部门/单位基本情况</w:t>
      </w:r>
    </w:p>
    <w:p w14:paraId="7723F6CB">
      <w:pPr>
        <w:tabs>
          <w:tab w:val="center" w:pos="6979"/>
        </w:tabs>
        <w:spacing w:line="580" w:lineRule="exact"/>
        <w:ind w:firstLine="700" w:firstLineChars="250"/>
        <w:rPr>
          <w:rFonts w:hint="eastAsia" w:ascii="仿宋_GB2312" w:eastAsia="仿宋_GB2312"/>
          <w:sz w:val="28"/>
          <w:szCs w:val="28"/>
        </w:rPr>
      </w:pPr>
      <w:r>
        <w:rPr>
          <w:rFonts w:hint="eastAsia" w:ascii="仿宋_GB2312" w:eastAsia="仿宋_GB2312"/>
          <w:sz w:val="28"/>
          <w:szCs w:val="28"/>
        </w:rPr>
        <w:t>（一</w:t>
      </w:r>
      <w:r>
        <w:rPr>
          <w:rFonts w:ascii="仿宋_GB2312" w:eastAsia="仿宋_GB2312"/>
          <w:sz w:val="28"/>
          <w:szCs w:val="28"/>
        </w:rPr>
        <w:t>）</w:t>
      </w:r>
      <w:r>
        <w:rPr>
          <w:rFonts w:hint="eastAsia" w:ascii="仿宋_GB2312" w:eastAsia="仿宋_GB2312"/>
          <w:sz w:val="28"/>
          <w:szCs w:val="28"/>
        </w:rPr>
        <w:t>本部门职责情况</w:t>
      </w:r>
    </w:p>
    <w:p w14:paraId="7907D3F2">
      <w:pPr>
        <w:tabs>
          <w:tab w:val="center" w:pos="6979"/>
        </w:tabs>
        <w:spacing w:line="580" w:lineRule="exact"/>
        <w:ind w:firstLine="560" w:firstLineChars="200"/>
      </w:pPr>
      <w:r>
        <w:rPr>
          <w:rFonts w:hint="eastAsia" w:ascii="仿宋_GB2312" w:hAnsi="Calibri" w:eastAsia="仿宋_GB2312" w:cs="Times New Roman"/>
          <w:sz w:val="28"/>
          <w:szCs w:val="28"/>
        </w:rPr>
        <w:t>清水镇人民政府隶属于门头沟区人民政府，属于政府职能部门，其职责是加强对清水镇经济和社会发展的统筹规划和组织协调服务；加强社会主义民主政治和法治建设，依法行政，规范管理；完善农村社会化服务体系，为农业和农村经济发展创造条件。</w:t>
      </w:r>
    </w:p>
    <w:p w14:paraId="6BBC702E">
      <w:pPr>
        <w:numPr>
          <w:ilvl w:val="0"/>
          <w:numId w:val="1"/>
        </w:numPr>
        <w:tabs>
          <w:tab w:val="center" w:pos="6979"/>
        </w:tabs>
        <w:spacing w:line="580" w:lineRule="exact"/>
        <w:ind w:firstLine="700" w:firstLineChars="250"/>
        <w:rPr>
          <w:rFonts w:hint="eastAsia" w:ascii="仿宋_GB2312" w:eastAsia="仿宋_GB2312"/>
          <w:sz w:val="28"/>
          <w:szCs w:val="28"/>
        </w:rPr>
      </w:pPr>
      <w:r>
        <w:rPr>
          <w:rFonts w:hint="eastAsia" w:ascii="仿宋_GB2312" w:eastAsia="仿宋_GB2312"/>
          <w:sz w:val="28"/>
          <w:szCs w:val="28"/>
        </w:rPr>
        <w:t>机构</w:t>
      </w:r>
      <w:r>
        <w:rPr>
          <w:rFonts w:ascii="仿宋_GB2312" w:eastAsia="仿宋_GB2312"/>
          <w:sz w:val="28"/>
          <w:szCs w:val="28"/>
        </w:rPr>
        <w:t>设置</w:t>
      </w:r>
      <w:r>
        <w:rPr>
          <w:rFonts w:hint="eastAsia" w:ascii="仿宋_GB2312" w:eastAsia="仿宋_GB2312"/>
          <w:sz w:val="28"/>
          <w:szCs w:val="28"/>
        </w:rPr>
        <w:t>情况</w:t>
      </w:r>
    </w:p>
    <w:p w14:paraId="4B8B774B">
      <w:pPr>
        <w:numPr>
          <w:ilvl w:val="0"/>
          <w:numId w:val="0"/>
        </w:numPr>
        <w:tabs>
          <w:tab w:val="center" w:pos="6979"/>
        </w:tabs>
        <w:spacing w:line="580" w:lineRule="exact"/>
        <w:ind w:firstLine="560" w:firstLineChars="200"/>
        <w:rPr>
          <w:rFonts w:hint="eastAsia" w:ascii="仿宋_GB2312" w:eastAsia="仿宋_GB2312"/>
          <w:sz w:val="28"/>
          <w:szCs w:val="28"/>
        </w:rPr>
      </w:pPr>
      <w:r>
        <w:rPr>
          <w:rFonts w:hint="eastAsia" w:ascii="仿宋_GB2312" w:eastAsia="仿宋_GB2312"/>
          <w:sz w:val="28"/>
          <w:szCs w:val="28"/>
        </w:rPr>
        <w:t>清水镇人民政府属于一级预算单位，包括一个行政单位及五个事业单位，即清水镇人民政府，便民服务中心（退役军人服务站），区域经济发展服务中心，农村经济经营管理站（农村三资管理服务中心），市民活动中心，市民诉求处置中心。</w:t>
      </w:r>
    </w:p>
    <w:p w14:paraId="30A08DDC">
      <w:pPr>
        <w:tabs>
          <w:tab w:val="center" w:pos="6979"/>
        </w:tabs>
        <w:spacing w:line="580" w:lineRule="exact"/>
        <w:rPr>
          <w:rFonts w:ascii="黑体" w:eastAsia="黑体"/>
          <w:b/>
          <w:sz w:val="28"/>
          <w:szCs w:val="28"/>
        </w:rPr>
      </w:pPr>
      <w:r>
        <w:rPr>
          <w:rFonts w:hint="eastAsia" w:ascii="仿宋_GB2312" w:eastAsia="仿宋_GB2312"/>
          <w:b/>
          <w:sz w:val="32"/>
          <w:szCs w:val="32"/>
        </w:rPr>
        <w:t xml:space="preserve">   </w:t>
      </w:r>
      <w:r>
        <w:rPr>
          <w:rFonts w:hint="eastAsia" w:ascii="黑体" w:eastAsia="黑体"/>
          <w:b/>
          <w:sz w:val="28"/>
          <w:szCs w:val="28"/>
        </w:rPr>
        <w:t>二、收入支出决算总体情况说明</w:t>
      </w:r>
    </w:p>
    <w:p w14:paraId="72239E1B">
      <w:pPr>
        <w:tabs>
          <w:tab w:val="center" w:pos="6979"/>
        </w:tabs>
        <w:spacing w:line="580" w:lineRule="exact"/>
        <w:ind w:firstLine="570"/>
        <w:rPr>
          <w:rFonts w:ascii="仿宋_GB2312" w:eastAsia="仿宋_GB2312"/>
          <w:sz w:val="28"/>
          <w:szCs w:val="28"/>
        </w:rPr>
      </w:pPr>
      <w:r>
        <w:rPr>
          <w:rFonts w:hint="eastAsia" w:ascii="仿宋_GB2312" w:eastAsia="仿宋_GB2312"/>
          <w:sz w:val="28"/>
          <w:szCs w:val="28"/>
        </w:rPr>
        <w:t>2025年度收、</w:t>
      </w:r>
      <w:r>
        <w:rPr>
          <w:rFonts w:ascii="仿宋_GB2312" w:eastAsia="仿宋_GB2312"/>
          <w:sz w:val="28"/>
          <w:szCs w:val="28"/>
        </w:rPr>
        <w:t>支</w:t>
      </w:r>
      <w:r>
        <w:rPr>
          <w:rFonts w:hint="eastAsia" w:ascii="仿宋_GB2312" w:eastAsia="仿宋_GB2312"/>
          <w:sz w:val="28"/>
          <w:szCs w:val="28"/>
        </w:rPr>
        <w:t>总计</w:t>
      </w:r>
      <w:r>
        <w:rPr>
          <w:rFonts w:ascii="仿宋_GB2312" w:eastAsia="仿宋_GB2312"/>
          <w:sz w:val="28"/>
          <w:szCs w:val="28"/>
        </w:rPr>
        <w:t>247</w:t>
      </w:r>
      <w:r>
        <w:rPr>
          <w:rFonts w:hint="eastAsia" w:ascii="仿宋_GB2312" w:eastAsia="仿宋_GB2312"/>
          <w:sz w:val="28"/>
          <w:szCs w:val="28"/>
          <w:lang w:val="en-US" w:eastAsia="zh-CN"/>
        </w:rPr>
        <w:t>,</w:t>
      </w:r>
      <w:r>
        <w:rPr>
          <w:rFonts w:ascii="仿宋_GB2312" w:eastAsia="仿宋_GB2312"/>
          <w:sz w:val="28"/>
          <w:szCs w:val="28"/>
        </w:rPr>
        <w:t>417</w:t>
      </w:r>
      <w:r>
        <w:rPr>
          <w:rFonts w:hint="eastAsia" w:ascii="仿宋_GB2312" w:eastAsia="仿宋_GB2312"/>
          <w:sz w:val="28"/>
          <w:szCs w:val="28"/>
          <w:lang w:val="en-US" w:eastAsia="zh-CN"/>
        </w:rPr>
        <w:t>,</w:t>
      </w:r>
      <w:r>
        <w:rPr>
          <w:rFonts w:ascii="仿宋_GB2312" w:eastAsia="仿宋_GB2312"/>
          <w:sz w:val="28"/>
          <w:szCs w:val="28"/>
        </w:rPr>
        <w:t>706.18</w:t>
      </w:r>
      <w:r>
        <w:rPr>
          <w:rFonts w:hint="eastAsia" w:ascii="仿宋_GB2312" w:eastAsia="仿宋_GB2312"/>
          <w:sz w:val="28"/>
          <w:szCs w:val="28"/>
        </w:rPr>
        <w:t>元，</w:t>
      </w:r>
      <w:r>
        <w:rPr>
          <w:rFonts w:ascii="仿宋_GB2312" w:eastAsia="仿宋_GB2312"/>
          <w:sz w:val="28"/>
          <w:szCs w:val="28"/>
        </w:rPr>
        <w:t>比上年</w:t>
      </w:r>
      <w:r>
        <w:rPr>
          <w:rFonts w:hint="eastAsia" w:ascii="仿宋_GB2312" w:eastAsia="仿宋_GB2312"/>
          <w:sz w:val="28"/>
          <w:szCs w:val="28"/>
        </w:rPr>
        <w:t>减少93</w:t>
      </w:r>
      <w:r>
        <w:rPr>
          <w:rFonts w:hint="eastAsia" w:ascii="仿宋_GB2312" w:eastAsia="仿宋_GB2312"/>
          <w:sz w:val="28"/>
          <w:szCs w:val="28"/>
          <w:lang w:val="en-US" w:eastAsia="zh-CN"/>
        </w:rPr>
        <w:t>,</w:t>
      </w:r>
      <w:r>
        <w:rPr>
          <w:rFonts w:hint="eastAsia" w:ascii="仿宋_GB2312" w:eastAsia="仿宋_GB2312"/>
          <w:sz w:val="28"/>
          <w:szCs w:val="28"/>
        </w:rPr>
        <w:t>986</w:t>
      </w:r>
      <w:r>
        <w:rPr>
          <w:rFonts w:hint="eastAsia" w:ascii="仿宋_GB2312" w:eastAsia="仿宋_GB2312"/>
          <w:sz w:val="28"/>
          <w:szCs w:val="28"/>
          <w:lang w:val="en-US" w:eastAsia="zh-CN"/>
        </w:rPr>
        <w:t>,</w:t>
      </w:r>
      <w:r>
        <w:rPr>
          <w:rFonts w:hint="eastAsia" w:ascii="仿宋_GB2312" w:eastAsia="仿宋_GB2312"/>
          <w:sz w:val="28"/>
          <w:szCs w:val="28"/>
        </w:rPr>
        <w:t>837.06元，下降27.5%。</w:t>
      </w:r>
    </w:p>
    <w:p w14:paraId="6010C1BF">
      <w:pPr>
        <w:tabs>
          <w:tab w:val="center" w:pos="6979"/>
        </w:tabs>
        <w:spacing w:line="580" w:lineRule="exact"/>
        <w:ind w:firstLine="570"/>
        <w:rPr>
          <w:rFonts w:ascii="仿宋_GB2312" w:eastAsia="仿宋_GB2312"/>
          <w:sz w:val="28"/>
          <w:szCs w:val="28"/>
        </w:rPr>
      </w:pPr>
      <w:r>
        <w:rPr>
          <w:rFonts w:hint="eastAsia" w:ascii="仿宋_GB2312" w:eastAsia="仿宋_GB2312"/>
          <w:sz w:val="28"/>
          <w:szCs w:val="28"/>
        </w:rPr>
        <w:t>（一</w:t>
      </w:r>
      <w:r>
        <w:rPr>
          <w:rFonts w:ascii="仿宋_GB2312" w:eastAsia="仿宋_GB2312"/>
          <w:sz w:val="28"/>
          <w:szCs w:val="28"/>
        </w:rPr>
        <w:t>）</w:t>
      </w:r>
      <w:r>
        <w:rPr>
          <w:rFonts w:hint="eastAsia" w:ascii="仿宋_GB2312" w:eastAsia="仿宋_GB2312"/>
          <w:sz w:val="28"/>
          <w:szCs w:val="28"/>
        </w:rPr>
        <w:t>收入决算</w:t>
      </w:r>
      <w:r>
        <w:rPr>
          <w:rFonts w:ascii="仿宋_GB2312" w:eastAsia="仿宋_GB2312"/>
          <w:sz w:val="28"/>
          <w:szCs w:val="28"/>
        </w:rPr>
        <w:t>说明</w:t>
      </w:r>
    </w:p>
    <w:p w14:paraId="5F5C2354">
      <w:pPr>
        <w:tabs>
          <w:tab w:val="center" w:pos="6979"/>
        </w:tabs>
        <w:spacing w:line="580" w:lineRule="exact"/>
        <w:ind w:firstLine="570"/>
        <w:rPr>
          <w:rFonts w:ascii="仿宋_GB2312" w:eastAsia="仿宋_GB2312"/>
          <w:sz w:val="28"/>
          <w:szCs w:val="28"/>
        </w:rPr>
      </w:pPr>
      <w:r>
        <w:rPr>
          <w:rFonts w:hint="eastAsia" w:ascii="仿宋_GB2312" w:eastAsia="仿宋_GB2312"/>
          <w:sz w:val="28"/>
          <w:szCs w:val="28"/>
        </w:rPr>
        <w:t>2025年度本年收入合计</w:t>
      </w:r>
      <w:r>
        <w:rPr>
          <w:rFonts w:ascii="仿宋_GB2312" w:eastAsia="仿宋_GB2312"/>
          <w:sz w:val="28"/>
          <w:szCs w:val="28"/>
        </w:rPr>
        <w:t>246</w:t>
      </w:r>
      <w:r>
        <w:rPr>
          <w:rFonts w:hint="eastAsia" w:ascii="仿宋_GB2312" w:eastAsia="仿宋_GB2312"/>
          <w:sz w:val="28"/>
          <w:szCs w:val="28"/>
          <w:lang w:val="en-US" w:eastAsia="zh-CN"/>
        </w:rPr>
        <w:t>,</w:t>
      </w:r>
      <w:r>
        <w:rPr>
          <w:rFonts w:ascii="仿宋_GB2312" w:eastAsia="仿宋_GB2312"/>
          <w:sz w:val="28"/>
          <w:szCs w:val="28"/>
        </w:rPr>
        <w:t>935</w:t>
      </w:r>
      <w:r>
        <w:rPr>
          <w:rFonts w:hint="eastAsia" w:ascii="仿宋_GB2312" w:eastAsia="仿宋_GB2312"/>
          <w:sz w:val="28"/>
          <w:szCs w:val="28"/>
          <w:lang w:val="en-US" w:eastAsia="zh-CN"/>
        </w:rPr>
        <w:t>,</w:t>
      </w:r>
      <w:r>
        <w:rPr>
          <w:rFonts w:ascii="仿宋_GB2312" w:eastAsia="仿宋_GB2312"/>
          <w:sz w:val="28"/>
          <w:szCs w:val="28"/>
        </w:rPr>
        <w:t>106.18</w:t>
      </w:r>
      <w:r>
        <w:rPr>
          <w:rFonts w:hint="eastAsia" w:ascii="仿宋_GB2312" w:eastAsia="仿宋_GB2312"/>
          <w:sz w:val="28"/>
          <w:szCs w:val="28"/>
        </w:rPr>
        <w:t>元，</w:t>
      </w:r>
      <w:r>
        <w:rPr>
          <w:rFonts w:ascii="仿宋_GB2312" w:eastAsia="仿宋_GB2312"/>
          <w:sz w:val="28"/>
          <w:szCs w:val="28"/>
        </w:rPr>
        <w:t>比上年</w:t>
      </w:r>
      <w:r>
        <w:rPr>
          <w:rFonts w:hint="eastAsia" w:ascii="仿宋_GB2312" w:eastAsia="仿宋_GB2312"/>
          <w:sz w:val="28"/>
          <w:szCs w:val="28"/>
        </w:rPr>
        <w:t>减少89</w:t>
      </w:r>
      <w:r>
        <w:rPr>
          <w:rFonts w:hint="eastAsia" w:ascii="仿宋_GB2312" w:eastAsia="仿宋_GB2312"/>
          <w:sz w:val="28"/>
          <w:szCs w:val="28"/>
          <w:lang w:val="en-US" w:eastAsia="zh-CN"/>
        </w:rPr>
        <w:t>,</w:t>
      </w:r>
      <w:r>
        <w:rPr>
          <w:rFonts w:hint="eastAsia" w:ascii="仿宋_GB2312" w:eastAsia="仿宋_GB2312"/>
          <w:sz w:val="28"/>
          <w:szCs w:val="28"/>
        </w:rPr>
        <w:t>728</w:t>
      </w:r>
      <w:r>
        <w:rPr>
          <w:rFonts w:hint="eastAsia" w:ascii="仿宋_GB2312" w:eastAsia="仿宋_GB2312"/>
          <w:sz w:val="28"/>
          <w:szCs w:val="28"/>
          <w:lang w:val="en-US" w:eastAsia="zh-CN"/>
        </w:rPr>
        <w:t>,</w:t>
      </w:r>
      <w:r>
        <w:rPr>
          <w:rFonts w:hint="eastAsia" w:ascii="仿宋_GB2312" w:eastAsia="仿宋_GB2312"/>
          <w:sz w:val="28"/>
          <w:szCs w:val="28"/>
        </w:rPr>
        <w:t>876.79元，下降26.</w:t>
      </w:r>
      <w:r>
        <w:rPr>
          <w:rFonts w:hint="eastAsia" w:ascii="仿宋_GB2312" w:eastAsia="仿宋_GB2312"/>
          <w:sz w:val="28"/>
          <w:szCs w:val="28"/>
          <w:lang w:val="en-US" w:eastAsia="zh-CN"/>
        </w:rPr>
        <w:t>7</w:t>
      </w:r>
      <w:r>
        <w:rPr>
          <w:rFonts w:hint="eastAsia" w:ascii="仿宋_GB2312" w:eastAsia="仿宋_GB2312"/>
          <w:sz w:val="28"/>
          <w:szCs w:val="28"/>
        </w:rPr>
        <w:t>%。</w:t>
      </w:r>
    </w:p>
    <w:p w14:paraId="27E9AE9D">
      <w:pPr>
        <w:tabs>
          <w:tab w:val="center" w:pos="6979"/>
        </w:tabs>
        <w:spacing w:line="580" w:lineRule="exact"/>
        <w:ind w:firstLine="560" w:firstLineChars="200"/>
        <w:rPr>
          <w:rFonts w:ascii="仿宋_GB2312" w:eastAsia="仿宋_GB2312"/>
          <w:sz w:val="28"/>
          <w:szCs w:val="28"/>
        </w:rPr>
      </w:pPr>
      <w:r>
        <w:rPr>
          <w:rFonts w:hint="eastAsia" w:ascii="仿宋_GB2312" w:eastAsia="仿宋_GB2312"/>
          <w:sz w:val="28"/>
          <w:szCs w:val="28"/>
        </w:rPr>
        <w:t>1.财政拨款收入</w:t>
      </w:r>
      <w:r>
        <w:rPr>
          <w:rFonts w:ascii="仿宋_GB2312" w:eastAsia="仿宋_GB2312"/>
          <w:sz w:val="28"/>
          <w:szCs w:val="28"/>
        </w:rPr>
        <w:t>246</w:t>
      </w:r>
      <w:r>
        <w:rPr>
          <w:rFonts w:hint="eastAsia" w:ascii="仿宋_GB2312" w:eastAsia="仿宋_GB2312"/>
          <w:sz w:val="28"/>
          <w:szCs w:val="28"/>
          <w:lang w:val="en-US" w:eastAsia="zh-CN"/>
        </w:rPr>
        <w:t>,</w:t>
      </w:r>
      <w:r>
        <w:rPr>
          <w:rFonts w:ascii="仿宋_GB2312" w:eastAsia="仿宋_GB2312"/>
          <w:sz w:val="28"/>
          <w:szCs w:val="28"/>
        </w:rPr>
        <w:t>935</w:t>
      </w:r>
      <w:r>
        <w:rPr>
          <w:rFonts w:hint="eastAsia" w:ascii="仿宋_GB2312" w:eastAsia="仿宋_GB2312"/>
          <w:sz w:val="28"/>
          <w:szCs w:val="28"/>
          <w:lang w:val="en-US" w:eastAsia="zh-CN"/>
        </w:rPr>
        <w:t>,</w:t>
      </w:r>
      <w:r>
        <w:rPr>
          <w:rFonts w:ascii="仿宋_GB2312" w:eastAsia="仿宋_GB2312"/>
          <w:sz w:val="28"/>
          <w:szCs w:val="28"/>
        </w:rPr>
        <w:t>106.18</w:t>
      </w:r>
      <w:r>
        <w:rPr>
          <w:rFonts w:hint="eastAsia" w:ascii="仿宋_GB2312" w:eastAsia="仿宋_GB2312"/>
          <w:sz w:val="28"/>
          <w:szCs w:val="28"/>
        </w:rPr>
        <w:t>元，占收入合计的100%。其中：一般公共预算财政拨款收入</w:t>
      </w:r>
      <w:r>
        <w:rPr>
          <w:rFonts w:ascii="仿宋_GB2312" w:eastAsia="仿宋_GB2312"/>
          <w:sz w:val="28"/>
          <w:szCs w:val="28"/>
        </w:rPr>
        <w:t>24</w:t>
      </w:r>
      <w:r>
        <w:rPr>
          <w:rFonts w:hint="eastAsia" w:ascii="仿宋_GB2312" w:eastAsia="仿宋_GB2312"/>
          <w:sz w:val="28"/>
          <w:szCs w:val="28"/>
          <w:lang w:val="en-US" w:eastAsia="zh-CN"/>
        </w:rPr>
        <w:t>,</w:t>
      </w:r>
      <w:r>
        <w:rPr>
          <w:rFonts w:ascii="仿宋_GB2312" w:eastAsia="仿宋_GB2312"/>
          <w:sz w:val="28"/>
          <w:szCs w:val="28"/>
        </w:rPr>
        <w:t>6425</w:t>
      </w:r>
      <w:r>
        <w:rPr>
          <w:rFonts w:hint="eastAsia" w:ascii="仿宋_GB2312" w:eastAsia="仿宋_GB2312"/>
          <w:sz w:val="28"/>
          <w:szCs w:val="28"/>
          <w:lang w:val="en-US" w:eastAsia="zh-CN"/>
        </w:rPr>
        <w:t>,</w:t>
      </w:r>
      <w:r>
        <w:rPr>
          <w:rFonts w:ascii="仿宋_GB2312" w:eastAsia="仿宋_GB2312"/>
          <w:sz w:val="28"/>
          <w:szCs w:val="28"/>
        </w:rPr>
        <w:t>194.46</w:t>
      </w:r>
      <w:r>
        <w:rPr>
          <w:rFonts w:hint="eastAsia" w:ascii="仿宋_GB2312" w:eastAsia="仿宋_GB2312"/>
          <w:sz w:val="28"/>
          <w:szCs w:val="28"/>
        </w:rPr>
        <w:t>元，占收入合计的99.</w:t>
      </w:r>
      <w:r>
        <w:rPr>
          <w:rFonts w:hint="eastAsia" w:ascii="仿宋_GB2312" w:eastAsia="仿宋_GB2312"/>
          <w:sz w:val="28"/>
          <w:szCs w:val="28"/>
          <w:lang w:val="en-US" w:eastAsia="zh-CN"/>
        </w:rPr>
        <w:t>8</w:t>
      </w:r>
      <w:r>
        <w:rPr>
          <w:rFonts w:hint="eastAsia" w:ascii="仿宋_GB2312" w:eastAsia="仿宋_GB2312"/>
          <w:sz w:val="28"/>
          <w:szCs w:val="28"/>
        </w:rPr>
        <w:t>%；政府性基金预算财政拨款收入</w:t>
      </w:r>
      <w:r>
        <w:rPr>
          <w:rFonts w:ascii="仿宋_GB2312" w:eastAsia="仿宋_GB2312"/>
          <w:sz w:val="28"/>
          <w:szCs w:val="28"/>
        </w:rPr>
        <w:t>445</w:t>
      </w:r>
      <w:r>
        <w:rPr>
          <w:rFonts w:hint="eastAsia" w:ascii="仿宋_GB2312" w:eastAsia="仿宋_GB2312"/>
          <w:sz w:val="28"/>
          <w:szCs w:val="28"/>
          <w:lang w:val="en-US" w:eastAsia="zh-CN"/>
        </w:rPr>
        <w:t>,</w:t>
      </w:r>
      <w:r>
        <w:rPr>
          <w:rFonts w:ascii="仿宋_GB2312" w:eastAsia="仿宋_GB2312"/>
          <w:sz w:val="28"/>
          <w:szCs w:val="28"/>
        </w:rPr>
        <w:t>729.2</w:t>
      </w:r>
      <w:r>
        <w:rPr>
          <w:rFonts w:hint="eastAsia" w:ascii="仿宋_GB2312" w:eastAsia="仿宋_GB2312"/>
          <w:sz w:val="28"/>
          <w:szCs w:val="28"/>
        </w:rPr>
        <w:t>元，占收入合计的0.</w:t>
      </w:r>
      <w:r>
        <w:rPr>
          <w:rFonts w:hint="eastAsia" w:ascii="仿宋_GB2312" w:eastAsia="仿宋_GB2312"/>
          <w:sz w:val="28"/>
          <w:szCs w:val="28"/>
          <w:lang w:val="en-US" w:eastAsia="zh-CN"/>
        </w:rPr>
        <w:t>2</w:t>
      </w:r>
      <w:r>
        <w:rPr>
          <w:rFonts w:hint="eastAsia" w:ascii="仿宋_GB2312" w:eastAsia="仿宋_GB2312"/>
          <w:sz w:val="28"/>
          <w:szCs w:val="28"/>
        </w:rPr>
        <w:t>%；国有资本经营预算财政拨款收入</w:t>
      </w:r>
      <w:r>
        <w:rPr>
          <w:rFonts w:ascii="仿宋_GB2312" w:eastAsia="仿宋_GB2312"/>
          <w:sz w:val="28"/>
          <w:szCs w:val="28"/>
        </w:rPr>
        <w:t>64</w:t>
      </w:r>
      <w:r>
        <w:rPr>
          <w:rFonts w:hint="eastAsia" w:ascii="仿宋_GB2312" w:eastAsia="仿宋_GB2312"/>
          <w:sz w:val="28"/>
          <w:szCs w:val="28"/>
          <w:lang w:val="en-US" w:eastAsia="zh-CN"/>
        </w:rPr>
        <w:t>,</w:t>
      </w:r>
      <w:r>
        <w:rPr>
          <w:rFonts w:ascii="仿宋_GB2312" w:eastAsia="仿宋_GB2312"/>
          <w:sz w:val="28"/>
          <w:szCs w:val="28"/>
        </w:rPr>
        <w:t>182.52</w:t>
      </w:r>
      <w:r>
        <w:rPr>
          <w:rFonts w:hint="eastAsia" w:ascii="仿宋_GB2312" w:eastAsia="仿宋_GB2312"/>
          <w:sz w:val="28"/>
          <w:szCs w:val="28"/>
        </w:rPr>
        <w:t>元，占收入合计的0.03%；</w:t>
      </w:r>
    </w:p>
    <w:p w14:paraId="154AABE9">
      <w:pPr>
        <w:tabs>
          <w:tab w:val="center" w:pos="6979"/>
        </w:tabs>
        <w:spacing w:line="580" w:lineRule="exact"/>
        <w:ind w:firstLine="560" w:firstLineChars="200"/>
        <w:rPr>
          <w:rFonts w:ascii="仿宋_GB2312" w:eastAsia="仿宋_GB2312"/>
          <w:sz w:val="28"/>
          <w:szCs w:val="28"/>
        </w:rPr>
      </w:pPr>
      <w:r>
        <w:rPr>
          <w:rFonts w:hint="eastAsia" w:ascii="仿宋_GB2312" w:eastAsia="仿宋_GB2312"/>
          <w:sz w:val="28"/>
          <w:szCs w:val="28"/>
        </w:rPr>
        <w:t>2.上级补助收入</w:t>
      </w:r>
      <w:r>
        <w:rPr>
          <w:rFonts w:ascii="仿宋_GB2312" w:eastAsia="仿宋_GB2312"/>
          <w:sz w:val="28"/>
          <w:szCs w:val="28"/>
        </w:rPr>
        <w:t>0</w:t>
      </w:r>
      <w:r>
        <w:rPr>
          <w:rFonts w:hint="eastAsia" w:ascii="仿宋_GB2312" w:eastAsia="仿宋_GB2312"/>
          <w:sz w:val="28"/>
          <w:szCs w:val="28"/>
        </w:rPr>
        <w:t>元，占收入合计的0%；</w:t>
      </w:r>
    </w:p>
    <w:p w14:paraId="2631587F">
      <w:pPr>
        <w:tabs>
          <w:tab w:val="center" w:pos="6979"/>
        </w:tabs>
        <w:spacing w:line="580" w:lineRule="exact"/>
        <w:ind w:firstLine="560" w:firstLineChars="200"/>
        <w:rPr>
          <w:rFonts w:ascii="仿宋_GB2312" w:eastAsia="仿宋_GB2312"/>
          <w:sz w:val="28"/>
          <w:szCs w:val="28"/>
        </w:rPr>
      </w:pPr>
      <w:r>
        <w:rPr>
          <w:rFonts w:hint="eastAsia" w:ascii="仿宋_GB2312" w:eastAsia="仿宋_GB2312"/>
          <w:sz w:val="28"/>
          <w:szCs w:val="28"/>
        </w:rPr>
        <w:t>3.事业收入</w:t>
      </w:r>
      <w:r>
        <w:rPr>
          <w:rFonts w:ascii="仿宋_GB2312" w:eastAsia="仿宋_GB2312"/>
          <w:sz w:val="28"/>
          <w:szCs w:val="28"/>
        </w:rPr>
        <w:t>0</w:t>
      </w:r>
      <w:r>
        <w:rPr>
          <w:rFonts w:hint="eastAsia" w:ascii="仿宋_GB2312" w:eastAsia="仿宋_GB2312"/>
          <w:sz w:val="28"/>
          <w:szCs w:val="28"/>
        </w:rPr>
        <w:t>元，占收入合计的0%；</w:t>
      </w:r>
    </w:p>
    <w:p w14:paraId="15C2612A">
      <w:pPr>
        <w:tabs>
          <w:tab w:val="center" w:pos="6979"/>
        </w:tabs>
        <w:spacing w:line="580" w:lineRule="exact"/>
        <w:ind w:firstLine="560" w:firstLineChars="200"/>
        <w:rPr>
          <w:rFonts w:ascii="仿宋_GB2312" w:eastAsia="仿宋_GB2312"/>
          <w:sz w:val="28"/>
          <w:szCs w:val="28"/>
        </w:rPr>
      </w:pPr>
      <w:r>
        <w:rPr>
          <w:rFonts w:hint="eastAsia" w:ascii="仿宋_GB2312" w:eastAsia="仿宋_GB2312"/>
          <w:sz w:val="28"/>
          <w:szCs w:val="28"/>
        </w:rPr>
        <w:t>4.经营收入</w:t>
      </w:r>
      <w:r>
        <w:rPr>
          <w:rFonts w:ascii="仿宋_GB2312" w:eastAsia="仿宋_GB2312"/>
          <w:sz w:val="28"/>
          <w:szCs w:val="28"/>
        </w:rPr>
        <w:t>0</w:t>
      </w:r>
      <w:r>
        <w:rPr>
          <w:rFonts w:hint="eastAsia" w:ascii="仿宋_GB2312" w:eastAsia="仿宋_GB2312"/>
          <w:sz w:val="28"/>
          <w:szCs w:val="28"/>
        </w:rPr>
        <w:t>元，占收入合计的0%；</w:t>
      </w:r>
    </w:p>
    <w:p w14:paraId="4A6BA6F0">
      <w:pPr>
        <w:tabs>
          <w:tab w:val="center" w:pos="6979"/>
        </w:tabs>
        <w:spacing w:line="580" w:lineRule="exact"/>
        <w:ind w:firstLine="560" w:firstLineChars="200"/>
        <w:rPr>
          <w:rFonts w:ascii="仿宋_GB2312" w:eastAsia="仿宋_GB2312"/>
          <w:sz w:val="28"/>
          <w:szCs w:val="28"/>
        </w:rPr>
      </w:pPr>
      <w:r>
        <w:rPr>
          <w:rFonts w:hint="eastAsia" w:ascii="仿宋_GB2312" w:eastAsia="仿宋_GB2312"/>
          <w:sz w:val="28"/>
          <w:szCs w:val="28"/>
        </w:rPr>
        <w:t>5.附属单位上缴收入</w:t>
      </w:r>
      <w:r>
        <w:rPr>
          <w:rFonts w:ascii="仿宋_GB2312" w:eastAsia="仿宋_GB2312"/>
          <w:sz w:val="28"/>
          <w:szCs w:val="28"/>
        </w:rPr>
        <w:t>0</w:t>
      </w:r>
      <w:r>
        <w:rPr>
          <w:rFonts w:hint="eastAsia" w:ascii="仿宋_GB2312" w:eastAsia="仿宋_GB2312"/>
          <w:sz w:val="28"/>
          <w:szCs w:val="28"/>
        </w:rPr>
        <w:t>元，占收入合计的0%；</w:t>
      </w:r>
    </w:p>
    <w:p w14:paraId="4606978C">
      <w:pPr>
        <w:tabs>
          <w:tab w:val="center" w:pos="6979"/>
        </w:tabs>
        <w:spacing w:line="580" w:lineRule="exact"/>
        <w:ind w:firstLine="560" w:firstLineChars="200"/>
        <w:rPr>
          <w:rFonts w:ascii="仿宋_GB2312" w:eastAsia="仿宋_GB2312"/>
          <w:sz w:val="28"/>
          <w:szCs w:val="28"/>
        </w:rPr>
      </w:pPr>
      <w:r>
        <w:rPr>
          <w:rFonts w:hint="eastAsia" w:ascii="仿宋_GB2312" w:eastAsia="仿宋_GB2312"/>
          <w:sz w:val="28"/>
          <w:szCs w:val="28"/>
        </w:rPr>
        <w:t>6.其他收入</w:t>
      </w:r>
      <w:r>
        <w:rPr>
          <w:rFonts w:ascii="仿宋_GB2312" w:eastAsia="仿宋_GB2312"/>
          <w:sz w:val="28"/>
          <w:szCs w:val="28"/>
        </w:rPr>
        <w:t>0</w:t>
      </w:r>
      <w:r>
        <w:rPr>
          <w:rFonts w:hint="eastAsia" w:ascii="仿宋_GB2312" w:eastAsia="仿宋_GB2312"/>
          <w:sz w:val="28"/>
          <w:szCs w:val="28"/>
        </w:rPr>
        <w:t>元，占收入合计的0%。</w:t>
      </w:r>
    </w:p>
    <w:p w14:paraId="79CE7D18">
      <w:pPr>
        <w:pStyle w:val="2"/>
        <w:jc w:val="center"/>
      </w:pPr>
      <w:r>
        <w:rPr>
          <w:rFonts w:hint="eastAsia" w:ascii="仿宋_GB2312" w:eastAsia="仿宋_GB2312"/>
          <w:color w:val="000000"/>
          <w:sz w:val="32"/>
        </w:rPr>
        <w:t>图1：收入决算</w:t>
      </w:r>
    </w:p>
    <w:p w14:paraId="5AFF4BA6">
      <w:pPr>
        <w:pStyle w:val="3"/>
        <w:ind w:firstLine="420"/>
        <w:jc w:val="center"/>
      </w:pPr>
      <w:r>
        <w:drawing>
          <wp:inline distT="0" distB="0" distL="0" distR="0">
            <wp:extent cx="4036695" cy="2328545"/>
            <wp:effectExtent l="0" t="0" r="20955" b="14605"/>
            <wp:docPr id="3" name="图表 3" title="{{pieChart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2A25D432">
      <w:pPr>
        <w:tabs>
          <w:tab w:val="center" w:pos="6979"/>
        </w:tabs>
        <w:spacing w:line="580" w:lineRule="exact"/>
        <w:ind w:firstLine="570"/>
        <w:rPr>
          <w:rFonts w:ascii="仿宋_GB2312" w:eastAsia="仿宋_GB2312"/>
          <w:sz w:val="28"/>
          <w:szCs w:val="28"/>
        </w:rPr>
      </w:pPr>
      <w:r>
        <w:rPr>
          <w:rFonts w:hint="eastAsia" w:ascii="仿宋_GB2312" w:eastAsia="仿宋_GB2312"/>
          <w:sz w:val="28"/>
          <w:szCs w:val="28"/>
        </w:rPr>
        <w:t>（二</w:t>
      </w:r>
      <w:r>
        <w:rPr>
          <w:rFonts w:ascii="仿宋_GB2312" w:eastAsia="仿宋_GB2312"/>
          <w:sz w:val="28"/>
          <w:szCs w:val="28"/>
        </w:rPr>
        <w:t>）</w:t>
      </w:r>
      <w:r>
        <w:rPr>
          <w:rFonts w:hint="eastAsia" w:ascii="仿宋_GB2312" w:eastAsia="仿宋_GB2312"/>
          <w:sz w:val="28"/>
          <w:szCs w:val="28"/>
        </w:rPr>
        <w:t>支出决算</w:t>
      </w:r>
      <w:r>
        <w:rPr>
          <w:rFonts w:ascii="仿宋_GB2312" w:eastAsia="仿宋_GB2312"/>
          <w:sz w:val="28"/>
          <w:szCs w:val="28"/>
        </w:rPr>
        <w:t>说明</w:t>
      </w:r>
    </w:p>
    <w:p w14:paraId="7013E60C">
      <w:pPr>
        <w:tabs>
          <w:tab w:val="center" w:pos="6979"/>
        </w:tabs>
        <w:spacing w:line="580" w:lineRule="exact"/>
        <w:ind w:firstLine="570"/>
        <w:rPr>
          <w:rFonts w:ascii="仿宋_GB2312" w:eastAsia="仿宋_GB2312"/>
          <w:sz w:val="28"/>
          <w:szCs w:val="28"/>
        </w:rPr>
      </w:pPr>
      <w:r>
        <w:rPr>
          <w:rFonts w:hint="eastAsia" w:ascii="仿宋_GB2312" w:eastAsia="仿宋_GB2312"/>
          <w:sz w:val="28"/>
          <w:szCs w:val="28"/>
        </w:rPr>
        <w:t>2025年度本年支出合计</w:t>
      </w:r>
      <w:r>
        <w:rPr>
          <w:rFonts w:ascii="仿宋_GB2312" w:eastAsia="仿宋_GB2312"/>
          <w:sz w:val="28"/>
          <w:szCs w:val="28"/>
        </w:rPr>
        <w:t>24</w:t>
      </w:r>
      <w:r>
        <w:rPr>
          <w:rFonts w:hint="eastAsia" w:ascii="仿宋_GB2312" w:eastAsia="仿宋_GB2312"/>
          <w:sz w:val="28"/>
          <w:szCs w:val="28"/>
          <w:lang w:val="en-US" w:eastAsia="zh-CN"/>
        </w:rPr>
        <w:t>,</w:t>
      </w:r>
      <w:r>
        <w:rPr>
          <w:rFonts w:ascii="仿宋_GB2312" w:eastAsia="仿宋_GB2312"/>
          <w:sz w:val="28"/>
          <w:szCs w:val="28"/>
        </w:rPr>
        <w:t>7353</w:t>
      </w:r>
      <w:r>
        <w:rPr>
          <w:rFonts w:hint="eastAsia" w:ascii="仿宋_GB2312" w:eastAsia="仿宋_GB2312"/>
          <w:sz w:val="28"/>
          <w:szCs w:val="28"/>
          <w:lang w:val="en-US" w:eastAsia="zh-CN"/>
        </w:rPr>
        <w:t>,</w:t>
      </w:r>
      <w:r>
        <w:rPr>
          <w:rFonts w:ascii="仿宋_GB2312" w:eastAsia="仿宋_GB2312"/>
          <w:sz w:val="28"/>
          <w:szCs w:val="28"/>
        </w:rPr>
        <w:t>976.8</w:t>
      </w:r>
      <w:r>
        <w:rPr>
          <w:rFonts w:hint="eastAsia" w:ascii="仿宋_GB2312" w:eastAsia="仿宋_GB2312"/>
          <w:sz w:val="28"/>
          <w:szCs w:val="28"/>
        </w:rPr>
        <w:t>元，</w:t>
      </w:r>
      <w:r>
        <w:rPr>
          <w:rFonts w:ascii="仿宋_GB2312" w:eastAsia="仿宋_GB2312"/>
          <w:sz w:val="28"/>
          <w:szCs w:val="28"/>
        </w:rPr>
        <w:t>比上年</w:t>
      </w:r>
      <w:r>
        <w:rPr>
          <w:rFonts w:hint="eastAsia" w:ascii="仿宋_GB2312" w:eastAsia="仿宋_GB2312"/>
          <w:sz w:val="28"/>
          <w:szCs w:val="28"/>
        </w:rPr>
        <w:t>减少93</w:t>
      </w:r>
      <w:r>
        <w:rPr>
          <w:rFonts w:hint="eastAsia" w:ascii="仿宋_GB2312" w:eastAsia="仿宋_GB2312"/>
          <w:sz w:val="28"/>
          <w:szCs w:val="28"/>
          <w:lang w:val="en-US" w:eastAsia="zh-CN"/>
        </w:rPr>
        <w:t>,</w:t>
      </w:r>
      <w:r>
        <w:rPr>
          <w:rFonts w:hint="eastAsia" w:ascii="仿宋_GB2312" w:eastAsia="仿宋_GB2312"/>
          <w:sz w:val="28"/>
          <w:szCs w:val="28"/>
        </w:rPr>
        <w:t>567</w:t>
      </w:r>
      <w:r>
        <w:rPr>
          <w:rFonts w:hint="eastAsia" w:ascii="仿宋_GB2312" w:eastAsia="仿宋_GB2312"/>
          <w:sz w:val="28"/>
          <w:szCs w:val="28"/>
          <w:lang w:val="en-US" w:eastAsia="zh-CN"/>
        </w:rPr>
        <w:t>,</w:t>
      </w:r>
      <w:r>
        <w:rPr>
          <w:rFonts w:hint="eastAsia" w:ascii="仿宋_GB2312" w:eastAsia="仿宋_GB2312"/>
          <w:sz w:val="28"/>
          <w:szCs w:val="28"/>
        </w:rPr>
        <w:t>966.44元，下降27.</w:t>
      </w:r>
      <w:r>
        <w:rPr>
          <w:rFonts w:hint="eastAsia" w:ascii="仿宋_GB2312" w:eastAsia="仿宋_GB2312"/>
          <w:sz w:val="28"/>
          <w:szCs w:val="28"/>
          <w:lang w:val="en-US" w:eastAsia="zh-CN"/>
        </w:rPr>
        <w:t>5</w:t>
      </w:r>
      <w:r>
        <w:rPr>
          <w:rFonts w:hint="eastAsia" w:ascii="仿宋_GB2312" w:eastAsia="仿宋_GB2312"/>
          <w:sz w:val="28"/>
          <w:szCs w:val="28"/>
        </w:rPr>
        <w:t>%，其中：基本支出</w:t>
      </w:r>
      <w:r>
        <w:rPr>
          <w:rFonts w:ascii="仿宋_GB2312" w:eastAsia="仿宋_GB2312"/>
          <w:sz w:val="28"/>
          <w:szCs w:val="28"/>
        </w:rPr>
        <w:t>41</w:t>
      </w:r>
      <w:r>
        <w:rPr>
          <w:rFonts w:hint="eastAsia" w:ascii="仿宋_GB2312" w:eastAsia="仿宋_GB2312"/>
          <w:sz w:val="28"/>
          <w:szCs w:val="28"/>
          <w:lang w:val="en-US" w:eastAsia="zh-CN"/>
        </w:rPr>
        <w:t>,</w:t>
      </w:r>
      <w:r>
        <w:rPr>
          <w:rFonts w:ascii="仿宋_GB2312" w:eastAsia="仿宋_GB2312"/>
          <w:sz w:val="28"/>
          <w:szCs w:val="28"/>
        </w:rPr>
        <w:t>322</w:t>
      </w:r>
      <w:r>
        <w:rPr>
          <w:rFonts w:hint="eastAsia" w:ascii="仿宋_GB2312" w:eastAsia="仿宋_GB2312"/>
          <w:sz w:val="28"/>
          <w:szCs w:val="28"/>
          <w:lang w:val="en-US" w:eastAsia="zh-CN"/>
        </w:rPr>
        <w:t>,</w:t>
      </w:r>
      <w:r>
        <w:rPr>
          <w:rFonts w:ascii="仿宋_GB2312" w:eastAsia="仿宋_GB2312"/>
          <w:sz w:val="28"/>
          <w:szCs w:val="28"/>
        </w:rPr>
        <w:t>635.26</w:t>
      </w:r>
      <w:r>
        <w:rPr>
          <w:rFonts w:hint="eastAsia" w:ascii="仿宋_GB2312" w:eastAsia="仿宋_GB2312"/>
          <w:sz w:val="28"/>
          <w:szCs w:val="28"/>
        </w:rPr>
        <w:t>元，占支出合计的16.7%；项目支出</w:t>
      </w:r>
      <w:r>
        <w:rPr>
          <w:rFonts w:ascii="仿宋_GB2312" w:eastAsia="仿宋_GB2312"/>
          <w:sz w:val="28"/>
          <w:szCs w:val="28"/>
        </w:rPr>
        <w:t>206</w:t>
      </w:r>
      <w:r>
        <w:rPr>
          <w:rFonts w:hint="eastAsia" w:ascii="仿宋_GB2312" w:eastAsia="仿宋_GB2312"/>
          <w:sz w:val="28"/>
          <w:szCs w:val="28"/>
          <w:lang w:val="en-US" w:eastAsia="zh-CN"/>
        </w:rPr>
        <w:t>,</w:t>
      </w:r>
      <w:r>
        <w:rPr>
          <w:rFonts w:ascii="仿宋_GB2312" w:eastAsia="仿宋_GB2312"/>
          <w:sz w:val="28"/>
          <w:szCs w:val="28"/>
        </w:rPr>
        <w:t>031</w:t>
      </w:r>
      <w:r>
        <w:rPr>
          <w:rFonts w:hint="eastAsia" w:ascii="仿宋_GB2312" w:eastAsia="仿宋_GB2312"/>
          <w:sz w:val="28"/>
          <w:szCs w:val="28"/>
          <w:lang w:val="en-US" w:eastAsia="zh-CN"/>
        </w:rPr>
        <w:t>,</w:t>
      </w:r>
      <w:r>
        <w:rPr>
          <w:rFonts w:ascii="仿宋_GB2312" w:eastAsia="仿宋_GB2312"/>
          <w:sz w:val="28"/>
          <w:szCs w:val="28"/>
        </w:rPr>
        <w:t>341.54</w:t>
      </w:r>
      <w:r>
        <w:rPr>
          <w:rFonts w:hint="eastAsia" w:ascii="仿宋_GB2312" w:eastAsia="仿宋_GB2312"/>
          <w:sz w:val="28"/>
          <w:szCs w:val="28"/>
        </w:rPr>
        <w:t>元，占支出合计的83.</w:t>
      </w:r>
      <w:r>
        <w:rPr>
          <w:rFonts w:hint="eastAsia" w:ascii="仿宋_GB2312" w:eastAsia="仿宋_GB2312"/>
          <w:sz w:val="28"/>
          <w:szCs w:val="28"/>
          <w:lang w:val="en-US" w:eastAsia="zh-CN"/>
        </w:rPr>
        <w:t>3</w:t>
      </w:r>
      <w:r>
        <w:rPr>
          <w:rFonts w:hint="eastAsia" w:ascii="仿宋_GB2312" w:eastAsia="仿宋_GB2312"/>
          <w:sz w:val="28"/>
          <w:szCs w:val="28"/>
        </w:rPr>
        <w:t>%;上缴上级支出</w:t>
      </w:r>
      <w:r>
        <w:rPr>
          <w:rFonts w:ascii="仿宋_GB2312" w:eastAsia="仿宋_GB2312"/>
          <w:sz w:val="28"/>
          <w:szCs w:val="28"/>
        </w:rPr>
        <w:t>0</w:t>
      </w:r>
      <w:r>
        <w:rPr>
          <w:rFonts w:hint="eastAsia" w:ascii="仿宋_GB2312" w:eastAsia="仿宋_GB2312"/>
          <w:sz w:val="28"/>
          <w:szCs w:val="28"/>
        </w:rPr>
        <w:t>元，占支出合计的0%；经营支出</w:t>
      </w:r>
      <w:r>
        <w:rPr>
          <w:rFonts w:ascii="仿宋_GB2312" w:eastAsia="仿宋_GB2312"/>
          <w:sz w:val="28"/>
          <w:szCs w:val="28"/>
        </w:rPr>
        <w:t>0</w:t>
      </w:r>
      <w:r>
        <w:rPr>
          <w:rFonts w:hint="eastAsia" w:ascii="仿宋_GB2312" w:eastAsia="仿宋_GB2312"/>
          <w:sz w:val="28"/>
          <w:szCs w:val="28"/>
        </w:rPr>
        <w:t>元，占支出合计的0%；对附属单位补助支出</w:t>
      </w:r>
      <w:r>
        <w:rPr>
          <w:rFonts w:ascii="仿宋_GB2312" w:eastAsia="仿宋_GB2312"/>
          <w:sz w:val="28"/>
          <w:szCs w:val="28"/>
        </w:rPr>
        <w:t>0</w:t>
      </w:r>
      <w:r>
        <w:rPr>
          <w:rFonts w:hint="eastAsia" w:ascii="仿宋_GB2312" w:eastAsia="仿宋_GB2312"/>
          <w:sz w:val="28"/>
          <w:szCs w:val="28"/>
        </w:rPr>
        <w:t>元，占支出合计的0%。</w:t>
      </w:r>
    </w:p>
    <w:p w14:paraId="079E4B2F">
      <w:pPr>
        <w:pStyle w:val="2"/>
        <w:ind w:firstLine="5772" w:firstLineChars="1804"/>
        <w:rPr>
          <w:rFonts w:ascii="仿宋_GB2312" w:eastAsia="仿宋_GB2312"/>
          <w:color w:val="000000"/>
          <w:sz w:val="32"/>
        </w:rPr>
      </w:pPr>
      <w:r>
        <w:rPr>
          <w:rFonts w:hint="eastAsia" w:ascii="仿宋_GB2312" w:eastAsia="仿宋_GB2312"/>
          <w:color w:val="000000"/>
          <w:sz w:val="32"/>
        </w:rPr>
        <w:t>图2：支出决算</w:t>
      </w:r>
    </w:p>
    <w:p w14:paraId="24CDA9D2">
      <w:pPr>
        <w:jc w:val="center"/>
        <w:rPr>
          <w:rFonts w:ascii="黑体" w:eastAsia="黑体"/>
          <w:b/>
          <w:sz w:val="28"/>
          <w:szCs w:val="28"/>
        </w:rPr>
      </w:pPr>
      <w:r>
        <w:drawing>
          <wp:inline distT="0" distB="0" distL="114300" distR="114300">
            <wp:extent cx="4572000" cy="2743200"/>
            <wp:effectExtent l="4445" t="4445" r="14605" b="14605"/>
            <wp:docPr id="1" name="图表 3" title="{{pieChart2}}"/>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315D3D3C">
      <w:pPr>
        <w:tabs>
          <w:tab w:val="center" w:pos="6979"/>
        </w:tabs>
        <w:spacing w:line="580" w:lineRule="exact"/>
        <w:ind w:firstLine="548" w:firstLineChars="196"/>
        <w:rPr>
          <w:rFonts w:ascii="黑体" w:eastAsia="黑体"/>
          <w:b/>
          <w:sz w:val="28"/>
          <w:szCs w:val="28"/>
        </w:rPr>
      </w:pPr>
      <w:r>
        <w:rPr>
          <w:rFonts w:hint="eastAsia" w:ascii="黑体" w:eastAsia="黑体"/>
          <w:b/>
          <w:sz w:val="28"/>
          <w:szCs w:val="28"/>
        </w:rPr>
        <w:t>三</w:t>
      </w:r>
      <w:r>
        <w:rPr>
          <w:rFonts w:ascii="黑体" w:eastAsia="黑体"/>
          <w:b/>
          <w:sz w:val="28"/>
          <w:szCs w:val="28"/>
        </w:rPr>
        <w:t>、财政拨款</w:t>
      </w:r>
      <w:r>
        <w:rPr>
          <w:rFonts w:hint="eastAsia" w:ascii="黑体" w:eastAsia="黑体"/>
          <w:b/>
          <w:sz w:val="28"/>
          <w:szCs w:val="28"/>
        </w:rPr>
        <w:t>收入支出决算</w:t>
      </w:r>
      <w:r>
        <w:rPr>
          <w:rFonts w:ascii="黑体" w:eastAsia="黑体"/>
          <w:b/>
          <w:sz w:val="28"/>
          <w:szCs w:val="28"/>
        </w:rPr>
        <w:t>总体情况说明</w:t>
      </w:r>
    </w:p>
    <w:p w14:paraId="5AA71634">
      <w:pPr>
        <w:tabs>
          <w:tab w:val="center" w:pos="6979"/>
        </w:tabs>
        <w:spacing w:line="580" w:lineRule="exact"/>
        <w:ind w:firstLine="570"/>
        <w:rPr>
          <w:rFonts w:ascii="仿宋_GB2312" w:eastAsia="仿宋_GB2312"/>
          <w:sz w:val="28"/>
          <w:szCs w:val="28"/>
        </w:rPr>
      </w:pPr>
      <w:r>
        <w:rPr>
          <w:rFonts w:hint="eastAsia" w:ascii="仿宋_GB2312" w:eastAsia="仿宋_GB2312"/>
          <w:sz w:val="28"/>
          <w:szCs w:val="28"/>
        </w:rPr>
        <w:t>2025年度财政拨款收、</w:t>
      </w:r>
      <w:r>
        <w:rPr>
          <w:rFonts w:ascii="仿宋_GB2312" w:eastAsia="仿宋_GB2312"/>
          <w:sz w:val="28"/>
          <w:szCs w:val="28"/>
        </w:rPr>
        <w:t>支</w:t>
      </w:r>
      <w:r>
        <w:rPr>
          <w:rFonts w:hint="eastAsia" w:ascii="仿宋_GB2312" w:eastAsia="仿宋_GB2312"/>
          <w:sz w:val="28"/>
          <w:szCs w:val="28"/>
        </w:rPr>
        <w:t>总计</w:t>
      </w:r>
      <w:r>
        <w:rPr>
          <w:rFonts w:ascii="仿宋_GB2312" w:eastAsia="仿宋_GB2312"/>
          <w:sz w:val="28"/>
          <w:szCs w:val="28"/>
        </w:rPr>
        <w:t>246</w:t>
      </w:r>
      <w:r>
        <w:rPr>
          <w:rFonts w:hint="eastAsia" w:ascii="仿宋_GB2312" w:eastAsia="仿宋_GB2312"/>
          <w:sz w:val="28"/>
          <w:szCs w:val="28"/>
          <w:lang w:val="en-US" w:eastAsia="zh-CN"/>
        </w:rPr>
        <w:t>,</w:t>
      </w:r>
      <w:r>
        <w:rPr>
          <w:rFonts w:ascii="仿宋_GB2312" w:eastAsia="仿宋_GB2312"/>
          <w:sz w:val="28"/>
          <w:szCs w:val="28"/>
        </w:rPr>
        <w:t>935</w:t>
      </w:r>
      <w:r>
        <w:rPr>
          <w:rFonts w:hint="eastAsia" w:ascii="仿宋_GB2312" w:eastAsia="仿宋_GB2312"/>
          <w:sz w:val="28"/>
          <w:szCs w:val="28"/>
          <w:lang w:val="en-US" w:eastAsia="zh-CN"/>
        </w:rPr>
        <w:t>,</w:t>
      </w:r>
      <w:r>
        <w:rPr>
          <w:rFonts w:ascii="仿宋_GB2312" w:eastAsia="仿宋_GB2312"/>
          <w:sz w:val="28"/>
          <w:szCs w:val="28"/>
        </w:rPr>
        <w:t>106.18</w:t>
      </w:r>
      <w:r>
        <w:rPr>
          <w:rFonts w:hint="eastAsia" w:ascii="仿宋_GB2312" w:eastAsia="仿宋_GB2312"/>
          <w:sz w:val="28"/>
          <w:szCs w:val="28"/>
        </w:rPr>
        <w:t>元，比上年减少89</w:t>
      </w:r>
      <w:r>
        <w:rPr>
          <w:rFonts w:hint="eastAsia" w:ascii="仿宋_GB2312" w:eastAsia="仿宋_GB2312"/>
          <w:sz w:val="28"/>
          <w:szCs w:val="28"/>
          <w:lang w:val="en-US" w:eastAsia="zh-CN"/>
        </w:rPr>
        <w:t>,</w:t>
      </w:r>
      <w:r>
        <w:rPr>
          <w:rFonts w:hint="eastAsia" w:ascii="仿宋_GB2312" w:eastAsia="仿宋_GB2312"/>
          <w:sz w:val="28"/>
          <w:szCs w:val="28"/>
        </w:rPr>
        <w:t>728</w:t>
      </w:r>
      <w:r>
        <w:rPr>
          <w:rFonts w:hint="eastAsia" w:ascii="仿宋_GB2312" w:eastAsia="仿宋_GB2312"/>
          <w:sz w:val="28"/>
          <w:szCs w:val="28"/>
          <w:lang w:val="en-US" w:eastAsia="zh-CN"/>
        </w:rPr>
        <w:t>,</w:t>
      </w:r>
      <w:r>
        <w:rPr>
          <w:rFonts w:hint="eastAsia" w:ascii="仿宋_GB2312" w:eastAsia="仿宋_GB2312"/>
          <w:sz w:val="28"/>
          <w:szCs w:val="28"/>
        </w:rPr>
        <w:t>876.79元，下降26.</w:t>
      </w:r>
      <w:r>
        <w:rPr>
          <w:rFonts w:hint="eastAsia" w:ascii="仿宋_GB2312" w:eastAsia="仿宋_GB2312"/>
          <w:sz w:val="28"/>
          <w:szCs w:val="28"/>
          <w:lang w:val="en-US" w:eastAsia="zh-CN"/>
        </w:rPr>
        <w:t>7</w:t>
      </w:r>
      <w:r>
        <w:rPr>
          <w:rFonts w:hint="eastAsia" w:ascii="仿宋_GB2312" w:eastAsia="仿宋_GB2312"/>
          <w:sz w:val="28"/>
          <w:szCs w:val="28"/>
        </w:rPr>
        <w:t>%。主要原因：门头沟区乡村公路水毁修复工程资金支出减少。</w:t>
      </w:r>
    </w:p>
    <w:p w14:paraId="3877F5BA">
      <w:pPr>
        <w:tabs>
          <w:tab w:val="center" w:pos="6979"/>
        </w:tabs>
        <w:spacing w:line="580" w:lineRule="exact"/>
        <w:ind w:firstLine="548" w:firstLineChars="196"/>
        <w:rPr>
          <w:rFonts w:ascii="黑体" w:eastAsia="黑体"/>
          <w:b/>
          <w:sz w:val="28"/>
          <w:szCs w:val="28"/>
        </w:rPr>
      </w:pPr>
      <w:r>
        <w:rPr>
          <w:rFonts w:hint="eastAsia" w:ascii="黑体" w:eastAsia="黑体"/>
          <w:b/>
          <w:sz w:val="28"/>
          <w:szCs w:val="28"/>
        </w:rPr>
        <w:t>四、一般公共预算财政拨款支出决算情况说明</w:t>
      </w:r>
    </w:p>
    <w:p w14:paraId="541A0A2A">
      <w:pPr>
        <w:autoSpaceDE w:val="0"/>
        <w:autoSpaceDN w:val="0"/>
        <w:adjustRightInd w:val="0"/>
        <w:spacing w:line="580" w:lineRule="exact"/>
        <w:ind w:firstLine="560" w:firstLineChars="200"/>
        <w:jc w:val="left"/>
        <w:rPr>
          <w:rFonts w:ascii="仿宋_GB2312" w:eastAsia="仿宋_GB2312"/>
          <w:sz w:val="28"/>
          <w:szCs w:val="28"/>
        </w:rPr>
      </w:pPr>
      <w:r>
        <w:rPr>
          <w:rFonts w:hint="eastAsia" w:ascii="仿宋_GB2312" w:eastAsia="仿宋_GB2312"/>
          <w:sz w:val="28"/>
          <w:szCs w:val="28"/>
        </w:rPr>
        <w:t>（一）一般公共预算财政拨款支出决算总体情况</w:t>
      </w:r>
    </w:p>
    <w:p w14:paraId="66AF346C">
      <w:pPr>
        <w:tabs>
          <w:tab w:val="center" w:pos="6979"/>
        </w:tabs>
        <w:spacing w:line="580" w:lineRule="exact"/>
        <w:ind w:firstLine="560" w:firstLineChars="200"/>
        <w:rPr>
          <w:rFonts w:ascii="仿宋_GB2312" w:eastAsia="仿宋_GB2312"/>
          <w:sz w:val="28"/>
          <w:szCs w:val="28"/>
        </w:rPr>
      </w:pPr>
      <w:r>
        <w:rPr>
          <w:rFonts w:hint="eastAsia" w:ascii="仿宋_GB2312" w:eastAsia="仿宋_GB2312"/>
          <w:sz w:val="28"/>
          <w:szCs w:val="28"/>
        </w:rPr>
        <w:t>2025年度一般公共预算财政拨款支出</w:t>
      </w:r>
      <w:r>
        <w:rPr>
          <w:rFonts w:ascii="仿宋_GB2312" w:eastAsia="仿宋_GB2312"/>
          <w:sz w:val="28"/>
          <w:szCs w:val="28"/>
        </w:rPr>
        <w:t>246</w:t>
      </w:r>
      <w:r>
        <w:rPr>
          <w:rFonts w:hint="eastAsia" w:ascii="仿宋_GB2312" w:eastAsia="仿宋_GB2312"/>
          <w:sz w:val="28"/>
          <w:szCs w:val="28"/>
          <w:lang w:val="en-US" w:eastAsia="zh-CN"/>
        </w:rPr>
        <w:t>,</w:t>
      </w:r>
      <w:r>
        <w:rPr>
          <w:rFonts w:ascii="仿宋_GB2312" w:eastAsia="仿宋_GB2312"/>
          <w:sz w:val="28"/>
          <w:szCs w:val="28"/>
        </w:rPr>
        <w:t>425</w:t>
      </w:r>
      <w:r>
        <w:rPr>
          <w:rFonts w:hint="eastAsia" w:ascii="仿宋_GB2312" w:eastAsia="仿宋_GB2312"/>
          <w:sz w:val="28"/>
          <w:szCs w:val="28"/>
          <w:lang w:val="en-US" w:eastAsia="zh-CN"/>
        </w:rPr>
        <w:t>,</w:t>
      </w:r>
      <w:r>
        <w:rPr>
          <w:rFonts w:ascii="仿宋_GB2312" w:eastAsia="仿宋_GB2312"/>
          <w:sz w:val="28"/>
          <w:szCs w:val="28"/>
        </w:rPr>
        <w:t>194.46</w:t>
      </w:r>
      <w:r>
        <w:rPr>
          <w:rFonts w:hint="eastAsia" w:ascii="仿宋_GB2312" w:eastAsia="仿宋_GB2312"/>
          <w:sz w:val="28"/>
          <w:szCs w:val="28"/>
        </w:rPr>
        <w:t>元，主要用于以下方面（按大类）：一般公共服务支出</w:t>
      </w:r>
      <w:r>
        <w:rPr>
          <w:rFonts w:hint="eastAsia" w:ascii="仿宋_GB2312" w:hAnsi="Times New Roman" w:eastAsia="仿宋_GB2312" w:cs="Times New Roman"/>
          <w:sz w:val="28"/>
          <w:szCs w:val="28"/>
        </w:rPr>
        <w:t>65</w:t>
      </w:r>
      <w:r>
        <w:rPr>
          <w:rFonts w:hint="eastAsia" w:ascii="仿宋_GB2312" w:eastAsia="仿宋_GB2312" w:cs="Times New Roman"/>
          <w:sz w:val="28"/>
          <w:szCs w:val="28"/>
          <w:lang w:val="en-US" w:eastAsia="zh-CN"/>
        </w:rPr>
        <w:t>,</w:t>
      </w:r>
      <w:r>
        <w:rPr>
          <w:rFonts w:hint="eastAsia" w:ascii="仿宋_GB2312" w:hAnsi="Times New Roman" w:eastAsia="仿宋_GB2312" w:cs="Times New Roman"/>
          <w:sz w:val="28"/>
          <w:szCs w:val="28"/>
        </w:rPr>
        <w:t>755</w:t>
      </w:r>
      <w:r>
        <w:rPr>
          <w:rFonts w:hint="eastAsia" w:ascii="仿宋_GB2312" w:eastAsia="仿宋_GB2312" w:cs="Times New Roman"/>
          <w:sz w:val="28"/>
          <w:szCs w:val="28"/>
          <w:lang w:val="en-US" w:eastAsia="zh-CN"/>
        </w:rPr>
        <w:t>,</w:t>
      </w:r>
      <w:r>
        <w:rPr>
          <w:rFonts w:hint="eastAsia" w:ascii="仿宋_GB2312" w:hAnsi="Times New Roman" w:eastAsia="仿宋_GB2312" w:cs="Times New Roman"/>
          <w:sz w:val="28"/>
          <w:szCs w:val="28"/>
        </w:rPr>
        <w:t>774.78</w:t>
      </w:r>
      <w:r>
        <w:rPr>
          <w:rFonts w:hint="eastAsia" w:ascii="仿宋_GB2312" w:eastAsia="仿宋_GB2312"/>
          <w:sz w:val="28"/>
          <w:szCs w:val="28"/>
        </w:rPr>
        <w:t>元，占本年财政拨款支出26.</w:t>
      </w:r>
      <w:r>
        <w:rPr>
          <w:rFonts w:hint="eastAsia" w:ascii="仿宋_GB2312" w:eastAsia="仿宋_GB2312"/>
          <w:sz w:val="28"/>
          <w:szCs w:val="28"/>
          <w:lang w:val="en-US" w:eastAsia="zh-CN"/>
        </w:rPr>
        <w:t>7</w:t>
      </w:r>
      <w:r>
        <w:rPr>
          <w:rFonts w:hint="eastAsia" w:ascii="仿宋_GB2312" w:eastAsia="仿宋_GB2312"/>
          <w:sz w:val="28"/>
          <w:szCs w:val="28"/>
        </w:rPr>
        <w:t>%</w:t>
      </w:r>
      <w:r>
        <w:rPr>
          <w:rFonts w:hint="eastAsia" w:ascii="仿宋_GB2312" w:eastAsia="仿宋_GB2312"/>
          <w:sz w:val="28"/>
          <w:szCs w:val="28"/>
          <w:lang w:val="en-US" w:eastAsia="zh-CN"/>
        </w:rPr>
        <w:t>;</w:t>
      </w:r>
      <w:r>
        <w:rPr>
          <w:rFonts w:hint="eastAsia" w:ascii="仿宋_GB2312" w:eastAsia="仿宋_GB2312"/>
          <w:sz w:val="28"/>
          <w:szCs w:val="28"/>
        </w:rPr>
        <w:t>文化旅游体育与传媒支出1,849,629.64</w:t>
      </w:r>
      <w:r>
        <w:rPr>
          <w:rFonts w:hint="eastAsia" w:ascii="仿宋_GB2312" w:eastAsia="仿宋_GB2312"/>
          <w:sz w:val="28"/>
          <w:szCs w:val="28"/>
          <w:lang w:eastAsia="zh-CN"/>
        </w:rPr>
        <w:t>元，</w:t>
      </w:r>
      <w:r>
        <w:rPr>
          <w:rFonts w:hint="eastAsia" w:ascii="仿宋_GB2312" w:eastAsia="仿宋_GB2312"/>
          <w:sz w:val="28"/>
          <w:szCs w:val="28"/>
        </w:rPr>
        <w:t>占本年财政拨款支出0.</w:t>
      </w:r>
      <w:r>
        <w:rPr>
          <w:rFonts w:hint="eastAsia" w:ascii="仿宋_GB2312" w:eastAsia="仿宋_GB2312"/>
          <w:sz w:val="28"/>
          <w:szCs w:val="28"/>
          <w:lang w:val="en-US" w:eastAsia="zh-CN"/>
        </w:rPr>
        <w:t>8</w:t>
      </w:r>
      <w:r>
        <w:rPr>
          <w:rFonts w:hint="eastAsia" w:ascii="仿宋_GB2312" w:eastAsia="仿宋_GB2312"/>
          <w:sz w:val="28"/>
          <w:szCs w:val="28"/>
        </w:rPr>
        <w:t>%；社会保障和就业支出8,377,226.37元，占本年财政拨款支出3.4%；卫生健康支出1,210,825.00元，占本年财政拨款支出0.</w:t>
      </w:r>
      <w:r>
        <w:rPr>
          <w:rFonts w:hint="eastAsia" w:ascii="仿宋_GB2312" w:eastAsia="仿宋_GB2312"/>
          <w:sz w:val="28"/>
          <w:szCs w:val="28"/>
          <w:lang w:val="en-US" w:eastAsia="zh-CN"/>
        </w:rPr>
        <w:t>5</w:t>
      </w:r>
      <w:r>
        <w:rPr>
          <w:rFonts w:hint="eastAsia" w:ascii="仿宋_GB2312" w:eastAsia="仿宋_GB2312"/>
          <w:sz w:val="28"/>
          <w:szCs w:val="28"/>
        </w:rPr>
        <w:t>%；节能环保支出21,117,960.00元，占本年财政拨款支出8.</w:t>
      </w:r>
      <w:r>
        <w:rPr>
          <w:rFonts w:hint="eastAsia" w:ascii="仿宋_GB2312" w:eastAsia="仿宋_GB2312"/>
          <w:sz w:val="28"/>
          <w:szCs w:val="28"/>
          <w:lang w:val="en-US" w:eastAsia="zh-CN"/>
        </w:rPr>
        <w:t>6</w:t>
      </w:r>
      <w:r>
        <w:rPr>
          <w:rFonts w:hint="eastAsia" w:ascii="仿宋_GB2312" w:eastAsia="仿宋_GB2312"/>
          <w:sz w:val="28"/>
          <w:szCs w:val="28"/>
        </w:rPr>
        <w:t>%；城乡社区支出17,926,188.45</w:t>
      </w:r>
      <w:r>
        <w:rPr>
          <w:rFonts w:hint="eastAsia" w:ascii="仿宋_GB2312" w:eastAsia="仿宋_GB2312"/>
          <w:sz w:val="28"/>
          <w:szCs w:val="28"/>
          <w:lang w:eastAsia="zh-CN"/>
        </w:rPr>
        <w:t>元</w:t>
      </w:r>
      <w:r>
        <w:rPr>
          <w:rFonts w:hint="eastAsia" w:ascii="仿宋_GB2312" w:eastAsia="仿宋_GB2312"/>
          <w:sz w:val="28"/>
          <w:szCs w:val="28"/>
        </w:rPr>
        <w:t>，占本年财政拨款支出7.</w:t>
      </w:r>
      <w:r>
        <w:rPr>
          <w:rFonts w:hint="eastAsia" w:ascii="仿宋_GB2312" w:eastAsia="仿宋_GB2312"/>
          <w:sz w:val="28"/>
          <w:szCs w:val="28"/>
          <w:lang w:val="en-US" w:eastAsia="zh-CN"/>
        </w:rPr>
        <w:t>3</w:t>
      </w:r>
      <w:r>
        <w:rPr>
          <w:rFonts w:hint="eastAsia" w:ascii="仿宋_GB2312" w:eastAsia="仿宋_GB2312"/>
          <w:sz w:val="28"/>
          <w:szCs w:val="28"/>
        </w:rPr>
        <w:t>%；农林水支出69,891,515.28元，占本年财政拨款支出28.</w:t>
      </w:r>
      <w:r>
        <w:rPr>
          <w:rFonts w:hint="eastAsia" w:ascii="仿宋_GB2312" w:eastAsia="仿宋_GB2312"/>
          <w:sz w:val="28"/>
          <w:szCs w:val="28"/>
          <w:lang w:val="en-US" w:eastAsia="zh-CN"/>
        </w:rPr>
        <w:t>2</w:t>
      </w:r>
      <w:r>
        <w:rPr>
          <w:rFonts w:hint="eastAsia" w:ascii="仿宋_GB2312" w:eastAsia="仿宋_GB2312"/>
          <w:sz w:val="28"/>
          <w:szCs w:val="28"/>
        </w:rPr>
        <w:t>%；资源勘探工业信息等支出35,802.00元，占本年财政拨款支出0.01%；自然资源海洋气象等支出44,934,870.45元，占本年财政拨款支出18.</w:t>
      </w:r>
      <w:r>
        <w:rPr>
          <w:rFonts w:hint="eastAsia" w:ascii="仿宋_GB2312" w:eastAsia="仿宋_GB2312"/>
          <w:sz w:val="28"/>
          <w:szCs w:val="28"/>
          <w:lang w:val="en-US" w:eastAsia="zh-CN"/>
        </w:rPr>
        <w:t>2</w:t>
      </w:r>
      <w:r>
        <w:rPr>
          <w:rFonts w:hint="eastAsia" w:ascii="仿宋_GB2312" w:eastAsia="仿宋_GB2312"/>
          <w:sz w:val="28"/>
          <w:szCs w:val="28"/>
        </w:rPr>
        <w:t>%；住房保障支出408,000.00元，占本年财政拨款支出0.</w:t>
      </w:r>
      <w:r>
        <w:rPr>
          <w:rFonts w:hint="eastAsia" w:ascii="仿宋_GB2312" w:eastAsia="仿宋_GB2312"/>
          <w:sz w:val="28"/>
          <w:szCs w:val="28"/>
          <w:lang w:val="en-US" w:eastAsia="zh-CN"/>
        </w:rPr>
        <w:t>2</w:t>
      </w:r>
      <w:r>
        <w:rPr>
          <w:rFonts w:hint="eastAsia" w:ascii="仿宋_GB2312" w:eastAsia="仿宋_GB2312"/>
          <w:sz w:val="28"/>
          <w:szCs w:val="28"/>
        </w:rPr>
        <w:t>%；灾害防治及应急管理支出15,362,343.11元，占本年财政拨款支出6.2%。</w:t>
      </w:r>
    </w:p>
    <w:p w14:paraId="51C42027">
      <w:pPr>
        <w:autoSpaceDE w:val="0"/>
        <w:autoSpaceDN w:val="0"/>
        <w:adjustRightInd w:val="0"/>
        <w:spacing w:line="580" w:lineRule="exact"/>
        <w:ind w:firstLine="560" w:firstLineChars="200"/>
        <w:jc w:val="left"/>
        <w:rPr>
          <w:rFonts w:ascii="仿宋_GB2312" w:eastAsia="仿宋_GB2312"/>
          <w:sz w:val="28"/>
          <w:szCs w:val="28"/>
        </w:rPr>
      </w:pPr>
      <w:r>
        <w:rPr>
          <w:rFonts w:hint="eastAsia" w:ascii="仿宋_GB2312" w:eastAsia="仿宋_GB2312"/>
          <w:sz w:val="28"/>
          <w:szCs w:val="28"/>
        </w:rPr>
        <w:t>（二）一般公共预算财政拨款支出决算具体情况</w:t>
      </w:r>
    </w:p>
    <w:p w14:paraId="304BF4C1">
      <w:pPr>
        <w:autoSpaceDE w:val="0"/>
        <w:autoSpaceDN w:val="0"/>
        <w:adjustRightInd w:val="0"/>
        <w:spacing w:line="580" w:lineRule="exact"/>
        <w:ind w:firstLine="560" w:firstLineChars="200"/>
        <w:jc w:val="left"/>
        <w:rPr>
          <w:rFonts w:ascii="仿宋_GB2312" w:eastAsia="仿宋_GB2312"/>
          <w:sz w:val="28"/>
          <w:szCs w:val="28"/>
        </w:rPr>
      </w:pPr>
      <w:r>
        <w:rPr>
          <w:rFonts w:hint="eastAsia" w:ascii="仿宋_GB2312" w:eastAsia="仿宋_GB2312"/>
          <w:sz w:val="28"/>
          <w:szCs w:val="28"/>
        </w:rPr>
        <w:t>1、“一般公共服务支出”（类）2025年度年初预算73</w:t>
      </w:r>
      <w:r>
        <w:rPr>
          <w:rFonts w:hint="eastAsia" w:ascii="仿宋_GB2312" w:eastAsia="仿宋_GB2312"/>
          <w:sz w:val="28"/>
          <w:szCs w:val="28"/>
          <w:lang w:val="en-US" w:eastAsia="zh-CN"/>
        </w:rPr>
        <w:t>,</w:t>
      </w:r>
      <w:r>
        <w:rPr>
          <w:rFonts w:hint="eastAsia" w:ascii="仿宋_GB2312" w:eastAsia="仿宋_GB2312"/>
          <w:sz w:val="28"/>
          <w:szCs w:val="28"/>
        </w:rPr>
        <w:t>457</w:t>
      </w:r>
      <w:r>
        <w:rPr>
          <w:rFonts w:hint="eastAsia" w:ascii="仿宋_GB2312" w:eastAsia="仿宋_GB2312"/>
          <w:sz w:val="28"/>
          <w:szCs w:val="28"/>
          <w:lang w:val="en-US" w:eastAsia="zh-CN"/>
        </w:rPr>
        <w:t>,</w:t>
      </w:r>
      <w:r>
        <w:rPr>
          <w:rFonts w:hint="eastAsia" w:ascii="仿宋_GB2312" w:eastAsia="仿宋_GB2312"/>
          <w:sz w:val="28"/>
          <w:szCs w:val="28"/>
        </w:rPr>
        <w:t>769.74元，2025年度决算65</w:t>
      </w:r>
      <w:r>
        <w:rPr>
          <w:rFonts w:hint="eastAsia" w:ascii="仿宋_GB2312" w:eastAsia="仿宋_GB2312"/>
          <w:sz w:val="28"/>
          <w:szCs w:val="28"/>
          <w:lang w:val="en-US" w:eastAsia="zh-CN"/>
        </w:rPr>
        <w:t>,</w:t>
      </w:r>
      <w:r>
        <w:rPr>
          <w:rFonts w:hint="eastAsia" w:ascii="仿宋_GB2312" w:eastAsia="仿宋_GB2312"/>
          <w:sz w:val="28"/>
          <w:szCs w:val="28"/>
        </w:rPr>
        <w:t>755</w:t>
      </w:r>
      <w:r>
        <w:rPr>
          <w:rFonts w:hint="eastAsia" w:ascii="仿宋_GB2312" w:eastAsia="仿宋_GB2312"/>
          <w:sz w:val="28"/>
          <w:szCs w:val="28"/>
          <w:lang w:val="en-US" w:eastAsia="zh-CN"/>
        </w:rPr>
        <w:t>,</w:t>
      </w:r>
      <w:r>
        <w:rPr>
          <w:rFonts w:hint="eastAsia" w:ascii="仿宋_GB2312" w:eastAsia="仿宋_GB2312"/>
          <w:sz w:val="28"/>
          <w:szCs w:val="28"/>
        </w:rPr>
        <w:t>774.78元，完成年初预算的89.5%。</w:t>
      </w:r>
    </w:p>
    <w:p w14:paraId="60DBFDAE">
      <w:pPr>
        <w:autoSpaceDE w:val="0"/>
        <w:autoSpaceDN w:val="0"/>
        <w:adjustRightInd w:val="0"/>
        <w:spacing w:line="580" w:lineRule="exact"/>
        <w:jc w:val="left"/>
        <w:rPr>
          <w:rFonts w:ascii="仿宋_GB2312" w:eastAsia="仿宋_GB2312"/>
          <w:sz w:val="28"/>
          <w:szCs w:val="28"/>
        </w:rPr>
      </w:pPr>
      <w:r>
        <w:rPr>
          <w:rFonts w:hint="eastAsia" w:ascii="仿宋_GB2312" w:eastAsia="仿宋_GB2312"/>
          <w:sz w:val="28"/>
          <w:szCs w:val="28"/>
        </w:rPr>
        <w:t>其中：</w:t>
      </w:r>
    </w:p>
    <w:p w14:paraId="09D187F7">
      <w:pPr>
        <w:spacing w:line="580" w:lineRule="exact"/>
        <w:ind w:firstLine="560" w:firstLineChars="200"/>
        <w:rPr>
          <w:rFonts w:hint="eastAsia" w:ascii="仿宋_GB2312" w:eastAsia="仿宋_GB2312"/>
          <w:sz w:val="28"/>
          <w:szCs w:val="28"/>
        </w:rPr>
      </w:pPr>
      <w:r>
        <w:rPr>
          <w:rFonts w:hint="eastAsia" w:ascii="仿宋_GB2312" w:eastAsia="仿宋_GB2312"/>
          <w:sz w:val="28"/>
          <w:szCs w:val="28"/>
        </w:rPr>
        <w:t>“人大事务”（款，下同）2025年度年初预算116</w:t>
      </w:r>
      <w:r>
        <w:rPr>
          <w:rFonts w:hint="eastAsia" w:ascii="仿宋_GB2312" w:eastAsia="仿宋_GB2312"/>
          <w:sz w:val="28"/>
          <w:szCs w:val="28"/>
          <w:lang w:val="en-US" w:eastAsia="zh-CN"/>
        </w:rPr>
        <w:t>,</w:t>
      </w:r>
      <w:r>
        <w:rPr>
          <w:rFonts w:hint="eastAsia" w:ascii="仿宋_GB2312" w:eastAsia="仿宋_GB2312"/>
          <w:sz w:val="28"/>
          <w:szCs w:val="28"/>
        </w:rPr>
        <w:t>000</w:t>
      </w:r>
      <w:r>
        <w:rPr>
          <w:rFonts w:hint="eastAsia" w:ascii="仿宋_GB2312" w:eastAsia="仿宋_GB2312"/>
          <w:sz w:val="28"/>
          <w:szCs w:val="28"/>
          <w:lang w:val="en-US" w:eastAsia="zh-CN"/>
        </w:rPr>
        <w:t>.00</w:t>
      </w:r>
      <w:r>
        <w:rPr>
          <w:rFonts w:hint="eastAsia" w:ascii="仿宋_GB2312" w:eastAsia="仿宋_GB2312"/>
          <w:sz w:val="28"/>
          <w:szCs w:val="28"/>
        </w:rPr>
        <w:t>元，2025年度决算116</w:t>
      </w:r>
      <w:r>
        <w:rPr>
          <w:rFonts w:hint="eastAsia" w:ascii="仿宋_GB2312" w:eastAsia="仿宋_GB2312"/>
          <w:sz w:val="28"/>
          <w:szCs w:val="28"/>
          <w:lang w:val="en-US" w:eastAsia="zh-CN"/>
        </w:rPr>
        <w:t>,</w:t>
      </w:r>
      <w:r>
        <w:rPr>
          <w:rFonts w:hint="eastAsia" w:ascii="仿宋_GB2312" w:eastAsia="仿宋_GB2312"/>
          <w:sz w:val="28"/>
          <w:szCs w:val="28"/>
        </w:rPr>
        <w:t>000</w:t>
      </w:r>
      <w:r>
        <w:rPr>
          <w:rFonts w:hint="eastAsia" w:ascii="仿宋_GB2312" w:eastAsia="仿宋_GB2312"/>
          <w:sz w:val="28"/>
          <w:szCs w:val="28"/>
          <w:lang w:val="en-US" w:eastAsia="zh-CN"/>
        </w:rPr>
        <w:t>.00</w:t>
      </w:r>
      <w:r>
        <w:rPr>
          <w:rFonts w:hint="eastAsia" w:ascii="仿宋_GB2312" w:eastAsia="仿宋_GB2312"/>
          <w:sz w:val="28"/>
          <w:szCs w:val="28"/>
        </w:rPr>
        <w:t>元，完成年初预算的</w:t>
      </w:r>
      <w:r>
        <w:rPr>
          <w:rFonts w:hint="eastAsia" w:ascii="仿宋_GB2312" w:eastAsia="仿宋_GB2312"/>
          <w:sz w:val="28"/>
          <w:szCs w:val="28"/>
          <w:lang w:val="en-US" w:eastAsia="zh-CN"/>
        </w:rPr>
        <w:t>100</w:t>
      </w:r>
      <w:r>
        <w:rPr>
          <w:rFonts w:hint="eastAsia" w:ascii="仿宋_GB2312" w:eastAsia="仿宋_GB2312"/>
          <w:sz w:val="28"/>
          <w:szCs w:val="28"/>
        </w:rPr>
        <w:t>%。</w:t>
      </w:r>
    </w:p>
    <w:p w14:paraId="513A7691">
      <w:pPr>
        <w:spacing w:line="580" w:lineRule="exact"/>
        <w:ind w:firstLine="560" w:firstLineChars="200"/>
        <w:rPr>
          <w:rFonts w:hint="eastAsia" w:ascii="仿宋_GB2312" w:eastAsia="仿宋_GB2312"/>
          <w:sz w:val="28"/>
          <w:szCs w:val="28"/>
        </w:rPr>
      </w:pPr>
      <w:r>
        <w:rPr>
          <w:rFonts w:hint="eastAsia" w:ascii="仿宋_GB2312" w:eastAsia="仿宋_GB2312"/>
          <w:sz w:val="28"/>
          <w:szCs w:val="28"/>
        </w:rPr>
        <w:t>“</w:t>
      </w:r>
      <w:r>
        <w:rPr>
          <w:rFonts w:hint="eastAsia" w:ascii="仿宋_GB2312" w:eastAsia="仿宋_GB2312"/>
          <w:sz w:val="28"/>
          <w:szCs w:val="28"/>
          <w:lang w:eastAsia="zh-CN"/>
        </w:rPr>
        <w:t>政府办公厅（室）及相关机构事务</w:t>
      </w:r>
      <w:r>
        <w:rPr>
          <w:rFonts w:hint="eastAsia" w:ascii="仿宋_GB2312" w:eastAsia="仿宋_GB2312"/>
          <w:sz w:val="28"/>
          <w:szCs w:val="28"/>
        </w:rPr>
        <w:t>”2025年度年初预算54</w:t>
      </w:r>
      <w:r>
        <w:rPr>
          <w:rFonts w:hint="eastAsia" w:ascii="仿宋_GB2312" w:eastAsia="仿宋_GB2312"/>
          <w:sz w:val="28"/>
          <w:szCs w:val="28"/>
          <w:lang w:val="en-US" w:eastAsia="zh-CN"/>
        </w:rPr>
        <w:t>,</w:t>
      </w:r>
      <w:r>
        <w:rPr>
          <w:rFonts w:hint="eastAsia" w:ascii="仿宋_GB2312" w:eastAsia="仿宋_GB2312"/>
          <w:sz w:val="28"/>
          <w:szCs w:val="28"/>
        </w:rPr>
        <w:t>533</w:t>
      </w:r>
      <w:r>
        <w:rPr>
          <w:rFonts w:hint="eastAsia" w:ascii="仿宋_GB2312" w:eastAsia="仿宋_GB2312"/>
          <w:sz w:val="28"/>
          <w:szCs w:val="28"/>
          <w:lang w:val="en-US" w:eastAsia="zh-CN"/>
        </w:rPr>
        <w:t>,</w:t>
      </w:r>
      <w:r>
        <w:rPr>
          <w:rFonts w:hint="eastAsia" w:ascii="仿宋_GB2312" w:eastAsia="仿宋_GB2312"/>
          <w:sz w:val="28"/>
          <w:szCs w:val="28"/>
        </w:rPr>
        <w:t>080.43元，2025年度决算52</w:t>
      </w:r>
      <w:r>
        <w:rPr>
          <w:rFonts w:hint="eastAsia" w:ascii="仿宋_GB2312" w:eastAsia="仿宋_GB2312"/>
          <w:sz w:val="28"/>
          <w:szCs w:val="28"/>
          <w:lang w:val="en-US" w:eastAsia="zh-CN"/>
        </w:rPr>
        <w:t>,</w:t>
      </w:r>
      <w:r>
        <w:rPr>
          <w:rFonts w:hint="eastAsia" w:ascii="仿宋_GB2312" w:eastAsia="仿宋_GB2312"/>
          <w:sz w:val="28"/>
          <w:szCs w:val="28"/>
        </w:rPr>
        <w:t>664</w:t>
      </w:r>
      <w:r>
        <w:rPr>
          <w:rFonts w:hint="eastAsia" w:ascii="仿宋_GB2312" w:eastAsia="仿宋_GB2312"/>
          <w:sz w:val="28"/>
          <w:szCs w:val="28"/>
          <w:lang w:val="en-US" w:eastAsia="zh-CN"/>
        </w:rPr>
        <w:t>,</w:t>
      </w:r>
      <w:r>
        <w:rPr>
          <w:rFonts w:hint="eastAsia" w:ascii="仿宋_GB2312" w:eastAsia="仿宋_GB2312"/>
          <w:sz w:val="28"/>
          <w:szCs w:val="28"/>
        </w:rPr>
        <w:t>612.27元，完成年初预算的</w:t>
      </w:r>
      <w:r>
        <w:rPr>
          <w:rFonts w:hint="eastAsia" w:ascii="仿宋_GB2312" w:eastAsia="仿宋_GB2312"/>
          <w:sz w:val="28"/>
          <w:szCs w:val="28"/>
          <w:lang w:val="en-US" w:eastAsia="zh-CN"/>
        </w:rPr>
        <w:t>96.4</w:t>
      </w:r>
      <w:r>
        <w:rPr>
          <w:rFonts w:hint="eastAsia" w:ascii="仿宋_GB2312" w:eastAsia="仿宋_GB2312"/>
          <w:sz w:val="28"/>
          <w:szCs w:val="28"/>
        </w:rPr>
        <w:t>%。</w:t>
      </w:r>
    </w:p>
    <w:p w14:paraId="746B075C">
      <w:pPr>
        <w:spacing w:line="580" w:lineRule="exact"/>
        <w:ind w:firstLine="560" w:firstLineChars="200"/>
        <w:rPr>
          <w:rFonts w:hint="eastAsia" w:ascii="仿宋_GB2312" w:eastAsia="仿宋_GB2312"/>
          <w:sz w:val="28"/>
          <w:szCs w:val="28"/>
        </w:rPr>
      </w:pPr>
      <w:r>
        <w:rPr>
          <w:rFonts w:hint="eastAsia" w:ascii="仿宋_GB2312" w:eastAsia="仿宋_GB2312"/>
          <w:sz w:val="28"/>
          <w:szCs w:val="28"/>
        </w:rPr>
        <w:t>“</w:t>
      </w:r>
      <w:r>
        <w:rPr>
          <w:rFonts w:hint="eastAsia" w:ascii="仿宋_GB2312" w:eastAsia="仿宋_GB2312"/>
          <w:sz w:val="28"/>
          <w:szCs w:val="28"/>
          <w:lang w:eastAsia="zh-CN"/>
        </w:rPr>
        <w:t>发展与改革事务</w:t>
      </w:r>
      <w:r>
        <w:rPr>
          <w:rFonts w:hint="eastAsia" w:ascii="仿宋_GB2312" w:eastAsia="仿宋_GB2312"/>
          <w:sz w:val="28"/>
          <w:szCs w:val="28"/>
        </w:rPr>
        <w:t>”2025年度年初预算</w:t>
      </w:r>
      <w:r>
        <w:rPr>
          <w:rFonts w:hint="eastAsia" w:ascii="仿宋_GB2312" w:eastAsia="仿宋_GB2312"/>
          <w:sz w:val="28"/>
          <w:szCs w:val="28"/>
          <w:lang w:val="en-US" w:eastAsia="zh-CN"/>
        </w:rPr>
        <w:t>0</w:t>
      </w:r>
      <w:r>
        <w:rPr>
          <w:rFonts w:hint="eastAsia" w:ascii="仿宋_GB2312" w:eastAsia="仿宋_GB2312"/>
          <w:sz w:val="28"/>
          <w:szCs w:val="28"/>
        </w:rPr>
        <w:t>元，2025年度决算679</w:t>
      </w:r>
      <w:r>
        <w:rPr>
          <w:rFonts w:hint="eastAsia" w:ascii="仿宋_GB2312" w:eastAsia="仿宋_GB2312"/>
          <w:sz w:val="28"/>
          <w:szCs w:val="28"/>
          <w:lang w:val="en-US" w:eastAsia="zh-CN"/>
        </w:rPr>
        <w:t>,</w:t>
      </w:r>
      <w:r>
        <w:rPr>
          <w:rFonts w:hint="eastAsia" w:ascii="仿宋_GB2312" w:eastAsia="仿宋_GB2312"/>
          <w:sz w:val="28"/>
          <w:szCs w:val="28"/>
        </w:rPr>
        <w:t>888.88元，主要原因：决算金额包含年中追加清水镇齐家庄村服务设施提升项目资金。</w:t>
      </w:r>
    </w:p>
    <w:p w14:paraId="03EC141D">
      <w:pPr>
        <w:spacing w:line="580" w:lineRule="exact"/>
        <w:ind w:firstLine="560" w:firstLineChars="200"/>
        <w:rPr>
          <w:rFonts w:hint="default" w:ascii="仿宋_GB2312" w:eastAsia="仿宋_GB2312"/>
          <w:sz w:val="28"/>
          <w:szCs w:val="28"/>
          <w:lang w:val="en-US"/>
        </w:rPr>
      </w:pPr>
      <w:r>
        <w:rPr>
          <w:rFonts w:hint="default" w:ascii="仿宋_GB2312" w:eastAsia="仿宋_GB2312"/>
          <w:sz w:val="28"/>
          <w:szCs w:val="28"/>
          <w:lang w:val="en-US"/>
        </w:rPr>
        <w:t>“财政事务”2025年度年初预算0元，2025年度决算20</w:t>
      </w:r>
      <w:r>
        <w:rPr>
          <w:rFonts w:hint="eastAsia" w:ascii="仿宋_GB2312" w:eastAsia="仿宋_GB2312"/>
          <w:sz w:val="28"/>
          <w:szCs w:val="28"/>
          <w:lang w:val="en-US" w:eastAsia="zh-CN"/>
        </w:rPr>
        <w:t>,</w:t>
      </w:r>
      <w:r>
        <w:rPr>
          <w:rFonts w:hint="default" w:ascii="仿宋_GB2312" w:eastAsia="仿宋_GB2312"/>
          <w:sz w:val="28"/>
          <w:szCs w:val="28"/>
          <w:lang w:val="en-US"/>
        </w:rPr>
        <w:t>000</w:t>
      </w:r>
      <w:r>
        <w:rPr>
          <w:rFonts w:hint="eastAsia" w:ascii="仿宋_GB2312" w:eastAsia="仿宋_GB2312"/>
          <w:sz w:val="28"/>
          <w:szCs w:val="28"/>
          <w:lang w:val="en-US" w:eastAsia="zh-CN"/>
        </w:rPr>
        <w:t>.00</w:t>
      </w:r>
      <w:r>
        <w:rPr>
          <w:rFonts w:hint="default" w:ascii="仿宋_GB2312" w:eastAsia="仿宋_GB2312"/>
          <w:sz w:val="28"/>
          <w:szCs w:val="28"/>
          <w:lang w:val="en-US"/>
        </w:rPr>
        <w:t>元。主要原因：决算金额包含年中追加成本预算绩效分析服务项目资金。</w:t>
      </w:r>
    </w:p>
    <w:p w14:paraId="0A4CA5D0">
      <w:pPr>
        <w:spacing w:line="580" w:lineRule="exact"/>
        <w:ind w:firstLine="560" w:firstLineChars="200"/>
        <w:rPr>
          <w:rFonts w:hint="default" w:ascii="仿宋_GB2312" w:eastAsia="仿宋_GB2312"/>
          <w:sz w:val="28"/>
          <w:szCs w:val="28"/>
          <w:lang w:val="en-US"/>
        </w:rPr>
      </w:pPr>
      <w:r>
        <w:rPr>
          <w:rFonts w:hint="default" w:ascii="仿宋_GB2312" w:eastAsia="仿宋_GB2312"/>
          <w:sz w:val="28"/>
          <w:szCs w:val="28"/>
          <w:lang w:val="en-US"/>
        </w:rPr>
        <w:t>“组织事务”2025年度年初预算18</w:t>
      </w:r>
      <w:r>
        <w:rPr>
          <w:rFonts w:hint="eastAsia" w:ascii="仿宋_GB2312" w:eastAsia="仿宋_GB2312"/>
          <w:sz w:val="28"/>
          <w:szCs w:val="28"/>
          <w:lang w:val="en-US" w:eastAsia="zh-CN"/>
        </w:rPr>
        <w:t>,</w:t>
      </w:r>
      <w:r>
        <w:rPr>
          <w:rFonts w:hint="default" w:ascii="仿宋_GB2312" w:eastAsia="仿宋_GB2312"/>
          <w:sz w:val="28"/>
          <w:szCs w:val="28"/>
          <w:lang w:val="en-US"/>
        </w:rPr>
        <w:t>233</w:t>
      </w:r>
      <w:r>
        <w:rPr>
          <w:rFonts w:hint="eastAsia" w:ascii="仿宋_GB2312" w:eastAsia="仿宋_GB2312"/>
          <w:sz w:val="28"/>
          <w:szCs w:val="28"/>
          <w:lang w:val="en-US" w:eastAsia="zh-CN"/>
        </w:rPr>
        <w:t>,</w:t>
      </w:r>
      <w:r>
        <w:rPr>
          <w:rFonts w:hint="default" w:ascii="仿宋_GB2312" w:eastAsia="仿宋_GB2312"/>
          <w:sz w:val="28"/>
          <w:szCs w:val="28"/>
          <w:lang w:val="en-US"/>
        </w:rPr>
        <w:t>189.31元，2025年度决算11</w:t>
      </w:r>
      <w:r>
        <w:rPr>
          <w:rFonts w:hint="eastAsia" w:ascii="仿宋_GB2312" w:eastAsia="仿宋_GB2312"/>
          <w:sz w:val="28"/>
          <w:szCs w:val="28"/>
          <w:lang w:val="en-US" w:eastAsia="zh-CN"/>
        </w:rPr>
        <w:t>,</w:t>
      </w:r>
      <w:r>
        <w:rPr>
          <w:rFonts w:hint="default" w:ascii="仿宋_GB2312" w:eastAsia="仿宋_GB2312"/>
          <w:sz w:val="28"/>
          <w:szCs w:val="28"/>
          <w:lang w:val="en-US"/>
        </w:rPr>
        <w:t>392</w:t>
      </w:r>
      <w:r>
        <w:rPr>
          <w:rFonts w:hint="eastAsia" w:ascii="仿宋_GB2312" w:eastAsia="仿宋_GB2312"/>
          <w:sz w:val="28"/>
          <w:szCs w:val="28"/>
          <w:lang w:val="en-US" w:eastAsia="zh-CN"/>
        </w:rPr>
        <w:t>,</w:t>
      </w:r>
      <w:r>
        <w:rPr>
          <w:rFonts w:hint="default" w:ascii="仿宋_GB2312" w:eastAsia="仿宋_GB2312"/>
          <w:sz w:val="28"/>
          <w:szCs w:val="28"/>
          <w:lang w:val="en-US"/>
        </w:rPr>
        <w:t>141.85元，完成年初预算的62.</w:t>
      </w:r>
      <w:r>
        <w:rPr>
          <w:rFonts w:hint="eastAsia" w:ascii="仿宋_GB2312" w:eastAsia="仿宋_GB2312"/>
          <w:sz w:val="28"/>
          <w:szCs w:val="28"/>
          <w:lang w:val="en-US" w:eastAsia="zh-CN"/>
        </w:rPr>
        <w:t>5</w:t>
      </w:r>
      <w:r>
        <w:rPr>
          <w:rFonts w:hint="default" w:ascii="仿宋_GB2312" w:eastAsia="仿宋_GB2312"/>
          <w:sz w:val="28"/>
          <w:szCs w:val="28"/>
          <w:lang w:val="en-US"/>
        </w:rPr>
        <w:t>%。主要原因：城乡基层党组织服务群众经费计入25年往来科目，未计入当年收入。</w:t>
      </w:r>
    </w:p>
    <w:p w14:paraId="5A0E2CB2">
      <w:pPr>
        <w:spacing w:line="580" w:lineRule="exact"/>
        <w:ind w:firstLine="560" w:firstLineChars="200"/>
        <w:rPr>
          <w:rFonts w:hint="default" w:ascii="仿宋_GB2312" w:eastAsia="仿宋_GB2312"/>
          <w:sz w:val="28"/>
          <w:szCs w:val="28"/>
          <w:lang w:val="en-US"/>
        </w:rPr>
      </w:pPr>
      <w:r>
        <w:rPr>
          <w:rFonts w:hint="default" w:ascii="仿宋_GB2312" w:eastAsia="仿宋_GB2312"/>
          <w:sz w:val="28"/>
          <w:szCs w:val="28"/>
          <w:lang w:val="en-US"/>
        </w:rPr>
        <w:t>“社会工作事务”2025年度年初预算575</w:t>
      </w:r>
      <w:r>
        <w:rPr>
          <w:rFonts w:hint="eastAsia" w:ascii="仿宋_GB2312" w:eastAsia="仿宋_GB2312"/>
          <w:sz w:val="28"/>
          <w:szCs w:val="28"/>
          <w:lang w:val="en-US" w:eastAsia="zh-CN"/>
        </w:rPr>
        <w:t>,</w:t>
      </w:r>
      <w:r>
        <w:rPr>
          <w:rFonts w:hint="default" w:ascii="仿宋_GB2312" w:eastAsia="仿宋_GB2312"/>
          <w:sz w:val="28"/>
          <w:szCs w:val="28"/>
          <w:lang w:val="en-US"/>
        </w:rPr>
        <w:t>500</w:t>
      </w:r>
      <w:r>
        <w:rPr>
          <w:rFonts w:hint="eastAsia" w:ascii="仿宋_GB2312" w:eastAsia="仿宋_GB2312"/>
          <w:sz w:val="28"/>
          <w:szCs w:val="28"/>
          <w:lang w:val="en-US" w:eastAsia="zh-CN"/>
        </w:rPr>
        <w:t>.00</w:t>
      </w:r>
      <w:r>
        <w:rPr>
          <w:rFonts w:hint="default" w:ascii="仿宋_GB2312" w:eastAsia="仿宋_GB2312"/>
          <w:sz w:val="28"/>
          <w:szCs w:val="28"/>
          <w:lang w:val="en-US"/>
        </w:rPr>
        <w:t>元，2025年度决算883</w:t>
      </w:r>
      <w:r>
        <w:rPr>
          <w:rFonts w:hint="eastAsia" w:ascii="仿宋_GB2312" w:eastAsia="仿宋_GB2312"/>
          <w:sz w:val="28"/>
          <w:szCs w:val="28"/>
          <w:lang w:val="en-US" w:eastAsia="zh-CN"/>
        </w:rPr>
        <w:t>,</w:t>
      </w:r>
      <w:r>
        <w:rPr>
          <w:rFonts w:hint="default" w:ascii="仿宋_GB2312" w:eastAsia="仿宋_GB2312"/>
          <w:sz w:val="28"/>
          <w:szCs w:val="28"/>
          <w:lang w:val="en-US"/>
        </w:rPr>
        <w:t>131.78元，完成年初预算的153.</w:t>
      </w:r>
      <w:r>
        <w:rPr>
          <w:rFonts w:hint="eastAsia" w:ascii="仿宋_GB2312" w:eastAsia="仿宋_GB2312"/>
          <w:sz w:val="28"/>
          <w:szCs w:val="28"/>
          <w:lang w:val="en-US" w:eastAsia="zh-CN"/>
        </w:rPr>
        <w:t>5</w:t>
      </w:r>
      <w:r>
        <w:rPr>
          <w:rFonts w:hint="default" w:ascii="仿宋_GB2312" w:eastAsia="仿宋_GB2312"/>
          <w:sz w:val="28"/>
          <w:szCs w:val="28"/>
          <w:lang w:val="en-US"/>
        </w:rPr>
        <w:t>%。主要原因：</w:t>
      </w:r>
      <w:r>
        <w:rPr>
          <w:rFonts w:hint="default" w:ascii="仿宋_GB2312" w:eastAsia="仿宋_GB2312"/>
          <w:sz w:val="28"/>
          <w:szCs w:val="28"/>
          <w:highlight w:val="none"/>
          <w:lang w:val="en-US"/>
        </w:rPr>
        <w:t>决算金额包含年中追加资金七、村“两委”工作目标考核奖励资金</w:t>
      </w:r>
      <w:r>
        <w:rPr>
          <w:rFonts w:hint="eastAsia" w:ascii="仿宋_GB2312" w:eastAsia="仿宋_GB2312"/>
          <w:sz w:val="28"/>
          <w:szCs w:val="28"/>
          <w:highlight w:val="none"/>
          <w:lang w:val="en-US" w:eastAsia="zh-CN"/>
        </w:rPr>
        <w:t>及社工部25）第七届门头沟区邻里节活动项目资金</w:t>
      </w:r>
      <w:r>
        <w:rPr>
          <w:rFonts w:hint="default" w:ascii="仿宋_GB2312" w:eastAsia="仿宋_GB2312"/>
          <w:sz w:val="28"/>
          <w:szCs w:val="28"/>
          <w:highlight w:val="none"/>
          <w:lang w:val="en-US"/>
        </w:rPr>
        <w:t>。</w:t>
      </w:r>
    </w:p>
    <w:p w14:paraId="17D8DF73">
      <w:pPr>
        <w:spacing w:line="580" w:lineRule="exact"/>
        <w:ind w:firstLine="560" w:firstLineChars="200"/>
        <w:rPr>
          <w:rFonts w:hint="default" w:ascii="仿宋_GB2312" w:eastAsia="仿宋_GB2312"/>
          <w:sz w:val="28"/>
          <w:szCs w:val="28"/>
          <w:lang w:val="en-US"/>
        </w:rPr>
      </w:pPr>
      <w:r>
        <w:rPr>
          <w:rFonts w:hint="default" w:ascii="仿宋_GB2312" w:eastAsia="仿宋_GB2312"/>
          <w:sz w:val="28"/>
          <w:szCs w:val="28"/>
          <w:lang w:val="en-US"/>
        </w:rPr>
        <w:t>2、“文化旅游体育与传媒支出”(类)2025年度年初预算1</w:t>
      </w:r>
      <w:r>
        <w:rPr>
          <w:rFonts w:hint="eastAsia" w:ascii="仿宋_GB2312" w:eastAsia="仿宋_GB2312"/>
          <w:sz w:val="28"/>
          <w:szCs w:val="28"/>
          <w:lang w:val="en-US" w:eastAsia="zh-CN"/>
        </w:rPr>
        <w:t>,</w:t>
      </w:r>
      <w:r>
        <w:rPr>
          <w:rFonts w:hint="default" w:ascii="仿宋_GB2312" w:eastAsia="仿宋_GB2312"/>
          <w:sz w:val="28"/>
          <w:szCs w:val="28"/>
          <w:lang w:val="en-US"/>
        </w:rPr>
        <w:t>190</w:t>
      </w:r>
      <w:r>
        <w:rPr>
          <w:rFonts w:hint="eastAsia" w:ascii="仿宋_GB2312" w:eastAsia="仿宋_GB2312"/>
          <w:sz w:val="28"/>
          <w:szCs w:val="28"/>
          <w:lang w:val="en-US" w:eastAsia="zh-CN"/>
        </w:rPr>
        <w:t>,</w:t>
      </w:r>
      <w:r>
        <w:rPr>
          <w:rFonts w:hint="default" w:ascii="仿宋_GB2312" w:eastAsia="仿宋_GB2312"/>
          <w:sz w:val="28"/>
          <w:szCs w:val="28"/>
          <w:lang w:val="en-US"/>
        </w:rPr>
        <w:t>600</w:t>
      </w:r>
      <w:r>
        <w:rPr>
          <w:rFonts w:hint="eastAsia" w:ascii="仿宋_GB2312" w:eastAsia="仿宋_GB2312"/>
          <w:sz w:val="28"/>
          <w:szCs w:val="28"/>
          <w:lang w:val="en-US" w:eastAsia="zh-CN"/>
        </w:rPr>
        <w:t>.00</w:t>
      </w:r>
      <w:r>
        <w:rPr>
          <w:rFonts w:hint="default" w:ascii="仿宋_GB2312" w:eastAsia="仿宋_GB2312"/>
          <w:sz w:val="28"/>
          <w:szCs w:val="28"/>
          <w:lang w:val="en-US"/>
        </w:rPr>
        <w:t>元，2025年度决算1</w:t>
      </w:r>
      <w:r>
        <w:rPr>
          <w:rFonts w:hint="eastAsia" w:ascii="仿宋_GB2312" w:eastAsia="仿宋_GB2312"/>
          <w:sz w:val="28"/>
          <w:szCs w:val="28"/>
          <w:lang w:val="en-US" w:eastAsia="zh-CN"/>
        </w:rPr>
        <w:t>,</w:t>
      </w:r>
      <w:r>
        <w:rPr>
          <w:rFonts w:hint="default" w:ascii="仿宋_GB2312" w:eastAsia="仿宋_GB2312"/>
          <w:sz w:val="28"/>
          <w:szCs w:val="28"/>
          <w:lang w:val="en-US"/>
        </w:rPr>
        <w:t>849</w:t>
      </w:r>
      <w:r>
        <w:rPr>
          <w:rFonts w:hint="eastAsia" w:ascii="仿宋_GB2312" w:eastAsia="仿宋_GB2312"/>
          <w:sz w:val="28"/>
          <w:szCs w:val="28"/>
          <w:lang w:val="en-US" w:eastAsia="zh-CN"/>
        </w:rPr>
        <w:t>,</w:t>
      </w:r>
      <w:r>
        <w:rPr>
          <w:rFonts w:hint="default" w:ascii="仿宋_GB2312" w:eastAsia="仿宋_GB2312"/>
          <w:sz w:val="28"/>
          <w:szCs w:val="28"/>
          <w:lang w:val="en-US"/>
        </w:rPr>
        <w:t>629.64元，完成年初预算的155.</w:t>
      </w:r>
      <w:r>
        <w:rPr>
          <w:rFonts w:hint="eastAsia" w:ascii="仿宋_GB2312" w:eastAsia="仿宋_GB2312"/>
          <w:sz w:val="28"/>
          <w:szCs w:val="28"/>
          <w:lang w:val="en-US" w:eastAsia="zh-CN"/>
        </w:rPr>
        <w:t>4</w:t>
      </w:r>
      <w:r>
        <w:rPr>
          <w:rFonts w:hint="default" w:ascii="仿宋_GB2312" w:eastAsia="仿宋_GB2312"/>
          <w:sz w:val="28"/>
          <w:szCs w:val="28"/>
          <w:lang w:val="en-US"/>
        </w:rPr>
        <w:t>%。其中：</w:t>
      </w:r>
    </w:p>
    <w:p w14:paraId="0495158F">
      <w:pPr>
        <w:spacing w:line="580" w:lineRule="exact"/>
        <w:ind w:firstLine="560" w:firstLineChars="200"/>
        <w:rPr>
          <w:rFonts w:hint="default" w:ascii="仿宋_GB2312" w:eastAsia="仿宋_GB2312"/>
          <w:sz w:val="28"/>
          <w:szCs w:val="28"/>
          <w:highlight w:val="none"/>
          <w:lang w:val="en-US"/>
        </w:rPr>
      </w:pPr>
      <w:r>
        <w:rPr>
          <w:rFonts w:hint="default" w:ascii="仿宋_GB2312" w:eastAsia="仿宋_GB2312"/>
          <w:sz w:val="28"/>
          <w:szCs w:val="28"/>
          <w:lang w:val="en-US"/>
        </w:rPr>
        <w:t>“文化和旅游”（款</w:t>
      </w:r>
      <w:r>
        <w:rPr>
          <w:rFonts w:hint="eastAsia" w:ascii="仿宋_GB2312" w:eastAsia="仿宋_GB2312"/>
          <w:sz w:val="28"/>
          <w:szCs w:val="28"/>
        </w:rPr>
        <w:t>，下同</w:t>
      </w:r>
      <w:r>
        <w:rPr>
          <w:rFonts w:hint="default" w:ascii="仿宋_GB2312" w:eastAsia="仿宋_GB2312"/>
          <w:sz w:val="28"/>
          <w:szCs w:val="28"/>
          <w:lang w:val="en-US"/>
        </w:rPr>
        <w:t>）2025年度年初预算1</w:t>
      </w:r>
      <w:r>
        <w:rPr>
          <w:rFonts w:hint="eastAsia" w:ascii="仿宋_GB2312" w:eastAsia="仿宋_GB2312"/>
          <w:sz w:val="28"/>
          <w:szCs w:val="28"/>
          <w:lang w:val="en-US" w:eastAsia="zh-CN"/>
        </w:rPr>
        <w:t>,</w:t>
      </w:r>
      <w:r>
        <w:rPr>
          <w:rFonts w:hint="default" w:ascii="仿宋_GB2312" w:eastAsia="仿宋_GB2312"/>
          <w:sz w:val="28"/>
          <w:szCs w:val="28"/>
          <w:lang w:val="en-US"/>
        </w:rPr>
        <w:t>003</w:t>
      </w:r>
      <w:r>
        <w:rPr>
          <w:rFonts w:hint="eastAsia" w:ascii="仿宋_GB2312" w:eastAsia="仿宋_GB2312"/>
          <w:sz w:val="28"/>
          <w:szCs w:val="28"/>
          <w:lang w:val="en-US" w:eastAsia="zh-CN"/>
        </w:rPr>
        <w:t>,</w:t>
      </w:r>
      <w:r>
        <w:rPr>
          <w:rFonts w:hint="default" w:ascii="仿宋_GB2312" w:eastAsia="仿宋_GB2312"/>
          <w:sz w:val="28"/>
          <w:szCs w:val="28"/>
          <w:lang w:val="en-US"/>
        </w:rPr>
        <w:t>400</w:t>
      </w:r>
      <w:r>
        <w:rPr>
          <w:rFonts w:hint="eastAsia" w:ascii="仿宋_GB2312" w:eastAsia="仿宋_GB2312"/>
          <w:sz w:val="28"/>
          <w:szCs w:val="28"/>
          <w:lang w:val="en-US" w:eastAsia="zh-CN"/>
        </w:rPr>
        <w:t>.00</w:t>
      </w:r>
      <w:r>
        <w:rPr>
          <w:rFonts w:hint="default" w:ascii="仿宋_GB2312" w:eastAsia="仿宋_GB2312"/>
          <w:sz w:val="28"/>
          <w:szCs w:val="28"/>
          <w:lang w:val="en-US"/>
        </w:rPr>
        <w:t>元，2025年度决算1</w:t>
      </w:r>
      <w:r>
        <w:rPr>
          <w:rFonts w:hint="eastAsia" w:ascii="仿宋_GB2312" w:eastAsia="仿宋_GB2312"/>
          <w:sz w:val="28"/>
          <w:szCs w:val="28"/>
          <w:lang w:val="en-US" w:eastAsia="zh-CN"/>
        </w:rPr>
        <w:t>,</w:t>
      </w:r>
      <w:r>
        <w:rPr>
          <w:rFonts w:hint="default" w:ascii="仿宋_GB2312" w:eastAsia="仿宋_GB2312"/>
          <w:sz w:val="28"/>
          <w:szCs w:val="28"/>
          <w:lang w:val="en-US"/>
        </w:rPr>
        <w:t>662</w:t>
      </w:r>
      <w:r>
        <w:rPr>
          <w:rFonts w:hint="eastAsia" w:ascii="仿宋_GB2312" w:eastAsia="仿宋_GB2312"/>
          <w:sz w:val="28"/>
          <w:szCs w:val="28"/>
          <w:lang w:val="en-US" w:eastAsia="zh-CN"/>
        </w:rPr>
        <w:t>,</w:t>
      </w:r>
      <w:r>
        <w:rPr>
          <w:rFonts w:hint="default" w:ascii="仿宋_GB2312" w:eastAsia="仿宋_GB2312"/>
          <w:sz w:val="28"/>
          <w:szCs w:val="28"/>
          <w:lang w:val="en-US"/>
        </w:rPr>
        <w:t>429.64元，完成年初预算的165.</w:t>
      </w:r>
      <w:r>
        <w:rPr>
          <w:rFonts w:hint="eastAsia" w:ascii="仿宋_GB2312" w:eastAsia="仿宋_GB2312"/>
          <w:sz w:val="28"/>
          <w:szCs w:val="28"/>
          <w:lang w:val="en-US" w:eastAsia="zh-CN"/>
        </w:rPr>
        <w:t>7</w:t>
      </w:r>
      <w:r>
        <w:rPr>
          <w:rFonts w:hint="default" w:ascii="仿宋_GB2312" w:eastAsia="仿宋_GB2312"/>
          <w:sz w:val="28"/>
          <w:szCs w:val="28"/>
          <w:lang w:val="en-US"/>
        </w:rPr>
        <w:t>%。主要原</w:t>
      </w:r>
      <w:r>
        <w:rPr>
          <w:rFonts w:hint="default" w:ascii="仿宋_GB2312" w:eastAsia="仿宋_GB2312"/>
          <w:sz w:val="28"/>
          <w:szCs w:val="28"/>
          <w:highlight w:val="none"/>
          <w:lang w:val="en-US"/>
        </w:rPr>
        <w:t>因：决算金额包含年中追加（宣传部25）乡情村史馆建设项目</w:t>
      </w:r>
      <w:r>
        <w:rPr>
          <w:rFonts w:hint="eastAsia" w:ascii="仿宋_GB2312" w:eastAsia="仿宋_GB2312"/>
          <w:sz w:val="28"/>
          <w:szCs w:val="28"/>
          <w:highlight w:val="none"/>
          <w:lang w:val="en-US" w:eastAsia="zh-CN"/>
        </w:rPr>
        <w:t>资金</w:t>
      </w:r>
      <w:r>
        <w:rPr>
          <w:rFonts w:hint="default" w:ascii="仿宋_GB2312" w:eastAsia="仿宋_GB2312"/>
          <w:sz w:val="28"/>
          <w:szCs w:val="28"/>
          <w:highlight w:val="none"/>
          <w:lang w:val="en-US"/>
        </w:rPr>
        <w:t>。</w:t>
      </w:r>
    </w:p>
    <w:p w14:paraId="48FD1A17">
      <w:pPr>
        <w:spacing w:line="580" w:lineRule="exact"/>
        <w:ind w:firstLine="560" w:firstLineChars="200"/>
        <w:rPr>
          <w:rFonts w:hint="default" w:ascii="仿宋_GB2312" w:eastAsia="仿宋_GB2312"/>
          <w:sz w:val="28"/>
          <w:szCs w:val="28"/>
          <w:lang w:val="en-US"/>
        </w:rPr>
      </w:pPr>
      <w:r>
        <w:rPr>
          <w:rFonts w:hint="default" w:ascii="仿宋_GB2312" w:eastAsia="仿宋_GB2312"/>
          <w:sz w:val="28"/>
          <w:szCs w:val="28"/>
          <w:lang w:val="en-US"/>
        </w:rPr>
        <w:t>“文物”2025年度年初预算187</w:t>
      </w:r>
      <w:r>
        <w:rPr>
          <w:rFonts w:hint="eastAsia" w:ascii="仿宋_GB2312" w:eastAsia="仿宋_GB2312"/>
          <w:sz w:val="28"/>
          <w:szCs w:val="28"/>
          <w:lang w:val="en-US" w:eastAsia="zh-CN"/>
        </w:rPr>
        <w:t>,</w:t>
      </w:r>
      <w:r>
        <w:rPr>
          <w:rFonts w:hint="default" w:ascii="仿宋_GB2312" w:eastAsia="仿宋_GB2312"/>
          <w:sz w:val="28"/>
          <w:szCs w:val="28"/>
          <w:lang w:val="en-US"/>
        </w:rPr>
        <w:t>200</w:t>
      </w:r>
      <w:r>
        <w:rPr>
          <w:rFonts w:hint="eastAsia" w:ascii="仿宋_GB2312" w:eastAsia="仿宋_GB2312"/>
          <w:sz w:val="28"/>
          <w:szCs w:val="28"/>
          <w:lang w:val="en-US" w:eastAsia="zh-CN"/>
        </w:rPr>
        <w:t>.00</w:t>
      </w:r>
      <w:r>
        <w:rPr>
          <w:rFonts w:hint="default" w:ascii="仿宋_GB2312" w:eastAsia="仿宋_GB2312"/>
          <w:sz w:val="28"/>
          <w:szCs w:val="28"/>
          <w:lang w:val="en-US"/>
        </w:rPr>
        <w:t>元，2025年度决算187</w:t>
      </w:r>
      <w:r>
        <w:rPr>
          <w:rFonts w:hint="eastAsia" w:ascii="仿宋_GB2312" w:eastAsia="仿宋_GB2312"/>
          <w:sz w:val="28"/>
          <w:szCs w:val="28"/>
          <w:lang w:val="en-US" w:eastAsia="zh-CN"/>
        </w:rPr>
        <w:t>,</w:t>
      </w:r>
      <w:r>
        <w:rPr>
          <w:rFonts w:hint="default" w:ascii="仿宋_GB2312" w:eastAsia="仿宋_GB2312"/>
          <w:sz w:val="28"/>
          <w:szCs w:val="28"/>
          <w:lang w:val="en-US"/>
        </w:rPr>
        <w:t>200</w:t>
      </w:r>
      <w:r>
        <w:rPr>
          <w:rFonts w:hint="eastAsia" w:ascii="仿宋_GB2312" w:eastAsia="仿宋_GB2312"/>
          <w:sz w:val="28"/>
          <w:szCs w:val="28"/>
          <w:lang w:val="en-US" w:eastAsia="zh-CN"/>
        </w:rPr>
        <w:t>.00</w:t>
      </w:r>
      <w:r>
        <w:rPr>
          <w:rFonts w:hint="default" w:ascii="仿宋_GB2312" w:eastAsia="仿宋_GB2312"/>
          <w:sz w:val="28"/>
          <w:szCs w:val="28"/>
          <w:lang w:val="en-US"/>
        </w:rPr>
        <w:t>元，完成年初预算的100%。</w:t>
      </w:r>
    </w:p>
    <w:p w14:paraId="13D23506">
      <w:pPr>
        <w:spacing w:line="580" w:lineRule="exact"/>
        <w:ind w:firstLine="560" w:firstLineChars="200"/>
        <w:rPr>
          <w:rFonts w:hint="default" w:ascii="仿宋_GB2312" w:eastAsia="仿宋_GB2312"/>
          <w:sz w:val="28"/>
          <w:szCs w:val="28"/>
          <w:lang w:val="en-US"/>
        </w:rPr>
      </w:pPr>
      <w:r>
        <w:rPr>
          <w:rFonts w:hint="default" w:ascii="仿宋_GB2312" w:eastAsia="仿宋_GB2312"/>
          <w:sz w:val="28"/>
          <w:szCs w:val="28"/>
          <w:lang w:val="en-US"/>
        </w:rPr>
        <w:t>3、“社会保障和就业支出”(类)2025年度年初预算6</w:t>
      </w:r>
      <w:r>
        <w:rPr>
          <w:rFonts w:hint="eastAsia" w:ascii="仿宋_GB2312" w:eastAsia="仿宋_GB2312"/>
          <w:sz w:val="28"/>
          <w:szCs w:val="28"/>
          <w:lang w:val="en-US" w:eastAsia="zh-CN"/>
        </w:rPr>
        <w:t>,</w:t>
      </w:r>
      <w:r>
        <w:rPr>
          <w:rFonts w:hint="default" w:ascii="仿宋_GB2312" w:eastAsia="仿宋_GB2312"/>
          <w:sz w:val="28"/>
          <w:szCs w:val="28"/>
          <w:lang w:val="en-US"/>
        </w:rPr>
        <w:t>175</w:t>
      </w:r>
      <w:r>
        <w:rPr>
          <w:rFonts w:hint="eastAsia" w:ascii="仿宋_GB2312" w:eastAsia="仿宋_GB2312"/>
          <w:sz w:val="28"/>
          <w:szCs w:val="28"/>
          <w:lang w:val="en-US" w:eastAsia="zh-CN"/>
        </w:rPr>
        <w:t>,</w:t>
      </w:r>
      <w:r>
        <w:rPr>
          <w:rFonts w:hint="default" w:ascii="仿宋_GB2312" w:eastAsia="仿宋_GB2312"/>
          <w:sz w:val="28"/>
          <w:szCs w:val="28"/>
          <w:lang w:val="en-US"/>
        </w:rPr>
        <w:t>119.5元，2025年度决算8</w:t>
      </w:r>
      <w:r>
        <w:rPr>
          <w:rFonts w:hint="eastAsia" w:ascii="仿宋_GB2312" w:eastAsia="仿宋_GB2312"/>
          <w:sz w:val="28"/>
          <w:szCs w:val="28"/>
          <w:lang w:val="en-US" w:eastAsia="zh-CN"/>
        </w:rPr>
        <w:t>,</w:t>
      </w:r>
      <w:r>
        <w:rPr>
          <w:rFonts w:hint="default" w:ascii="仿宋_GB2312" w:eastAsia="仿宋_GB2312"/>
          <w:sz w:val="28"/>
          <w:szCs w:val="28"/>
          <w:lang w:val="en-US"/>
        </w:rPr>
        <w:t>377</w:t>
      </w:r>
      <w:r>
        <w:rPr>
          <w:rFonts w:hint="eastAsia" w:ascii="仿宋_GB2312" w:eastAsia="仿宋_GB2312"/>
          <w:sz w:val="28"/>
          <w:szCs w:val="28"/>
          <w:lang w:val="en-US" w:eastAsia="zh-CN"/>
        </w:rPr>
        <w:t>,</w:t>
      </w:r>
      <w:r>
        <w:rPr>
          <w:rFonts w:hint="default" w:ascii="仿宋_GB2312" w:eastAsia="仿宋_GB2312"/>
          <w:sz w:val="28"/>
          <w:szCs w:val="28"/>
          <w:lang w:val="en-US"/>
        </w:rPr>
        <w:t>226.37元，完成年初预算的135.</w:t>
      </w:r>
      <w:r>
        <w:rPr>
          <w:rFonts w:hint="eastAsia" w:ascii="仿宋_GB2312" w:eastAsia="仿宋_GB2312"/>
          <w:sz w:val="28"/>
          <w:szCs w:val="28"/>
          <w:lang w:val="en-US" w:eastAsia="zh-CN"/>
        </w:rPr>
        <w:t>7</w:t>
      </w:r>
      <w:r>
        <w:rPr>
          <w:rFonts w:hint="default" w:ascii="仿宋_GB2312" w:eastAsia="仿宋_GB2312"/>
          <w:sz w:val="28"/>
          <w:szCs w:val="28"/>
          <w:lang w:val="en-US"/>
        </w:rPr>
        <w:t>%。其中：</w:t>
      </w:r>
    </w:p>
    <w:p w14:paraId="33E95D47">
      <w:pPr>
        <w:spacing w:line="580" w:lineRule="exact"/>
        <w:ind w:firstLine="560" w:firstLineChars="200"/>
        <w:rPr>
          <w:rFonts w:hint="default" w:ascii="仿宋_GB2312" w:eastAsia="仿宋_GB2312"/>
          <w:sz w:val="28"/>
          <w:szCs w:val="28"/>
          <w:lang w:val="en-US"/>
        </w:rPr>
      </w:pPr>
      <w:r>
        <w:rPr>
          <w:rFonts w:hint="default" w:ascii="仿宋_GB2312" w:eastAsia="仿宋_GB2312"/>
          <w:sz w:val="28"/>
          <w:szCs w:val="28"/>
          <w:lang w:val="en-US"/>
        </w:rPr>
        <w:t>“人力资源和社会保障管理事务”（款</w:t>
      </w:r>
      <w:r>
        <w:rPr>
          <w:rFonts w:hint="eastAsia" w:ascii="仿宋_GB2312" w:eastAsia="仿宋_GB2312"/>
          <w:sz w:val="28"/>
          <w:szCs w:val="28"/>
        </w:rPr>
        <w:t>，下同</w:t>
      </w:r>
      <w:r>
        <w:rPr>
          <w:rFonts w:hint="default" w:ascii="仿宋_GB2312" w:eastAsia="仿宋_GB2312"/>
          <w:sz w:val="28"/>
          <w:szCs w:val="28"/>
          <w:lang w:val="en-US"/>
        </w:rPr>
        <w:t>）2025年度年初预算4</w:t>
      </w:r>
      <w:r>
        <w:rPr>
          <w:rFonts w:hint="eastAsia" w:ascii="仿宋_GB2312" w:eastAsia="仿宋_GB2312"/>
          <w:sz w:val="28"/>
          <w:szCs w:val="28"/>
          <w:lang w:val="en-US" w:eastAsia="zh-CN"/>
        </w:rPr>
        <w:t>,</w:t>
      </w:r>
      <w:r>
        <w:rPr>
          <w:rFonts w:hint="default" w:ascii="仿宋_GB2312" w:eastAsia="仿宋_GB2312"/>
          <w:sz w:val="28"/>
          <w:szCs w:val="28"/>
          <w:lang w:val="en-US"/>
        </w:rPr>
        <w:t>555</w:t>
      </w:r>
      <w:r>
        <w:rPr>
          <w:rFonts w:hint="eastAsia" w:ascii="仿宋_GB2312" w:eastAsia="仿宋_GB2312"/>
          <w:sz w:val="28"/>
          <w:szCs w:val="28"/>
          <w:lang w:val="en-US" w:eastAsia="zh-CN"/>
        </w:rPr>
        <w:t>,</w:t>
      </w:r>
      <w:r>
        <w:rPr>
          <w:rFonts w:hint="default" w:ascii="仿宋_GB2312" w:eastAsia="仿宋_GB2312"/>
          <w:sz w:val="28"/>
          <w:szCs w:val="28"/>
          <w:lang w:val="en-US"/>
        </w:rPr>
        <w:t>538.5</w:t>
      </w:r>
      <w:r>
        <w:rPr>
          <w:rFonts w:hint="eastAsia" w:ascii="仿宋_GB2312" w:eastAsia="仿宋_GB2312"/>
          <w:sz w:val="28"/>
          <w:szCs w:val="28"/>
          <w:lang w:val="en-US" w:eastAsia="zh-CN"/>
        </w:rPr>
        <w:t>0</w:t>
      </w:r>
      <w:r>
        <w:rPr>
          <w:rFonts w:hint="default" w:ascii="仿宋_GB2312" w:eastAsia="仿宋_GB2312"/>
          <w:sz w:val="28"/>
          <w:szCs w:val="28"/>
          <w:lang w:val="en-US"/>
        </w:rPr>
        <w:t>元，2025年度决算5</w:t>
      </w:r>
      <w:r>
        <w:rPr>
          <w:rFonts w:hint="eastAsia" w:ascii="仿宋_GB2312" w:eastAsia="仿宋_GB2312"/>
          <w:sz w:val="28"/>
          <w:szCs w:val="28"/>
          <w:lang w:val="en-US" w:eastAsia="zh-CN"/>
        </w:rPr>
        <w:t>,</w:t>
      </w:r>
      <w:r>
        <w:rPr>
          <w:rFonts w:hint="default" w:ascii="仿宋_GB2312" w:eastAsia="仿宋_GB2312"/>
          <w:sz w:val="28"/>
          <w:szCs w:val="28"/>
          <w:lang w:val="en-US"/>
        </w:rPr>
        <w:t>240</w:t>
      </w:r>
      <w:r>
        <w:rPr>
          <w:rFonts w:hint="eastAsia" w:ascii="仿宋_GB2312" w:eastAsia="仿宋_GB2312"/>
          <w:sz w:val="28"/>
          <w:szCs w:val="28"/>
          <w:lang w:val="en-US" w:eastAsia="zh-CN"/>
        </w:rPr>
        <w:t>,</w:t>
      </w:r>
      <w:r>
        <w:rPr>
          <w:rFonts w:hint="default" w:ascii="仿宋_GB2312" w:eastAsia="仿宋_GB2312"/>
          <w:sz w:val="28"/>
          <w:szCs w:val="28"/>
          <w:lang w:val="en-US"/>
        </w:rPr>
        <w:t>242.06元，完成年初预算的115.</w:t>
      </w:r>
      <w:r>
        <w:rPr>
          <w:rFonts w:hint="eastAsia" w:ascii="仿宋_GB2312" w:eastAsia="仿宋_GB2312"/>
          <w:sz w:val="28"/>
          <w:szCs w:val="28"/>
          <w:lang w:val="en-US" w:eastAsia="zh-CN"/>
        </w:rPr>
        <w:t>0</w:t>
      </w:r>
      <w:r>
        <w:rPr>
          <w:rFonts w:hint="default" w:ascii="仿宋_GB2312" w:eastAsia="仿宋_GB2312"/>
          <w:sz w:val="28"/>
          <w:szCs w:val="28"/>
          <w:lang w:val="en-US"/>
        </w:rPr>
        <w:t>%。主要原因：决算金额包含年中追加高校毕业生“三支一扶”计划财政补助资金及区管理企业退休人员自采暖补贴项目资金。</w:t>
      </w:r>
    </w:p>
    <w:p w14:paraId="70D01BF0">
      <w:pPr>
        <w:spacing w:line="580" w:lineRule="exact"/>
        <w:ind w:firstLine="560" w:firstLineChars="200"/>
        <w:rPr>
          <w:rFonts w:hint="default" w:ascii="仿宋_GB2312" w:eastAsia="仿宋_GB2312"/>
          <w:sz w:val="28"/>
          <w:szCs w:val="28"/>
          <w:lang w:val="en-US"/>
        </w:rPr>
      </w:pPr>
      <w:r>
        <w:rPr>
          <w:rFonts w:hint="default" w:ascii="仿宋_GB2312" w:eastAsia="仿宋_GB2312"/>
          <w:sz w:val="28"/>
          <w:szCs w:val="28"/>
          <w:lang w:val="en-US"/>
        </w:rPr>
        <w:t>“民政管理事务”2025年度年初预算67</w:t>
      </w:r>
      <w:r>
        <w:rPr>
          <w:rFonts w:hint="eastAsia" w:ascii="仿宋_GB2312" w:eastAsia="仿宋_GB2312"/>
          <w:sz w:val="28"/>
          <w:szCs w:val="28"/>
          <w:lang w:val="en-US" w:eastAsia="zh-CN"/>
        </w:rPr>
        <w:t>,</w:t>
      </w:r>
      <w:r>
        <w:rPr>
          <w:rFonts w:hint="default" w:ascii="仿宋_GB2312" w:eastAsia="仿宋_GB2312"/>
          <w:sz w:val="28"/>
          <w:szCs w:val="28"/>
          <w:lang w:val="en-US"/>
        </w:rPr>
        <w:t>500</w:t>
      </w:r>
      <w:r>
        <w:rPr>
          <w:rFonts w:hint="eastAsia" w:ascii="仿宋_GB2312" w:eastAsia="仿宋_GB2312"/>
          <w:sz w:val="28"/>
          <w:szCs w:val="28"/>
          <w:lang w:val="en-US" w:eastAsia="zh-CN"/>
        </w:rPr>
        <w:t>.00</w:t>
      </w:r>
      <w:r>
        <w:rPr>
          <w:rFonts w:hint="default" w:ascii="仿宋_GB2312" w:eastAsia="仿宋_GB2312"/>
          <w:sz w:val="28"/>
          <w:szCs w:val="28"/>
          <w:lang w:val="en-US"/>
        </w:rPr>
        <w:t>元，2025年度决算67</w:t>
      </w:r>
      <w:r>
        <w:rPr>
          <w:rFonts w:hint="eastAsia" w:ascii="仿宋_GB2312" w:eastAsia="仿宋_GB2312"/>
          <w:sz w:val="28"/>
          <w:szCs w:val="28"/>
          <w:lang w:val="en-US" w:eastAsia="zh-CN"/>
        </w:rPr>
        <w:t>,</w:t>
      </w:r>
      <w:r>
        <w:rPr>
          <w:rFonts w:hint="default" w:ascii="仿宋_GB2312" w:eastAsia="仿宋_GB2312"/>
          <w:sz w:val="28"/>
          <w:szCs w:val="28"/>
          <w:lang w:val="en-US"/>
        </w:rPr>
        <w:t>368</w:t>
      </w:r>
      <w:r>
        <w:rPr>
          <w:rFonts w:hint="eastAsia" w:ascii="仿宋_GB2312" w:eastAsia="仿宋_GB2312"/>
          <w:sz w:val="28"/>
          <w:szCs w:val="28"/>
          <w:lang w:val="en-US" w:eastAsia="zh-CN"/>
        </w:rPr>
        <w:t>.00</w:t>
      </w:r>
      <w:r>
        <w:rPr>
          <w:rFonts w:hint="default" w:ascii="仿宋_GB2312" w:eastAsia="仿宋_GB2312"/>
          <w:sz w:val="28"/>
          <w:szCs w:val="28"/>
          <w:lang w:val="en-US"/>
        </w:rPr>
        <w:t>元，完成年初预算的99.</w:t>
      </w:r>
      <w:r>
        <w:rPr>
          <w:rFonts w:hint="eastAsia" w:ascii="仿宋_GB2312" w:eastAsia="仿宋_GB2312"/>
          <w:sz w:val="28"/>
          <w:szCs w:val="28"/>
          <w:lang w:val="en-US" w:eastAsia="zh-CN"/>
        </w:rPr>
        <w:t>9</w:t>
      </w:r>
      <w:r>
        <w:rPr>
          <w:rFonts w:hint="default" w:ascii="仿宋_GB2312" w:eastAsia="仿宋_GB2312"/>
          <w:sz w:val="28"/>
          <w:szCs w:val="28"/>
          <w:lang w:val="en-US"/>
        </w:rPr>
        <w:t>%。</w:t>
      </w:r>
    </w:p>
    <w:p w14:paraId="561444FB">
      <w:pPr>
        <w:spacing w:line="580" w:lineRule="exact"/>
        <w:ind w:firstLine="560" w:firstLineChars="200"/>
        <w:rPr>
          <w:rFonts w:hint="default" w:ascii="仿宋_GB2312" w:eastAsia="仿宋_GB2312"/>
          <w:sz w:val="28"/>
          <w:szCs w:val="28"/>
          <w:lang w:val="en-US"/>
        </w:rPr>
      </w:pPr>
      <w:r>
        <w:rPr>
          <w:rFonts w:hint="default" w:ascii="仿宋_GB2312" w:eastAsia="仿宋_GB2312"/>
          <w:sz w:val="28"/>
          <w:szCs w:val="28"/>
          <w:lang w:val="en-US"/>
        </w:rPr>
        <w:t>“行政事业单位养老支出”2025年度年初预算606</w:t>
      </w:r>
      <w:r>
        <w:rPr>
          <w:rFonts w:hint="eastAsia" w:ascii="仿宋_GB2312" w:eastAsia="仿宋_GB2312"/>
          <w:sz w:val="28"/>
          <w:szCs w:val="28"/>
          <w:lang w:val="en-US" w:eastAsia="zh-CN"/>
        </w:rPr>
        <w:t>,</w:t>
      </w:r>
      <w:r>
        <w:rPr>
          <w:rFonts w:hint="default" w:ascii="仿宋_GB2312" w:eastAsia="仿宋_GB2312"/>
          <w:sz w:val="28"/>
          <w:szCs w:val="28"/>
          <w:lang w:val="en-US"/>
        </w:rPr>
        <w:t>786</w:t>
      </w:r>
      <w:r>
        <w:rPr>
          <w:rFonts w:hint="eastAsia" w:ascii="仿宋_GB2312" w:eastAsia="仿宋_GB2312"/>
          <w:sz w:val="28"/>
          <w:szCs w:val="28"/>
          <w:lang w:val="en-US" w:eastAsia="zh-CN"/>
        </w:rPr>
        <w:t>.00</w:t>
      </w:r>
      <w:r>
        <w:rPr>
          <w:rFonts w:hint="default" w:ascii="仿宋_GB2312" w:eastAsia="仿宋_GB2312"/>
          <w:sz w:val="28"/>
          <w:szCs w:val="28"/>
          <w:lang w:val="en-US"/>
        </w:rPr>
        <w:t>元，2025年度决算1</w:t>
      </w:r>
      <w:r>
        <w:rPr>
          <w:rFonts w:hint="eastAsia" w:ascii="仿宋_GB2312" w:eastAsia="仿宋_GB2312"/>
          <w:sz w:val="28"/>
          <w:szCs w:val="28"/>
          <w:lang w:val="en-US" w:eastAsia="zh-CN"/>
        </w:rPr>
        <w:t>,</w:t>
      </w:r>
      <w:r>
        <w:rPr>
          <w:rFonts w:hint="default" w:ascii="仿宋_GB2312" w:eastAsia="仿宋_GB2312"/>
          <w:sz w:val="28"/>
          <w:szCs w:val="28"/>
          <w:lang w:val="en-US"/>
        </w:rPr>
        <w:t>066</w:t>
      </w:r>
      <w:r>
        <w:rPr>
          <w:rFonts w:hint="eastAsia" w:ascii="仿宋_GB2312" w:eastAsia="仿宋_GB2312"/>
          <w:sz w:val="28"/>
          <w:szCs w:val="28"/>
          <w:lang w:val="en-US" w:eastAsia="zh-CN"/>
        </w:rPr>
        <w:t>,</w:t>
      </w:r>
      <w:r>
        <w:rPr>
          <w:rFonts w:hint="default" w:ascii="仿宋_GB2312" w:eastAsia="仿宋_GB2312"/>
          <w:sz w:val="28"/>
          <w:szCs w:val="28"/>
          <w:lang w:val="en-US"/>
        </w:rPr>
        <w:t>378.9</w:t>
      </w:r>
      <w:r>
        <w:rPr>
          <w:rFonts w:hint="eastAsia" w:ascii="仿宋_GB2312" w:eastAsia="仿宋_GB2312"/>
          <w:sz w:val="28"/>
          <w:szCs w:val="28"/>
          <w:lang w:val="en-US" w:eastAsia="zh-CN"/>
        </w:rPr>
        <w:t>0</w:t>
      </w:r>
      <w:r>
        <w:rPr>
          <w:rFonts w:hint="default" w:ascii="仿宋_GB2312" w:eastAsia="仿宋_GB2312"/>
          <w:sz w:val="28"/>
          <w:szCs w:val="28"/>
          <w:lang w:val="en-US"/>
        </w:rPr>
        <w:t>元，完成年初预算的175.</w:t>
      </w:r>
      <w:r>
        <w:rPr>
          <w:rFonts w:hint="eastAsia" w:ascii="仿宋_GB2312" w:eastAsia="仿宋_GB2312"/>
          <w:sz w:val="28"/>
          <w:szCs w:val="28"/>
          <w:lang w:val="en-US" w:eastAsia="zh-CN"/>
        </w:rPr>
        <w:t>7</w:t>
      </w:r>
      <w:r>
        <w:rPr>
          <w:rFonts w:hint="default" w:ascii="仿宋_GB2312" w:eastAsia="仿宋_GB2312"/>
          <w:sz w:val="28"/>
          <w:szCs w:val="28"/>
          <w:lang w:val="en-US"/>
        </w:rPr>
        <w:t>%。主要原因：决算金额包</w:t>
      </w:r>
      <w:r>
        <w:rPr>
          <w:rFonts w:hint="default" w:ascii="仿宋_GB2312" w:eastAsia="仿宋_GB2312"/>
          <w:sz w:val="28"/>
          <w:szCs w:val="28"/>
          <w:highlight w:val="none"/>
          <w:lang w:val="en-US"/>
        </w:rPr>
        <w:t>含年中追加资金离退休人员支出。</w:t>
      </w:r>
    </w:p>
    <w:p w14:paraId="4BEA7B0B">
      <w:pPr>
        <w:spacing w:line="580" w:lineRule="exact"/>
        <w:ind w:firstLine="560" w:firstLineChars="200"/>
        <w:rPr>
          <w:rFonts w:hint="default" w:ascii="仿宋_GB2312" w:eastAsia="仿宋_GB2312"/>
          <w:sz w:val="28"/>
          <w:szCs w:val="28"/>
          <w:lang w:val="en-US"/>
        </w:rPr>
      </w:pPr>
      <w:r>
        <w:rPr>
          <w:rFonts w:hint="default" w:ascii="仿宋_GB2312" w:eastAsia="仿宋_GB2312"/>
          <w:sz w:val="28"/>
          <w:szCs w:val="28"/>
          <w:lang w:val="en-US"/>
        </w:rPr>
        <w:t>“就业补助”2025年度年初预算945</w:t>
      </w:r>
      <w:r>
        <w:rPr>
          <w:rFonts w:hint="eastAsia" w:ascii="仿宋_GB2312" w:eastAsia="仿宋_GB2312"/>
          <w:sz w:val="28"/>
          <w:szCs w:val="28"/>
          <w:lang w:val="en-US" w:eastAsia="zh-CN"/>
        </w:rPr>
        <w:t>,</w:t>
      </w:r>
      <w:r>
        <w:rPr>
          <w:rFonts w:hint="default" w:ascii="仿宋_GB2312" w:eastAsia="仿宋_GB2312"/>
          <w:sz w:val="28"/>
          <w:szCs w:val="28"/>
          <w:lang w:val="en-US"/>
        </w:rPr>
        <w:t>295</w:t>
      </w:r>
      <w:r>
        <w:rPr>
          <w:rFonts w:hint="eastAsia" w:ascii="仿宋_GB2312" w:eastAsia="仿宋_GB2312"/>
          <w:sz w:val="28"/>
          <w:szCs w:val="28"/>
          <w:lang w:val="en-US" w:eastAsia="zh-CN"/>
        </w:rPr>
        <w:t>.00</w:t>
      </w:r>
      <w:r>
        <w:rPr>
          <w:rFonts w:hint="default" w:ascii="仿宋_GB2312" w:eastAsia="仿宋_GB2312"/>
          <w:sz w:val="28"/>
          <w:szCs w:val="28"/>
          <w:lang w:val="en-US"/>
        </w:rPr>
        <w:t>元，2025年度决算1</w:t>
      </w:r>
      <w:r>
        <w:rPr>
          <w:rFonts w:hint="eastAsia" w:ascii="仿宋_GB2312" w:eastAsia="仿宋_GB2312"/>
          <w:sz w:val="28"/>
          <w:szCs w:val="28"/>
          <w:lang w:val="en-US" w:eastAsia="zh-CN"/>
        </w:rPr>
        <w:t>,</w:t>
      </w:r>
      <w:r>
        <w:rPr>
          <w:rFonts w:hint="default" w:ascii="仿宋_GB2312" w:eastAsia="仿宋_GB2312"/>
          <w:sz w:val="28"/>
          <w:szCs w:val="28"/>
          <w:lang w:val="en-US"/>
        </w:rPr>
        <w:t>997</w:t>
      </w:r>
      <w:r>
        <w:rPr>
          <w:rFonts w:hint="eastAsia" w:ascii="仿宋_GB2312" w:eastAsia="仿宋_GB2312"/>
          <w:sz w:val="28"/>
          <w:szCs w:val="28"/>
          <w:lang w:val="en-US" w:eastAsia="zh-CN"/>
        </w:rPr>
        <w:t>,</w:t>
      </w:r>
      <w:r>
        <w:rPr>
          <w:rFonts w:hint="default" w:ascii="仿宋_GB2312" w:eastAsia="仿宋_GB2312"/>
          <w:sz w:val="28"/>
          <w:szCs w:val="28"/>
          <w:lang w:val="en-US"/>
        </w:rPr>
        <w:t>489.41元，完成年初预算的211.3%。主要原因：决算金额包含年中追加三、下沉镇街协管员队伍经费（公益性岗位）资金、灵活就业补贴资金及促进就业（跨区就业补贴）资金。</w:t>
      </w:r>
    </w:p>
    <w:p w14:paraId="69DD1EA7">
      <w:pPr>
        <w:spacing w:line="580" w:lineRule="exact"/>
        <w:ind w:firstLine="560" w:firstLineChars="200"/>
        <w:rPr>
          <w:rFonts w:hint="default" w:ascii="仿宋_GB2312" w:eastAsia="仿宋_GB2312"/>
          <w:sz w:val="28"/>
          <w:szCs w:val="28"/>
          <w:lang w:val="en-US"/>
        </w:rPr>
      </w:pPr>
      <w:r>
        <w:rPr>
          <w:rFonts w:hint="default" w:ascii="仿宋_GB2312" w:eastAsia="仿宋_GB2312"/>
          <w:sz w:val="28"/>
          <w:szCs w:val="28"/>
          <w:lang w:val="en-US"/>
        </w:rPr>
        <w:t>“抚恤”2025年度年初预算0万元，2025年度决算5</w:t>
      </w:r>
      <w:r>
        <w:rPr>
          <w:rFonts w:hint="eastAsia" w:ascii="仿宋_GB2312" w:eastAsia="仿宋_GB2312"/>
          <w:sz w:val="28"/>
          <w:szCs w:val="28"/>
          <w:lang w:val="en-US" w:eastAsia="zh-CN"/>
        </w:rPr>
        <w:t>,</w:t>
      </w:r>
      <w:r>
        <w:rPr>
          <w:rFonts w:hint="default" w:ascii="仿宋_GB2312" w:eastAsia="仿宋_GB2312"/>
          <w:sz w:val="28"/>
          <w:szCs w:val="28"/>
          <w:lang w:val="en-US"/>
        </w:rPr>
        <w:t>748</w:t>
      </w:r>
      <w:r>
        <w:rPr>
          <w:rFonts w:hint="eastAsia" w:ascii="仿宋_GB2312" w:eastAsia="仿宋_GB2312"/>
          <w:sz w:val="28"/>
          <w:szCs w:val="28"/>
          <w:lang w:val="en-US" w:eastAsia="zh-CN"/>
        </w:rPr>
        <w:t>.00</w:t>
      </w:r>
      <w:r>
        <w:rPr>
          <w:rFonts w:hint="default" w:ascii="仿宋_GB2312" w:eastAsia="仿宋_GB2312"/>
          <w:sz w:val="28"/>
          <w:szCs w:val="28"/>
          <w:lang w:val="en-US"/>
        </w:rPr>
        <w:t>元。主要原因：决算金额包含年中追加慰问品购买经费资金。</w:t>
      </w:r>
    </w:p>
    <w:p w14:paraId="05514443">
      <w:pPr>
        <w:spacing w:line="580" w:lineRule="exact"/>
        <w:ind w:firstLine="560" w:firstLineChars="200"/>
        <w:rPr>
          <w:rFonts w:hint="default" w:ascii="仿宋_GB2312" w:eastAsia="仿宋_GB2312"/>
          <w:sz w:val="28"/>
          <w:szCs w:val="28"/>
          <w:lang w:val="en-US"/>
        </w:rPr>
      </w:pPr>
      <w:r>
        <w:rPr>
          <w:rFonts w:hint="default" w:ascii="仿宋_GB2312" w:eastAsia="仿宋_GB2312"/>
          <w:sz w:val="28"/>
          <w:szCs w:val="28"/>
          <w:lang w:val="en-US"/>
        </w:rPr>
        <w:t>4、“卫生健康支出”(类)2025年度年初预算1</w:t>
      </w:r>
      <w:r>
        <w:rPr>
          <w:rFonts w:hint="eastAsia" w:ascii="仿宋_GB2312" w:eastAsia="仿宋_GB2312"/>
          <w:sz w:val="28"/>
          <w:szCs w:val="28"/>
          <w:lang w:val="en-US" w:eastAsia="zh-CN"/>
        </w:rPr>
        <w:t>,</w:t>
      </w:r>
      <w:r>
        <w:rPr>
          <w:rFonts w:hint="default" w:ascii="仿宋_GB2312" w:eastAsia="仿宋_GB2312"/>
          <w:sz w:val="28"/>
          <w:szCs w:val="28"/>
          <w:lang w:val="en-US"/>
        </w:rPr>
        <w:t>114</w:t>
      </w:r>
      <w:r>
        <w:rPr>
          <w:rFonts w:hint="eastAsia" w:ascii="仿宋_GB2312" w:eastAsia="仿宋_GB2312"/>
          <w:sz w:val="28"/>
          <w:szCs w:val="28"/>
          <w:lang w:val="en-US" w:eastAsia="zh-CN"/>
        </w:rPr>
        <w:t>,</w:t>
      </w:r>
      <w:r>
        <w:rPr>
          <w:rFonts w:hint="default" w:ascii="仿宋_GB2312" w:eastAsia="仿宋_GB2312"/>
          <w:sz w:val="28"/>
          <w:szCs w:val="28"/>
          <w:lang w:val="en-US"/>
        </w:rPr>
        <w:t>600</w:t>
      </w:r>
      <w:r>
        <w:rPr>
          <w:rFonts w:hint="eastAsia" w:ascii="仿宋_GB2312" w:eastAsia="仿宋_GB2312"/>
          <w:sz w:val="28"/>
          <w:szCs w:val="28"/>
          <w:lang w:val="en-US" w:eastAsia="zh-CN"/>
        </w:rPr>
        <w:t>.00</w:t>
      </w:r>
      <w:r>
        <w:rPr>
          <w:rFonts w:hint="default" w:ascii="仿宋_GB2312" w:eastAsia="仿宋_GB2312"/>
          <w:sz w:val="28"/>
          <w:szCs w:val="28"/>
          <w:lang w:val="en-US"/>
        </w:rPr>
        <w:t>元，2025年度决算1</w:t>
      </w:r>
      <w:r>
        <w:rPr>
          <w:rFonts w:hint="eastAsia" w:ascii="仿宋_GB2312" w:eastAsia="仿宋_GB2312"/>
          <w:sz w:val="28"/>
          <w:szCs w:val="28"/>
          <w:lang w:val="en-US" w:eastAsia="zh-CN"/>
        </w:rPr>
        <w:t>,</w:t>
      </w:r>
      <w:r>
        <w:rPr>
          <w:rFonts w:hint="default" w:ascii="仿宋_GB2312" w:eastAsia="仿宋_GB2312"/>
          <w:sz w:val="28"/>
          <w:szCs w:val="28"/>
          <w:lang w:val="en-US"/>
        </w:rPr>
        <w:t>210</w:t>
      </w:r>
      <w:r>
        <w:rPr>
          <w:rFonts w:hint="eastAsia" w:ascii="仿宋_GB2312" w:eastAsia="仿宋_GB2312"/>
          <w:sz w:val="28"/>
          <w:szCs w:val="28"/>
          <w:lang w:val="en-US" w:eastAsia="zh-CN"/>
        </w:rPr>
        <w:t>,</w:t>
      </w:r>
      <w:r>
        <w:rPr>
          <w:rFonts w:hint="default" w:ascii="仿宋_GB2312" w:eastAsia="仿宋_GB2312"/>
          <w:sz w:val="28"/>
          <w:szCs w:val="28"/>
          <w:lang w:val="en-US"/>
        </w:rPr>
        <w:t>825</w:t>
      </w:r>
      <w:r>
        <w:rPr>
          <w:rFonts w:hint="eastAsia" w:ascii="仿宋_GB2312" w:eastAsia="仿宋_GB2312"/>
          <w:sz w:val="28"/>
          <w:szCs w:val="28"/>
          <w:lang w:val="en-US" w:eastAsia="zh-CN"/>
        </w:rPr>
        <w:t>.00</w:t>
      </w:r>
      <w:r>
        <w:rPr>
          <w:rFonts w:hint="default" w:ascii="仿宋_GB2312" w:eastAsia="仿宋_GB2312"/>
          <w:sz w:val="28"/>
          <w:szCs w:val="28"/>
          <w:lang w:val="en-US"/>
        </w:rPr>
        <w:t>元，完成年初预算的108.6%。其中：</w:t>
      </w:r>
    </w:p>
    <w:p w14:paraId="718AC89E">
      <w:pPr>
        <w:spacing w:line="580" w:lineRule="exact"/>
        <w:ind w:firstLine="560" w:firstLineChars="200"/>
        <w:rPr>
          <w:rFonts w:hint="default" w:ascii="仿宋_GB2312" w:eastAsia="仿宋_GB2312"/>
          <w:sz w:val="28"/>
          <w:szCs w:val="28"/>
          <w:lang w:val="en-US"/>
        </w:rPr>
      </w:pPr>
      <w:r>
        <w:rPr>
          <w:rFonts w:hint="default" w:ascii="仿宋_GB2312" w:eastAsia="仿宋_GB2312"/>
          <w:sz w:val="28"/>
          <w:szCs w:val="28"/>
          <w:lang w:val="en-US"/>
        </w:rPr>
        <w:t>“公共卫生”（款</w:t>
      </w:r>
      <w:r>
        <w:rPr>
          <w:rFonts w:hint="eastAsia" w:ascii="仿宋_GB2312" w:eastAsia="仿宋_GB2312"/>
          <w:sz w:val="28"/>
          <w:szCs w:val="28"/>
        </w:rPr>
        <w:t>，下同</w:t>
      </w:r>
      <w:r>
        <w:rPr>
          <w:rFonts w:hint="default" w:ascii="仿宋_GB2312" w:eastAsia="仿宋_GB2312"/>
          <w:sz w:val="28"/>
          <w:szCs w:val="28"/>
          <w:lang w:val="en-US"/>
        </w:rPr>
        <w:t>）2025年度年初预算957</w:t>
      </w:r>
      <w:r>
        <w:rPr>
          <w:rFonts w:hint="eastAsia" w:ascii="仿宋_GB2312" w:eastAsia="仿宋_GB2312"/>
          <w:sz w:val="28"/>
          <w:szCs w:val="28"/>
          <w:lang w:val="en-US" w:eastAsia="zh-CN"/>
        </w:rPr>
        <w:t>,</w:t>
      </w:r>
      <w:r>
        <w:rPr>
          <w:rFonts w:hint="default" w:ascii="仿宋_GB2312" w:eastAsia="仿宋_GB2312"/>
          <w:sz w:val="28"/>
          <w:szCs w:val="28"/>
          <w:lang w:val="en-US"/>
        </w:rPr>
        <w:t>600</w:t>
      </w:r>
      <w:r>
        <w:rPr>
          <w:rFonts w:hint="eastAsia" w:ascii="仿宋_GB2312" w:eastAsia="仿宋_GB2312"/>
          <w:sz w:val="28"/>
          <w:szCs w:val="28"/>
          <w:lang w:val="en-US" w:eastAsia="zh-CN"/>
        </w:rPr>
        <w:t>.00</w:t>
      </w:r>
      <w:r>
        <w:rPr>
          <w:rFonts w:hint="default" w:ascii="仿宋_GB2312" w:eastAsia="仿宋_GB2312"/>
          <w:sz w:val="28"/>
          <w:szCs w:val="28"/>
          <w:lang w:val="en-US"/>
        </w:rPr>
        <w:t>元，2025年度决算1</w:t>
      </w:r>
      <w:r>
        <w:rPr>
          <w:rFonts w:hint="eastAsia" w:ascii="仿宋_GB2312" w:eastAsia="仿宋_GB2312"/>
          <w:sz w:val="28"/>
          <w:szCs w:val="28"/>
          <w:lang w:val="en-US" w:eastAsia="zh-CN"/>
        </w:rPr>
        <w:t>,</w:t>
      </w:r>
      <w:r>
        <w:rPr>
          <w:rFonts w:hint="default" w:ascii="仿宋_GB2312" w:eastAsia="仿宋_GB2312"/>
          <w:sz w:val="28"/>
          <w:szCs w:val="28"/>
          <w:lang w:val="en-US"/>
        </w:rPr>
        <w:t>054</w:t>
      </w:r>
      <w:r>
        <w:rPr>
          <w:rFonts w:hint="eastAsia" w:ascii="仿宋_GB2312" w:eastAsia="仿宋_GB2312"/>
          <w:sz w:val="28"/>
          <w:szCs w:val="28"/>
          <w:lang w:val="en-US" w:eastAsia="zh-CN"/>
        </w:rPr>
        <w:t>,</w:t>
      </w:r>
      <w:r>
        <w:rPr>
          <w:rFonts w:hint="default" w:ascii="仿宋_GB2312" w:eastAsia="仿宋_GB2312"/>
          <w:sz w:val="28"/>
          <w:szCs w:val="28"/>
          <w:lang w:val="en-US"/>
        </w:rPr>
        <w:t>450</w:t>
      </w:r>
      <w:r>
        <w:rPr>
          <w:rFonts w:hint="eastAsia" w:ascii="仿宋_GB2312" w:eastAsia="仿宋_GB2312"/>
          <w:sz w:val="28"/>
          <w:szCs w:val="28"/>
          <w:lang w:val="en-US" w:eastAsia="zh-CN"/>
        </w:rPr>
        <w:t>.00</w:t>
      </w:r>
      <w:r>
        <w:rPr>
          <w:rFonts w:hint="default" w:ascii="仿宋_GB2312" w:eastAsia="仿宋_GB2312"/>
          <w:sz w:val="28"/>
          <w:szCs w:val="28"/>
          <w:lang w:val="en-US"/>
        </w:rPr>
        <w:t>元，完成年初预算的110.1%。主要原因：决算金额包含年中追加严重精神障碍患者监护人看护管理补贴资金及退出乡村医生岗位人员养老生活补助资金。</w:t>
      </w:r>
    </w:p>
    <w:p w14:paraId="32654036">
      <w:pPr>
        <w:spacing w:line="580" w:lineRule="exact"/>
        <w:ind w:firstLine="560" w:firstLineChars="200"/>
        <w:rPr>
          <w:rFonts w:hint="default" w:ascii="仿宋_GB2312" w:eastAsia="仿宋_GB2312"/>
          <w:sz w:val="28"/>
          <w:szCs w:val="28"/>
          <w:lang w:val="en-US"/>
        </w:rPr>
      </w:pPr>
      <w:r>
        <w:rPr>
          <w:rFonts w:hint="default" w:ascii="仿宋_GB2312" w:eastAsia="仿宋_GB2312"/>
          <w:sz w:val="28"/>
          <w:szCs w:val="28"/>
          <w:lang w:val="en-US"/>
        </w:rPr>
        <w:t>“计划生育事务”2025年度年初预算156</w:t>
      </w:r>
      <w:r>
        <w:rPr>
          <w:rFonts w:hint="eastAsia" w:ascii="仿宋_GB2312" w:eastAsia="仿宋_GB2312"/>
          <w:sz w:val="28"/>
          <w:szCs w:val="28"/>
          <w:lang w:val="en-US" w:eastAsia="zh-CN"/>
        </w:rPr>
        <w:t>,</w:t>
      </w:r>
      <w:r>
        <w:rPr>
          <w:rFonts w:hint="default" w:ascii="仿宋_GB2312" w:eastAsia="仿宋_GB2312"/>
          <w:sz w:val="28"/>
          <w:szCs w:val="28"/>
          <w:lang w:val="en-US"/>
        </w:rPr>
        <w:t>375</w:t>
      </w:r>
      <w:r>
        <w:rPr>
          <w:rFonts w:hint="eastAsia" w:ascii="仿宋_GB2312" w:eastAsia="仿宋_GB2312"/>
          <w:sz w:val="28"/>
          <w:szCs w:val="28"/>
          <w:lang w:val="en-US" w:eastAsia="zh-CN"/>
        </w:rPr>
        <w:t>.00</w:t>
      </w:r>
      <w:r>
        <w:rPr>
          <w:rFonts w:hint="default" w:ascii="仿宋_GB2312" w:eastAsia="仿宋_GB2312"/>
          <w:sz w:val="28"/>
          <w:szCs w:val="28"/>
          <w:lang w:val="en-US"/>
        </w:rPr>
        <w:t>元，2025年度决算156</w:t>
      </w:r>
      <w:r>
        <w:rPr>
          <w:rFonts w:hint="eastAsia" w:ascii="仿宋_GB2312" w:eastAsia="仿宋_GB2312"/>
          <w:sz w:val="28"/>
          <w:szCs w:val="28"/>
          <w:lang w:val="en-US" w:eastAsia="zh-CN"/>
        </w:rPr>
        <w:t>,</w:t>
      </w:r>
      <w:r>
        <w:rPr>
          <w:rFonts w:hint="default" w:ascii="仿宋_GB2312" w:eastAsia="仿宋_GB2312"/>
          <w:sz w:val="28"/>
          <w:szCs w:val="28"/>
          <w:lang w:val="en-US"/>
        </w:rPr>
        <w:t>375</w:t>
      </w:r>
      <w:r>
        <w:rPr>
          <w:rFonts w:hint="eastAsia" w:ascii="仿宋_GB2312" w:eastAsia="仿宋_GB2312"/>
          <w:sz w:val="28"/>
          <w:szCs w:val="28"/>
          <w:lang w:val="en-US" w:eastAsia="zh-CN"/>
        </w:rPr>
        <w:t>.00</w:t>
      </w:r>
      <w:r>
        <w:rPr>
          <w:rFonts w:hint="default" w:ascii="仿宋_GB2312" w:eastAsia="仿宋_GB2312"/>
          <w:sz w:val="28"/>
          <w:szCs w:val="28"/>
          <w:lang w:val="en-US"/>
        </w:rPr>
        <w:t>元，完成年初预算的99.2%。</w:t>
      </w:r>
    </w:p>
    <w:p w14:paraId="362A1010">
      <w:pPr>
        <w:spacing w:line="580" w:lineRule="exact"/>
        <w:ind w:firstLine="560" w:firstLineChars="200"/>
        <w:rPr>
          <w:rFonts w:hint="default" w:ascii="仿宋_GB2312" w:eastAsia="仿宋_GB2312"/>
          <w:sz w:val="28"/>
          <w:szCs w:val="28"/>
          <w:lang w:val="en-US"/>
        </w:rPr>
      </w:pPr>
      <w:r>
        <w:rPr>
          <w:rFonts w:hint="default" w:ascii="仿宋_GB2312" w:eastAsia="仿宋_GB2312"/>
          <w:sz w:val="28"/>
          <w:szCs w:val="28"/>
          <w:lang w:val="en-US"/>
        </w:rPr>
        <w:t>5、“节能环保支出”(类)2025年度年初预算960</w:t>
      </w:r>
      <w:r>
        <w:rPr>
          <w:rFonts w:hint="eastAsia" w:ascii="仿宋_GB2312" w:eastAsia="仿宋_GB2312"/>
          <w:sz w:val="28"/>
          <w:szCs w:val="28"/>
          <w:lang w:val="en-US" w:eastAsia="zh-CN"/>
        </w:rPr>
        <w:t>,</w:t>
      </w:r>
      <w:r>
        <w:rPr>
          <w:rFonts w:hint="default" w:ascii="仿宋_GB2312" w:eastAsia="仿宋_GB2312"/>
          <w:sz w:val="28"/>
          <w:szCs w:val="28"/>
          <w:lang w:val="en-US"/>
        </w:rPr>
        <w:t>000</w:t>
      </w:r>
      <w:r>
        <w:rPr>
          <w:rFonts w:hint="eastAsia" w:ascii="仿宋_GB2312" w:eastAsia="仿宋_GB2312"/>
          <w:sz w:val="28"/>
          <w:szCs w:val="28"/>
          <w:lang w:val="en-US" w:eastAsia="zh-CN"/>
        </w:rPr>
        <w:t>.00</w:t>
      </w:r>
      <w:r>
        <w:rPr>
          <w:rFonts w:hint="default" w:ascii="仿宋_GB2312" w:eastAsia="仿宋_GB2312"/>
          <w:sz w:val="28"/>
          <w:szCs w:val="28"/>
          <w:lang w:val="en-US"/>
        </w:rPr>
        <w:t>元，2025年度决算21</w:t>
      </w:r>
      <w:r>
        <w:rPr>
          <w:rFonts w:hint="eastAsia" w:ascii="仿宋_GB2312" w:eastAsia="仿宋_GB2312"/>
          <w:sz w:val="28"/>
          <w:szCs w:val="28"/>
          <w:lang w:val="en-US" w:eastAsia="zh-CN"/>
        </w:rPr>
        <w:t>,</w:t>
      </w:r>
      <w:r>
        <w:rPr>
          <w:rFonts w:hint="default" w:ascii="仿宋_GB2312" w:eastAsia="仿宋_GB2312"/>
          <w:sz w:val="28"/>
          <w:szCs w:val="28"/>
          <w:lang w:val="en-US"/>
        </w:rPr>
        <w:t>117</w:t>
      </w:r>
      <w:r>
        <w:rPr>
          <w:rFonts w:hint="eastAsia" w:ascii="仿宋_GB2312" w:eastAsia="仿宋_GB2312"/>
          <w:sz w:val="28"/>
          <w:szCs w:val="28"/>
          <w:lang w:val="en-US" w:eastAsia="zh-CN"/>
        </w:rPr>
        <w:t>,</w:t>
      </w:r>
      <w:r>
        <w:rPr>
          <w:rFonts w:hint="default" w:ascii="仿宋_GB2312" w:eastAsia="仿宋_GB2312"/>
          <w:sz w:val="28"/>
          <w:szCs w:val="28"/>
          <w:lang w:val="en-US"/>
        </w:rPr>
        <w:t>960</w:t>
      </w:r>
      <w:r>
        <w:rPr>
          <w:rFonts w:hint="eastAsia" w:ascii="仿宋_GB2312" w:eastAsia="仿宋_GB2312"/>
          <w:sz w:val="28"/>
          <w:szCs w:val="28"/>
          <w:lang w:val="en-US" w:eastAsia="zh-CN"/>
        </w:rPr>
        <w:t>.00</w:t>
      </w:r>
      <w:r>
        <w:rPr>
          <w:rFonts w:hint="default" w:ascii="仿宋_GB2312" w:eastAsia="仿宋_GB2312"/>
          <w:sz w:val="28"/>
          <w:szCs w:val="28"/>
          <w:lang w:val="en-US"/>
        </w:rPr>
        <w:t>元，完成年初预算的</w:t>
      </w:r>
      <w:r>
        <w:rPr>
          <w:rFonts w:hint="eastAsia" w:ascii="仿宋_GB2312" w:eastAsia="仿宋_GB2312"/>
          <w:sz w:val="28"/>
          <w:szCs w:val="28"/>
          <w:lang w:val="en-US" w:eastAsia="zh-CN"/>
        </w:rPr>
        <w:t>2,199.8</w:t>
      </w:r>
      <w:r>
        <w:rPr>
          <w:rFonts w:hint="default" w:ascii="仿宋_GB2312" w:eastAsia="仿宋_GB2312"/>
          <w:sz w:val="28"/>
          <w:szCs w:val="28"/>
          <w:lang w:val="en-US"/>
        </w:rPr>
        <w:t>%。其中：</w:t>
      </w:r>
    </w:p>
    <w:p w14:paraId="1A9B99B3">
      <w:pPr>
        <w:spacing w:line="580" w:lineRule="exact"/>
        <w:ind w:firstLine="560" w:firstLineChars="200"/>
        <w:rPr>
          <w:rFonts w:hint="default" w:ascii="仿宋_GB2312" w:eastAsia="仿宋_GB2312"/>
          <w:sz w:val="28"/>
          <w:szCs w:val="28"/>
          <w:lang w:val="en-US"/>
        </w:rPr>
      </w:pPr>
      <w:r>
        <w:rPr>
          <w:rFonts w:hint="default" w:ascii="仿宋_GB2312" w:eastAsia="仿宋_GB2312"/>
          <w:sz w:val="28"/>
          <w:szCs w:val="28"/>
          <w:lang w:val="en-US"/>
        </w:rPr>
        <w:t>“污染防治”（款</w:t>
      </w:r>
      <w:r>
        <w:rPr>
          <w:rFonts w:hint="eastAsia" w:ascii="仿宋_GB2312" w:eastAsia="仿宋_GB2312"/>
          <w:sz w:val="28"/>
          <w:szCs w:val="28"/>
        </w:rPr>
        <w:t>，下同</w:t>
      </w:r>
      <w:r>
        <w:rPr>
          <w:rFonts w:hint="default" w:ascii="仿宋_GB2312" w:eastAsia="仿宋_GB2312"/>
          <w:sz w:val="28"/>
          <w:szCs w:val="28"/>
          <w:lang w:val="en-US"/>
        </w:rPr>
        <w:t>）2025年度年初预算350</w:t>
      </w:r>
      <w:r>
        <w:rPr>
          <w:rFonts w:hint="eastAsia" w:ascii="仿宋_GB2312" w:eastAsia="仿宋_GB2312"/>
          <w:sz w:val="28"/>
          <w:szCs w:val="28"/>
          <w:lang w:val="en-US" w:eastAsia="zh-CN"/>
        </w:rPr>
        <w:t>,</w:t>
      </w:r>
      <w:r>
        <w:rPr>
          <w:rFonts w:hint="default" w:ascii="仿宋_GB2312" w:eastAsia="仿宋_GB2312"/>
          <w:sz w:val="28"/>
          <w:szCs w:val="28"/>
          <w:lang w:val="en-US"/>
        </w:rPr>
        <w:t>000</w:t>
      </w:r>
      <w:r>
        <w:rPr>
          <w:rFonts w:hint="eastAsia" w:ascii="仿宋_GB2312" w:eastAsia="仿宋_GB2312"/>
          <w:sz w:val="28"/>
          <w:szCs w:val="28"/>
          <w:lang w:val="en-US" w:eastAsia="zh-CN"/>
        </w:rPr>
        <w:t>.00</w:t>
      </w:r>
      <w:r>
        <w:rPr>
          <w:rFonts w:hint="default" w:ascii="仿宋_GB2312" w:eastAsia="仿宋_GB2312"/>
          <w:sz w:val="28"/>
          <w:szCs w:val="28"/>
          <w:lang w:val="en-US"/>
        </w:rPr>
        <w:t>元，2025年度决算19</w:t>
      </w:r>
      <w:r>
        <w:rPr>
          <w:rFonts w:hint="eastAsia" w:ascii="仿宋_GB2312" w:eastAsia="仿宋_GB2312"/>
          <w:sz w:val="28"/>
          <w:szCs w:val="28"/>
          <w:lang w:val="en-US" w:eastAsia="zh-CN"/>
        </w:rPr>
        <w:t>,</w:t>
      </w:r>
      <w:r>
        <w:rPr>
          <w:rFonts w:hint="default" w:ascii="仿宋_GB2312" w:eastAsia="仿宋_GB2312"/>
          <w:sz w:val="28"/>
          <w:szCs w:val="28"/>
          <w:lang w:val="en-US"/>
        </w:rPr>
        <w:t>437</w:t>
      </w:r>
      <w:r>
        <w:rPr>
          <w:rFonts w:hint="eastAsia" w:ascii="仿宋_GB2312" w:eastAsia="仿宋_GB2312"/>
          <w:sz w:val="28"/>
          <w:szCs w:val="28"/>
          <w:lang w:val="en-US" w:eastAsia="zh-CN"/>
        </w:rPr>
        <w:t>,</w:t>
      </w:r>
      <w:r>
        <w:rPr>
          <w:rFonts w:hint="default" w:ascii="仿宋_GB2312" w:eastAsia="仿宋_GB2312"/>
          <w:sz w:val="28"/>
          <w:szCs w:val="28"/>
          <w:lang w:val="en-US"/>
        </w:rPr>
        <w:t>960</w:t>
      </w:r>
      <w:r>
        <w:rPr>
          <w:rFonts w:hint="eastAsia" w:ascii="仿宋_GB2312" w:eastAsia="仿宋_GB2312"/>
          <w:sz w:val="28"/>
          <w:szCs w:val="28"/>
          <w:lang w:val="en-US" w:eastAsia="zh-CN"/>
        </w:rPr>
        <w:t>.00</w:t>
      </w:r>
      <w:r>
        <w:rPr>
          <w:rFonts w:hint="default" w:ascii="仿宋_GB2312" w:eastAsia="仿宋_GB2312"/>
          <w:sz w:val="28"/>
          <w:szCs w:val="28"/>
          <w:lang w:val="en-US"/>
        </w:rPr>
        <w:t>元，完成年初预算的5</w:t>
      </w:r>
      <w:r>
        <w:rPr>
          <w:rFonts w:hint="eastAsia" w:ascii="仿宋_GB2312" w:eastAsia="仿宋_GB2312"/>
          <w:sz w:val="28"/>
          <w:szCs w:val="28"/>
          <w:lang w:val="en-US" w:eastAsia="zh-CN"/>
        </w:rPr>
        <w:t>,</w:t>
      </w:r>
      <w:r>
        <w:rPr>
          <w:rFonts w:hint="default" w:ascii="仿宋_GB2312" w:eastAsia="仿宋_GB2312"/>
          <w:sz w:val="28"/>
          <w:szCs w:val="28"/>
          <w:lang w:val="en-US"/>
        </w:rPr>
        <w:t>553.7%。主要原因：决算金额包含年中追加2024年度煤改清洁能源设备奖补资金。</w:t>
      </w:r>
    </w:p>
    <w:p w14:paraId="44006227">
      <w:pPr>
        <w:spacing w:line="580" w:lineRule="exact"/>
        <w:ind w:firstLine="560" w:firstLineChars="200"/>
        <w:rPr>
          <w:rFonts w:hint="default" w:ascii="仿宋_GB2312" w:eastAsia="仿宋_GB2312"/>
          <w:sz w:val="28"/>
          <w:szCs w:val="28"/>
          <w:lang w:val="en-US"/>
        </w:rPr>
      </w:pPr>
      <w:r>
        <w:rPr>
          <w:rFonts w:hint="default" w:ascii="仿宋_GB2312" w:eastAsia="仿宋_GB2312"/>
          <w:sz w:val="28"/>
          <w:szCs w:val="28"/>
          <w:lang w:val="en-US"/>
        </w:rPr>
        <w:t>“自然生态保护”2025年度年初预算0元，2025年度决算760</w:t>
      </w:r>
      <w:r>
        <w:rPr>
          <w:rFonts w:hint="eastAsia" w:ascii="仿宋_GB2312" w:eastAsia="仿宋_GB2312"/>
          <w:sz w:val="28"/>
          <w:szCs w:val="28"/>
          <w:lang w:val="en-US" w:eastAsia="zh-CN"/>
        </w:rPr>
        <w:t>,</w:t>
      </w:r>
      <w:r>
        <w:rPr>
          <w:rFonts w:hint="default" w:ascii="仿宋_GB2312" w:eastAsia="仿宋_GB2312"/>
          <w:sz w:val="28"/>
          <w:szCs w:val="28"/>
          <w:lang w:val="en-US"/>
        </w:rPr>
        <w:t>000</w:t>
      </w:r>
      <w:r>
        <w:rPr>
          <w:rFonts w:hint="eastAsia" w:ascii="仿宋_GB2312" w:eastAsia="仿宋_GB2312"/>
          <w:sz w:val="28"/>
          <w:szCs w:val="28"/>
          <w:lang w:val="en-US" w:eastAsia="zh-CN"/>
        </w:rPr>
        <w:t>.00</w:t>
      </w:r>
      <w:r>
        <w:rPr>
          <w:rFonts w:hint="default" w:ascii="仿宋_GB2312" w:eastAsia="仿宋_GB2312"/>
          <w:sz w:val="28"/>
          <w:szCs w:val="28"/>
          <w:lang w:val="en-US"/>
        </w:rPr>
        <w:t>元。主要原因：决算金额包含年中追加灵山自然风景区生态环境保护项目（专项）。</w:t>
      </w:r>
    </w:p>
    <w:p w14:paraId="354EC48F">
      <w:pPr>
        <w:spacing w:line="580" w:lineRule="exact"/>
        <w:ind w:firstLine="560" w:firstLineChars="200"/>
        <w:rPr>
          <w:rFonts w:hint="default" w:ascii="仿宋_GB2312" w:eastAsia="仿宋_GB2312"/>
          <w:sz w:val="28"/>
          <w:szCs w:val="28"/>
          <w:lang w:val="en-US"/>
        </w:rPr>
      </w:pPr>
      <w:r>
        <w:rPr>
          <w:rFonts w:hint="default" w:ascii="仿宋_GB2312" w:eastAsia="仿宋_GB2312"/>
          <w:sz w:val="28"/>
          <w:szCs w:val="28"/>
          <w:lang w:val="en-US"/>
        </w:rPr>
        <w:t>“能源节约利用”2025年度年初预算46</w:t>
      </w:r>
      <w:r>
        <w:rPr>
          <w:rFonts w:hint="eastAsia" w:ascii="仿宋_GB2312" w:eastAsia="仿宋_GB2312"/>
          <w:sz w:val="28"/>
          <w:szCs w:val="28"/>
          <w:lang w:val="en-US" w:eastAsia="zh-CN"/>
        </w:rPr>
        <w:t>0,000.00</w:t>
      </w:r>
      <w:r>
        <w:rPr>
          <w:rFonts w:hint="default" w:ascii="仿宋_GB2312" w:eastAsia="仿宋_GB2312"/>
          <w:sz w:val="28"/>
          <w:szCs w:val="28"/>
          <w:lang w:val="en-US"/>
        </w:rPr>
        <w:t>元，2025年度决算920</w:t>
      </w:r>
      <w:r>
        <w:rPr>
          <w:rFonts w:hint="eastAsia" w:ascii="仿宋_GB2312" w:eastAsia="仿宋_GB2312"/>
          <w:sz w:val="28"/>
          <w:szCs w:val="28"/>
          <w:lang w:val="en-US" w:eastAsia="zh-CN"/>
        </w:rPr>
        <w:t>,</w:t>
      </w:r>
      <w:r>
        <w:rPr>
          <w:rFonts w:hint="default" w:ascii="仿宋_GB2312" w:eastAsia="仿宋_GB2312"/>
          <w:sz w:val="28"/>
          <w:szCs w:val="28"/>
          <w:lang w:val="en-US"/>
        </w:rPr>
        <w:t>000</w:t>
      </w:r>
      <w:r>
        <w:rPr>
          <w:rFonts w:hint="eastAsia" w:ascii="仿宋_GB2312" w:eastAsia="仿宋_GB2312"/>
          <w:sz w:val="28"/>
          <w:szCs w:val="28"/>
          <w:lang w:val="en-US" w:eastAsia="zh-CN"/>
        </w:rPr>
        <w:t>.00</w:t>
      </w:r>
      <w:r>
        <w:rPr>
          <w:rFonts w:hint="default" w:ascii="仿宋_GB2312" w:eastAsia="仿宋_GB2312"/>
          <w:sz w:val="28"/>
          <w:szCs w:val="28"/>
          <w:lang w:val="en-US"/>
        </w:rPr>
        <w:t>元，完成年初预算的200%。主要原因：决算金额包含年中追加抗震节能农宅建设补助资金。</w:t>
      </w:r>
    </w:p>
    <w:p w14:paraId="138375C9">
      <w:pPr>
        <w:spacing w:line="580" w:lineRule="exact"/>
        <w:ind w:firstLine="560" w:firstLineChars="200"/>
        <w:rPr>
          <w:rFonts w:hint="default" w:ascii="仿宋_GB2312" w:eastAsia="仿宋_GB2312"/>
          <w:sz w:val="28"/>
          <w:szCs w:val="28"/>
          <w:lang w:val="en-US"/>
        </w:rPr>
      </w:pPr>
      <w:r>
        <w:rPr>
          <w:rFonts w:hint="default" w:ascii="仿宋_GB2312" w:eastAsia="仿宋_GB2312"/>
          <w:sz w:val="28"/>
          <w:szCs w:val="28"/>
          <w:lang w:val="en-US"/>
        </w:rPr>
        <w:t>6、“城乡社区支出”(类)2025年度年初预算4</w:t>
      </w:r>
      <w:r>
        <w:rPr>
          <w:rFonts w:hint="eastAsia" w:ascii="仿宋_GB2312" w:eastAsia="仿宋_GB2312"/>
          <w:sz w:val="28"/>
          <w:szCs w:val="28"/>
          <w:lang w:val="en-US" w:eastAsia="zh-CN"/>
        </w:rPr>
        <w:t>,</w:t>
      </w:r>
      <w:r>
        <w:rPr>
          <w:rFonts w:hint="default" w:ascii="仿宋_GB2312" w:eastAsia="仿宋_GB2312"/>
          <w:sz w:val="28"/>
          <w:szCs w:val="28"/>
          <w:lang w:val="en-US"/>
        </w:rPr>
        <w:t>820</w:t>
      </w:r>
      <w:r>
        <w:rPr>
          <w:rFonts w:hint="eastAsia" w:ascii="仿宋_GB2312" w:eastAsia="仿宋_GB2312"/>
          <w:sz w:val="28"/>
          <w:szCs w:val="28"/>
          <w:lang w:val="en-US" w:eastAsia="zh-CN"/>
        </w:rPr>
        <w:t>,</w:t>
      </w:r>
      <w:r>
        <w:rPr>
          <w:rFonts w:hint="default" w:ascii="仿宋_GB2312" w:eastAsia="仿宋_GB2312"/>
          <w:sz w:val="28"/>
          <w:szCs w:val="28"/>
          <w:lang w:val="en-US"/>
        </w:rPr>
        <w:t>996</w:t>
      </w:r>
      <w:r>
        <w:rPr>
          <w:rFonts w:hint="eastAsia" w:ascii="仿宋_GB2312" w:eastAsia="仿宋_GB2312"/>
          <w:sz w:val="28"/>
          <w:szCs w:val="28"/>
          <w:lang w:val="en-US" w:eastAsia="zh-CN"/>
        </w:rPr>
        <w:t>.00</w:t>
      </w:r>
      <w:r>
        <w:rPr>
          <w:rFonts w:hint="default" w:ascii="仿宋_GB2312" w:eastAsia="仿宋_GB2312"/>
          <w:sz w:val="28"/>
          <w:szCs w:val="28"/>
          <w:lang w:val="en-US"/>
        </w:rPr>
        <w:t>元，2025年度决算17</w:t>
      </w:r>
      <w:r>
        <w:rPr>
          <w:rFonts w:hint="eastAsia" w:ascii="仿宋_GB2312" w:eastAsia="仿宋_GB2312"/>
          <w:sz w:val="28"/>
          <w:szCs w:val="28"/>
          <w:lang w:val="en-US" w:eastAsia="zh-CN"/>
        </w:rPr>
        <w:t>,</w:t>
      </w:r>
      <w:r>
        <w:rPr>
          <w:rFonts w:hint="default" w:ascii="仿宋_GB2312" w:eastAsia="仿宋_GB2312"/>
          <w:sz w:val="28"/>
          <w:szCs w:val="28"/>
          <w:lang w:val="en-US"/>
        </w:rPr>
        <w:t>900</w:t>
      </w:r>
      <w:r>
        <w:rPr>
          <w:rFonts w:hint="eastAsia" w:ascii="仿宋_GB2312" w:eastAsia="仿宋_GB2312"/>
          <w:sz w:val="28"/>
          <w:szCs w:val="28"/>
          <w:lang w:val="en-US" w:eastAsia="zh-CN"/>
        </w:rPr>
        <w:t>,</w:t>
      </w:r>
      <w:r>
        <w:rPr>
          <w:rFonts w:hint="default" w:ascii="仿宋_GB2312" w:eastAsia="仿宋_GB2312"/>
          <w:sz w:val="28"/>
          <w:szCs w:val="28"/>
          <w:lang w:val="en-US"/>
        </w:rPr>
        <w:t>118.45元，完成年初预算的408.6%。其中：</w:t>
      </w:r>
    </w:p>
    <w:p w14:paraId="09729466">
      <w:pPr>
        <w:spacing w:line="580" w:lineRule="exact"/>
        <w:ind w:firstLine="560" w:firstLineChars="200"/>
        <w:rPr>
          <w:rFonts w:hint="default" w:ascii="仿宋_GB2312" w:eastAsia="仿宋_GB2312"/>
          <w:sz w:val="28"/>
          <w:szCs w:val="28"/>
          <w:lang w:val="en-US"/>
        </w:rPr>
      </w:pPr>
      <w:r>
        <w:rPr>
          <w:rFonts w:hint="default" w:ascii="仿宋_GB2312" w:eastAsia="仿宋_GB2312"/>
          <w:sz w:val="28"/>
          <w:szCs w:val="28"/>
          <w:lang w:val="en-US"/>
        </w:rPr>
        <w:t>“城乡社区管理事务”（款</w:t>
      </w:r>
      <w:r>
        <w:rPr>
          <w:rFonts w:hint="eastAsia" w:ascii="仿宋_GB2312" w:eastAsia="仿宋_GB2312"/>
          <w:sz w:val="28"/>
          <w:szCs w:val="28"/>
        </w:rPr>
        <w:t>，下同</w:t>
      </w:r>
      <w:r>
        <w:rPr>
          <w:rFonts w:hint="default" w:ascii="仿宋_GB2312" w:eastAsia="仿宋_GB2312"/>
          <w:sz w:val="28"/>
          <w:szCs w:val="28"/>
          <w:lang w:val="en-US"/>
        </w:rPr>
        <w:t>）2025年度年初预算1</w:t>
      </w:r>
      <w:r>
        <w:rPr>
          <w:rFonts w:hint="eastAsia" w:ascii="仿宋_GB2312" w:eastAsia="仿宋_GB2312"/>
          <w:sz w:val="28"/>
          <w:szCs w:val="28"/>
          <w:lang w:val="en-US" w:eastAsia="zh-CN"/>
        </w:rPr>
        <w:t>,</w:t>
      </w:r>
      <w:r>
        <w:rPr>
          <w:rFonts w:hint="default" w:ascii="仿宋_GB2312" w:eastAsia="仿宋_GB2312"/>
          <w:sz w:val="28"/>
          <w:szCs w:val="28"/>
          <w:lang w:val="en-US"/>
        </w:rPr>
        <w:t>444</w:t>
      </w:r>
      <w:r>
        <w:rPr>
          <w:rFonts w:hint="eastAsia" w:ascii="仿宋_GB2312" w:eastAsia="仿宋_GB2312"/>
          <w:sz w:val="28"/>
          <w:szCs w:val="28"/>
          <w:lang w:val="en-US" w:eastAsia="zh-CN"/>
        </w:rPr>
        <w:t>,</w:t>
      </w:r>
      <w:r>
        <w:rPr>
          <w:rFonts w:hint="default" w:ascii="仿宋_GB2312" w:eastAsia="仿宋_GB2312"/>
          <w:sz w:val="28"/>
          <w:szCs w:val="28"/>
          <w:lang w:val="en-US"/>
        </w:rPr>
        <w:t>996</w:t>
      </w:r>
      <w:r>
        <w:rPr>
          <w:rFonts w:hint="eastAsia" w:ascii="仿宋_GB2312" w:eastAsia="仿宋_GB2312"/>
          <w:sz w:val="28"/>
          <w:szCs w:val="28"/>
          <w:lang w:val="en-US" w:eastAsia="zh-CN"/>
        </w:rPr>
        <w:t>.00</w:t>
      </w:r>
      <w:r>
        <w:rPr>
          <w:rFonts w:hint="default" w:ascii="仿宋_GB2312" w:eastAsia="仿宋_GB2312"/>
          <w:sz w:val="28"/>
          <w:szCs w:val="28"/>
          <w:lang w:val="en-US"/>
        </w:rPr>
        <w:t>元，2025年度决算2</w:t>
      </w:r>
      <w:r>
        <w:rPr>
          <w:rFonts w:hint="eastAsia" w:ascii="仿宋_GB2312" w:eastAsia="仿宋_GB2312"/>
          <w:sz w:val="28"/>
          <w:szCs w:val="28"/>
          <w:lang w:val="en-US" w:eastAsia="zh-CN"/>
        </w:rPr>
        <w:t>,</w:t>
      </w:r>
      <w:r>
        <w:rPr>
          <w:rFonts w:hint="default" w:ascii="仿宋_GB2312" w:eastAsia="仿宋_GB2312"/>
          <w:sz w:val="28"/>
          <w:szCs w:val="28"/>
          <w:lang w:val="en-US"/>
        </w:rPr>
        <w:t>249</w:t>
      </w:r>
      <w:r>
        <w:rPr>
          <w:rFonts w:hint="eastAsia" w:ascii="仿宋_GB2312" w:eastAsia="仿宋_GB2312"/>
          <w:sz w:val="28"/>
          <w:szCs w:val="28"/>
          <w:lang w:val="en-US" w:eastAsia="zh-CN"/>
        </w:rPr>
        <w:t>,</w:t>
      </w:r>
      <w:r>
        <w:rPr>
          <w:rFonts w:hint="default" w:ascii="仿宋_GB2312" w:eastAsia="仿宋_GB2312"/>
          <w:sz w:val="28"/>
          <w:szCs w:val="28"/>
          <w:lang w:val="en-US"/>
        </w:rPr>
        <w:t>325.31元，完成年初预算的155.</w:t>
      </w:r>
      <w:r>
        <w:rPr>
          <w:rFonts w:hint="eastAsia" w:ascii="仿宋_GB2312" w:eastAsia="仿宋_GB2312"/>
          <w:sz w:val="28"/>
          <w:szCs w:val="28"/>
          <w:lang w:val="en-US" w:eastAsia="zh-CN"/>
        </w:rPr>
        <w:t>7</w:t>
      </w:r>
      <w:r>
        <w:rPr>
          <w:rFonts w:hint="default" w:ascii="仿宋_GB2312" w:eastAsia="仿宋_GB2312"/>
          <w:sz w:val="28"/>
          <w:szCs w:val="28"/>
          <w:lang w:val="en-US"/>
        </w:rPr>
        <w:t>%。主要原因：决算金额包含年中追加打非、综合执法及维稳工作经费及五指峰区域违建拆除项目资金等。</w:t>
      </w:r>
    </w:p>
    <w:p w14:paraId="731D9F0C">
      <w:pPr>
        <w:spacing w:line="580" w:lineRule="exact"/>
        <w:ind w:firstLine="560" w:firstLineChars="200"/>
        <w:rPr>
          <w:rFonts w:hint="default" w:ascii="仿宋_GB2312" w:eastAsia="仿宋_GB2312"/>
          <w:sz w:val="28"/>
          <w:szCs w:val="28"/>
          <w:lang w:val="en-US"/>
        </w:rPr>
      </w:pPr>
      <w:r>
        <w:rPr>
          <w:rFonts w:hint="default" w:ascii="仿宋_GB2312" w:eastAsia="仿宋_GB2312"/>
          <w:sz w:val="28"/>
          <w:szCs w:val="28"/>
          <w:lang w:val="en-US"/>
        </w:rPr>
        <w:t>“城乡社区公共设施”2025年度年初预算2</w:t>
      </w:r>
      <w:r>
        <w:rPr>
          <w:rFonts w:hint="eastAsia" w:ascii="仿宋_GB2312" w:eastAsia="仿宋_GB2312"/>
          <w:sz w:val="28"/>
          <w:szCs w:val="28"/>
          <w:lang w:val="en-US" w:eastAsia="zh-CN"/>
        </w:rPr>
        <w:t>,</w:t>
      </w:r>
      <w:r>
        <w:rPr>
          <w:rFonts w:hint="default" w:ascii="仿宋_GB2312" w:eastAsia="仿宋_GB2312"/>
          <w:sz w:val="28"/>
          <w:szCs w:val="28"/>
          <w:lang w:val="en-US"/>
        </w:rPr>
        <w:t>00</w:t>
      </w:r>
      <w:r>
        <w:rPr>
          <w:rFonts w:hint="eastAsia" w:ascii="仿宋_GB2312" w:eastAsia="仿宋_GB2312"/>
          <w:sz w:val="28"/>
          <w:szCs w:val="28"/>
          <w:lang w:val="en-US" w:eastAsia="zh-CN"/>
        </w:rPr>
        <w:t>0,000.00</w:t>
      </w:r>
      <w:r>
        <w:rPr>
          <w:rFonts w:hint="default" w:ascii="仿宋_GB2312" w:eastAsia="仿宋_GB2312"/>
          <w:sz w:val="28"/>
          <w:szCs w:val="28"/>
          <w:lang w:val="en-US"/>
        </w:rPr>
        <w:t>元，2025年度决算11</w:t>
      </w:r>
      <w:r>
        <w:rPr>
          <w:rFonts w:hint="eastAsia" w:ascii="仿宋_GB2312" w:eastAsia="仿宋_GB2312"/>
          <w:sz w:val="28"/>
          <w:szCs w:val="28"/>
          <w:lang w:val="en-US" w:eastAsia="zh-CN"/>
        </w:rPr>
        <w:t>,</w:t>
      </w:r>
      <w:r>
        <w:rPr>
          <w:rFonts w:hint="default" w:ascii="仿宋_GB2312" w:eastAsia="仿宋_GB2312"/>
          <w:sz w:val="28"/>
          <w:szCs w:val="28"/>
          <w:lang w:val="en-US"/>
        </w:rPr>
        <w:t>126</w:t>
      </w:r>
      <w:r>
        <w:rPr>
          <w:rFonts w:hint="eastAsia" w:ascii="仿宋_GB2312" w:eastAsia="仿宋_GB2312"/>
          <w:sz w:val="28"/>
          <w:szCs w:val="28"/>
          <w:lang w:val="en-US" w:eastAsia="zh-CN"/>
        </w:rPr>
        <w:t>,</w:t>
      </w:r>
      <w:r>
        <w:rPr>
          <w:rFonts w:hint="default" w:ascii="仿宋_GB2312" w:eastAsia="仿宋_GB2312"/>
          <w:sz w:val="28"/>
          <w:szCs w:val="28"/>
          <w:lang w:val="en-US"/>
        </w:rPr>
        <w:t>801.07元，完成年初预算的556.3%。主要原因：决算金额包含年中追加门头沟区清水镇杜家庄村、上、下清水村等九村地质灾害治理项目资金、门头沟区清水镇黄塔村、塔河村等七村地质灾害治理项目资金、清水镇上达么村挡墙修复加固工程资金。</w:t>
      </w:r>
    </w:p>
    <w:p w14:paraId="64CBE48E">
      <w:pPr>
        <w:spacing w:line="580" w:lineRule="exact"/>
        <w:ind w:firstLine="560" w:firstLineChars="200"/>
        <w:rPr>
          <w:rFonts w:hint="default" w:ascii="仿宋_GB2312" w:eastAsia="仿宋_GB2312"/>
          <w:sz w:val="28"/>
          <w:szCs w:val="28"/>
          <w:lang w:val="en-US"/>
        </w:rPr>
      </w:pPr>
      <w:r>
        <w:rPr>
          <w:rFonts w:hint="default" w:ascii="仿宋_GB2312" w:eastAsia="仿宋_GB2312"/>
          <w:sz w:val="28"/>
          <w:szCs w:val="28"/>
          <w:lang w:val="en-US"/>
        </w:rPr>
        <w:t>“城乡社区环境卫生”2025年度年初预算96</w:t>
      </w:r>
      <w:r>
        <w:rPr>
          <w:rFonts w:hint="eastAsia" w:ascii="仿宋_GB2312" w:eastAsia="仿宋_GB2312"/>
          <w:sz w:val="28"/>
          <w:szCs w:val="28"/>
          <w:lang w:val="en-US" w:eastAsia="zh-CN"/>
        </w:rPr>
        <w:t>,</w:t>
      </w:r>
      <w:r>
        <w:rPr>
          <w:rFonts w:hint="default" w:ascii="仿宋_GB2312" w:eastAsia="仿宋_GB2312"/>
          <w:sz w:val="28"/>
          <w:szCs w:val="28"/>
          <w:lang w:val="en-US"/>
        </w:rPr>
        <w:t>000</w:t>
      </w:r>
      <w:r>
        <w:rPr>
          <w:rFonts w:hint="eastAsia" w:ascii="仿宋_GB2312" w:eastAsia="仿宋_GB2312"/>
          <w:sz w:val="28"/>
          <w:szCs w:val="28"/>
          <w:lang w:val="en-US" w:eastAsia="zh-CN"/>
        </w:rPr>
        <w:t>.00</w:t>
      </w:r>
      <w:r>
        <w:rPr>
          <w:rFonts w:hint="default" w:ascii="仿宋_GB2312" w:eastAsia="仿宋_GB2312"/>
          <w:sz w:val="28"/>
          <w:szCs w:val="28"/>
          <w:lang w:val="en-US"/>
        </w:rPr>
        <w:t>元，2025年度决算96</w:t>
      </w:r>
      <w:r>
        <w:rPr>
          <w:rFonts w:hint="eastAsia" w:ascii="仿宋_GB2312" w:eastAsia="仿宋_GB2312"/>
          <w:sz w:val="28"/>
          <w:szCs w:val="28"/>
          <w:lang w:val="en-US" w:eastAsia="zh-CN"/>
        </w:rPr>
        <w:t>,</w:t>
      </w:r>
      <w:r>
        <w:rPr>
          <w:rFonts w:hint="default" w:ascii="仿宋_GB2312" w:eastAsia="仿宋_GB2312"/>
          <w:sz w:val="28"/>
          <w:szCs w:val="28"/>
          <w:lang w:val="en-US"/>
        </w:rPr>
        <w:t>000</w:t>
      </w:r>
      <w:r>
        <w:rPr>
          <w:rFonts w:hint="eastAsia" w:ascii="仿宋_GB2312" w:eastAsia="仿宋_GB2312"/>
          <w:sz w:val="28"/>
          <w:szCs w:val="28"/>
          <w:lang w:val="en-US" w:eastAsia="zh-CN"/>
        </w:rPr>
        <w:t>.00</w:t>
      </w:r>
      <w:r>
        <w:rPr>
          <w:rFonts w:hint="default" w:ascii="仿宋_GB2312" w:eastAsia="仿宋_GB2312"/>
          <w:sz w:val="28"/>
          <w:szCs w:val="28"/>
          <w:lang w:val="en-US"/>
        </w:rPr>
        <w:t>元，完成年初预算的100%。</w:t>
      </w:r>
    </w:p>
    <w:p w14:paraId="5166C6FB">
      <w:pPr>
        <w:spacing w:line="580" w:lineRule="exact"/>
        <w:ind w:firstLine="560" w:firstLineChars="200"/>
        <w:rPr>
          <w:rFonts w:hint="default" w:ascii="仿宋_GB2312" w:eastAsia="仿宋_GB2312"/>
          <w:sz w:val="28"/>
          <w:szCs w:val="28"/>
          <w:lang w:val="en-US"/>
        </w:rPr>
      </w:pPr>
      <w:r>
        <w:rPr>
          <w:rFonts w:hint="default" w:ascii="仿宋_GB2312" w:eastAsia="仿宋_GB2312"/>
          <w:sz w:val="28"/>
          <w:szCs w:val="28"/>
          <w:lang w:val="en-US"/>
        </w:rPr>
        <w:t>“其他城乡社区支出”2025年度年初预算1</w:t>
      </w:r>
      <w:r>
        <w:rPr>
          <w:rFonts w:hint="eastAsia" w:ascii="仿宋_GB2312" w:eastAsia="仿宋_GB2312"/>
          <w:sz w:val="28"/>
          <w:szCs w:val="28"/>
          <w:lang w:val="en-US" w:eastAsia="zh-CN"/>
        </w:rPr>
        <w:t>,</w:t>
      </w:r>
      <w:r>
        <w:rPr>
          <w:rFonts w:hint="default" w:ascii="仿宋_GB2312" w:eastAsia="仿宋_GB2312"/>
          <w:sz w:val="28"/>
          <w:szCs w:val="28"/>
          <w:lang w:val="en-US"/>
        </w:rPr>
        <w:t>280</w:t>
      </w:r>
      <w:r>
        <w:rPr>
          <w:rFonts w:hint="eastAsia" w:ascii="仿宋_GB2312" w:eastAsia="仿宋_GB2312"/>
          <w:sz w:val="28"/>
          <w:szCs w:val="28"/>
          <w:lang w:val="en-US" w:eastAsia="zh-CN"/>
        </w:rPr>
        <w:t>,</w:t>
      </w:r>
      <w:r>
        <w:rPr>
          <w:rFonts w:hint="default" w:ascii="仿宋_GB2312" w:eastAsia="仿宋_GB2312"/>
          <w:sz w:val="28"/>
          <w:szCs w:val="28"/>
          <w:lang w:val="en-US"/>
        </w:rPr>
        <w:t>000</w:t>
      </w:r>
      <w:r>
        <w:rPr>
          <w:rFonts w:hint="eastAsia" w:ascii="仿宋_GB2312" w:eastAsia="仿宋_GB2312"/>
          <w:sz w:val="28"/>
          <w:szCs w:val="28"/>
          <w:lang w:val="en-US" w:eastAsia="zh-CN"/>
        </w:rPr>
        <w:t>.00</w:t>
      </w:r>
      <w:r>
        <w:rPr>
          <w:rFonts w:hint="default" w:ascii="仿宋_GB2312" w:eastAsia="仿宋_GB2312"/>
          <w:sz w:val="28"/>
          <w:szCs w:val="28"/>
          <w:lang w:val="en-US"/>
        </w:rPr>
        <w:t>元，2025年度决算4</w:t>
      </w:r>
      <w:r>
        <w:rPr>
          <w:rFonts w:hint="eastAsia" w:ascii="仿宋_GB2312" w:eastAsia="仿宋_GB2312"/>
          <w:sz w:val="28"/>
          <w:szCs w:val="28"/>
          <w:lang w:val="en-US" w:eastAsia="zh-CN"/>
        </w:rPr>
        <w:t>,</w:t>
      </w:r>
      <w:r>
        <w:rPr>
          <w:rFonts w:hint="default" w:ascii="仿宋_GB2312" w:eastAsia="仿宋_GB2312"/>
          <w:sz w:val="28"/>
          <w:szCs w:val="28"/>
          <w:lang w:val="en-US"/>
        </w:rPr>
        <w:t>427</w:t>
      </w:r>
      <w:r>
        <w:rPr>
          <w:rFonts w:hint="eastAsia" w:ascii="仿宋_GB2312" w:eastAsia="仿宋_GB2312"/>
          <w:sz w:val="28"/>
          <w:szCs w:val="28"/>
          <w:lang w:val="en-US" w:eastAsia="zh-CN"/>
        </w:rPr>
        <w:t>,</w:t>
      </w:r>
      <w:r>
        <w:rPr>
          <w:rFonts w:hint="default" w:ascii="仿宋_GB2312" w:eastAsia="仿宋_GB2312"/>
          <w:sz w:val="28"/>
          <w:szCs w:val="28"/>
          <w:lang w:val="en-US"/>
        </w:rPr>
        <w:t>992.07元，完成年初预算的556.3%。主要原因：决算金额包含上年度结转结余2023年体制收入超收财力（一般）资金以及年中追加资金引导性财力补助（一般）及接诉即办资金等。</w:t>
      </w:r>
    </w:p>
    <w:p w14:paraId="78896BAA">
      <w:pPr>
        <w:spacing w:line="580" w:lineRule="exact"/>
        <w:ind w:firstLine="560" w:firstLineChars="200"/>
        <w:rPr>
          <w:rFonts w:hint="default" w:ascii="仿宋_GB2312" w:eastAsia="仿宋_GB2312"/>
          <w:sz w:val="28"/>
          <w:szCs w:val="28"/>
          <w:lang w:val="en-US"/>
        </w:rPr>
      </w:pPr>
      <w:r>
        <w:rPr>
          <w:rFonts w:hint="default" w:ascii="仿宋_GB2312" w:eastAsia="仿宋_GB2312"/>
          <w:sz w:val="28"/>
          <w:szCs w:val="28"/>
          <w:lang w:val="en-US"/>
        </w:rPr>
        <w:t>7、“农林水支出”(类)2025年度年初预算29</w:t>
      </w:r>
      <w:r>
        <w:rPr>
          <w:rFonts w:hint="eastAsia" w:ascii="仿宋_GB2312" w:eastAsia="仿宋_GB2312"/>
          <w:sz w:val="28"/>
          <w:szCs w:val="28"/>
          <w:lang w:val="en-US" w:eastAsia="zh-CN"/>
        </w:rPr>
        <w:t>,</w:t>
      </w:r>
      <w:r>
        <w:rPr>
          <w:rFonts w:hint="default" w:ascii="仿宋_GB2312" w:eastAsia="仿宋_GB2312"/>
          <w:sz w:val="28"/>
          <w:szCs w:val="28"/>
          <w:lang w:val="en-US"/>
        </w:rPr>
        <w:t>597</w:t>
      </w:r>
      <w:r>
        <w:rPr>
          <w:rFonts w:hint="eastAsia" w:ascii="仿宋_GB2312" w:eastAsia="仿宋_GB2312"/>
          <w:sz w:val="28"/>
          <w:szCs w:val="28"/>
          <w:lang w:val="en-US" w:eastAsia="zh-CN"/>
        </w:rPr>
        <w:t>,</w:t>
      </w:r>
      <w:r>
        <w:rPr>
          <w:rFonts w:hint="default" w:ascii="仿宋_GB2312" w:eastAsia="仿宋_GB2312"/>
          <w:sz w:val="28"/>
          <w:szCs w:val="28"/>
          <w:lang w:val="en-US"/>
        </w:rPr>
        <w:t>106.74元，2025年度决算69</w:t>
      </w:r>
      <w:r>
        <w:rPr>
          <w:rFonts w:hint="eastAsia" w:ascii="仿宋_GB2312" w:eastAsia="仿宋_GB2312"/>
          <w:sz w:val="28"/>
          <w:szCs w:val="28"/>
          <w:lang w:val="en-US" w:eastAsia="zh-CN"/>
        </w:rPr>
        <w:t>,</w:t>
      </w:r>
      <w:r>
        <w:rPr>
          <w:rFonts w:hint="default" w:ascii="仿宋_GB2312" w:eastAsia="仿宋_GB2312"/>
          <w:sz w:val="28"/>
          <w:szCs w:val="28"/>
          <w:lang w:val="en-US"/>
        </w:rPr>
        <w:t>472</w:t>
      </w:r>
      <w:r>
        <w:rPr>
          <w:rFonts w:hint="eastAsia" w:ascii="仿宋_GB2312" w:eastAsia="仿宋_GB2312"/>
          <w:sz w:val="28"/>
          <w:szCs w:val="28"/>
          <w:lang w:val="en-US" w:eastAsia="zh-CN"/>
        </w:rPr>
        <w:t>,</w:t>
      </w:r>
      <w:r>
        <w:rPr>
          <w:rFonts w:hint="default" w:ascii="仿宋_GB2312" w:eastAsia="仿宋_GB2312"/>
          <w:sz w:val="28"/>
          <w:szCs w:val="28"/>
          <w:lang w:val="en-US"/>
        </w:rPr>
        <w:t>644.66元，完成年初预算的234.7%。其中：</w:t>
      </w:r>
    </w:p>
    <w:p w14:paraId="5190B35D">
      <w:pPr>
        <w:spacing w:line="580" w:lineRule="exact"/>
        <w:ind w:firstLine="560" w:firstLineChars="200"/>
        <w:rPr>
          <w:rFonts w:hint="default" w:ascii="仿宋_GB2312" w:eastAsia="仿宋_GB2312"/>
          <w:sz w:val="28"/>
          <w:szCs w:val="28"/>
          <w:lang w:val="en-US"/>
        </w:rPr>
      </w:pPr>
      <w:r>
        <w:rPr>
          <w:rFonts w:hint="default" w:ascii="仿宋_GB2312" w:eastAsia="仿宋_GB2312"/>
          <w:sz w:val="28"/>
          <w:szCs w:val="28"/>
          <w:lang w:val="en-US"/>
        </w:rPr>
        <w:t>“农业农村”（款</w:t>
      </w:r>
      <w:r>
        <w:rPr>
          <w:rFonts w:hint="eastAsia" w:ascii="仿宋_GB2312" w:eastAsia="仿宋_GB2312"/>
          <w:sz w:val="28"/>
          <w:szCs w:val="28"/>
        </w:rPr>
        <w:t>，下同</w:t>
      </w:r>
      <w:r>
        <w:rPr>
          <w:rFonts w:hint="default" w:ascii="仿宋_GB2312" w:eastAsia="仿宋_GB2312"/>
          <w:sz w:val="28"/>
          <w:szCs w:val="28"/>
          <w:lang w:val="en-US"/>
        </w:rPr>
        <w:t>）2025年度年初预算7</w:t>
      </w:r>
      <w:r>
        <w:rPr>
          <w:rFonts w:hint="eastAsia" w:ascii="仿宋_GB2312" w:eastAsia="仿宋_GB2312"/>
          <w:sz w:val="28"/>
          <w:szCs w:val="28"/>
          <w:lang w:val="en-US" w:eastAsia="zh-CN"/>
        </w:rPr>
        <w:t>,</w:t>
      </w:r>
      <w:r>
        <w:rPr>
          <w:rFonts w:hint="default" w:ascii="仿宋_GB2312" w:eastAsia="仿宋_GB2312"/>
          <w:sz w:val="28"/>
          <w:szCs w:val="28"/>
          <w:lang w:val="en-US"/>
        </w:rPr>
        <w:t>684</w:t>
      </w:r>
      <w:r>
        <w:rPr>
          <w:rFonts w:hint="eastAsia" w:ascii="仿宋_GB2312" w:eastAsia="仿宋_GB2312"/>
          <w:sz w:val="28"/>
          <w:szCs w:val="28"/>
          <w:lang w:val="en-US" w:eastAsia="zh-CN"/>
        </w:rPr>
        <w:t>,</w:t>
      </w:r>
      <w:r>
        <w:rPr>
          <w:rFonts w:hint="default" w:ascii="仿宋_GB2312" w:eastAsia="仿宋_GB2312"/>
          <w:sz w:val="28"/>
          <w:szCs w:val="28"/>
          <w:lang w:val="en-US"/>
        </w:rPr>
        <w:t>900</w:t>
      </w:r>
      <w:r>
        <w:rPr>
          <w:rFonts w:hint="eastAsia" w:ascii="仿宋_GB2312" w:eastAsia="仿宋_GB2312"/>
          <w:sz w:val="28"/>
          <w:szCs w:val="28"/>
          <w:lang w:val="en-US" w:eastAsia="zh-CN"/>
        </w:rPr>
        <w:t>.00</w:t>
      </w:r>
      <w:r>
        <w:rPr>
          <w:rFonts w:hint="default" w:ascii="仿宋_GB2312" w:eastAsia="仿宋_GB2312"/>
          <w:sz w:val="28"/>
          <w:szCs w:val="28"/>
          <w:lang w:val="en-US"/>
        </w:rPr>
        <w:t>元，2025年度决算17</w:t>
      </w:r>
      <w:r>
        <w:rPr>
          <w:rFonts w:hint="eastAsia" w:ascii="仿宋_GB2312" w:eastAsia="仿宋_GB2312"/>
          <w:sz w:val="28"/>
          <w:szCs w:val="28"/>
          <w:lang w:val="en-US" w:eastAsia="zh-CN"/>
        </w:rPr>
        <w:t>,</w:t>
      </w:r>
      <w:r>
        <w:rPr>
          <w:rFonts w:hint="default" w:ascii="仿宋_GB2312" w:eastAsia="仿宋_GB2312"/>
          <w:sz w:val="28"/>
          <w:szCs w:val="28"/>
          <w:lang w:val="en-US"/>
        </w:rPr>
        <w:t>555</w:t>
      </w:r>
      <w:r>
        <w:rPr>
          <w:rFonts w:hint="eastAsia" w:ascii="仿宋_GB2312" w:eastAsia="仿宋_GB2312"/>
          <w:sz w:val="28"/>
          <w:szCs w:val="28"/>
          <w:lang w:val="en-US" w:eastAsia="zh-CN"/>
        </w:rPr>
        <w:t>,</w:t>
      </w:r>
      <w:r>
        <w:rPr>
          <w:rFonts w:hint="default" w:ascii="仿宋_GB2312" w:eastAsia="仿宋_GB2312"/>
          <w:sz w:val="28"/>
          <w:szCs w:val="28"/>
          <w:lang w:val="en-US"/>
        </w:rPr>
        <w:t>201.17元，完成年初预算的228.4%。主要原因：决算金额包含上年度结转结余资金以及年中追加美丽乡村管护项目资金、清水镇支护结构设施水毁修复项目资金、2022年度耕地保护补偿资金、门头沟区京西麦坊农产品加工共享工厂提升项目资金、门头沟区“拇指姑娘”奇异莓庄园提升项目资金等。</w:t>
      </w:r>
    </w:p>
    <w:p w14:paraId="2A4B50AA">
      <w:pPr>
        <w:spacing w:line="580" w:lineRule="exact"/>
        <w:ind w:firstLine="560" w:firstLineChars="200"/>
        <w:rPr>
          <w:rFonts w:hint="default" w:ascii="仿宋_GB2312" w:eastAsia="仿宋_GB2312"/>
          <w:sz w:val="28"/>
          <w:szCs w:val="28"/>
          <w:lang w:val="en-US"/>
        </w:rPr>
      </w:pPr>
      <w:r>
        <w:rPr>
          <w:rFonts w:hint="default" w:ascii="仿宋_GB2312" w:eastAsia="仿宋_GB2312"/>
          <w:sz w:val="28"/>
          <w:szCs w:val="28"/>
          <w:lang w:val="en-US"/>
        </w:rPr>
        <w:t>“林业和草原”2025年度年初预算14</w:t>
      </w:r>
      <w:r>
        <w:rPr>
          <w:rFonts w:hint="eastAsia" w:ascii="仿宋_GB2312" w:eastAsia="仿宋_GB2312"/>
          <w:sz w:val="28"/>
          <w:szCs w:val="28"/>
          <w:lang w:val="en-US" w:eastAsia="zh-CN"/>
        </w:rPr>
        <w:t>,</w:t>
      </w:r>
      <w:r>
        <w:rPr>
          <w:rFonts w:hint="default" w:ascii="仿宋_GB2312" w:eastAsia="仿宋_GB2312"/>
          <w:sz w:val="28"/>
          <w:szCs w:val="28"/>
          <w:lang w:val="en-US"/>
        </w:rPr>
        <w:t>092</w:t>
      </w:r>
      <w:r>
        <w:rPr>
          <w:rFonts w:hint="eastAsia" w:ascii="仿宋_GB2312" w:eastAsia="仿宋_GB2312"/>
          <w:sz w:val="28"/>
          <w:szCs w:val="28"/>
          <w:lang w:val="en-US" w:eastAsia="zh-CN"/>
        </w:rPr>
        <w:t>,</w:t>
      </w:r>
      <w:r>
        <w:rPr>
          <w:rFonts w:hint="default" w:ascii="仿宋_GB2312" w:eastAsia="仿宋_GB2312"/>
          <w:sz w:val="28"/>
          <w:szCs w:val="28"/>
          <w:lang w:val="en-US"/>
        </w:rPr>
        <w:t>206.74元，2025年度决算24</w:t>
      </w:r>
      <w:r>
        <w:rPr>
          <w:rFonts w:hint="eastAsia" w:ascii="仿宋_GB2312" w:eastAsia="仿宋_GB2312"/>
          <w:sz w:val="28"/>
          <w:szCs w:val="28"/>
          <w:lang w:val="en-US" w:eastAsia="zh-CN"/>
        </w:rPr>
        <w:t>,</w:t>
      </w:r>
      <w:r>
        <w:rPr>
          <w:rFonts w:hint="default" w:ascii="仿宋_GB2312" w:eastAsia="仿宋_GB2312"/>
          <w:sz w:val="28"/>
          <w:szCs w:val="28"/>
          <w:lang w:val="en-US"/>
        </w:rPr>
        <w:t>595</w:t>
      </w:r>
      <w:r>
        <w:rPr>
          <w:rFonts w:hint="eastAsia" w:ascii="仿宋_GB2312" w:eastAsia="仿宋_GB2312"/>
          <w:sz w:val="28"/>
          <w:szCs w:val="28"/>
          <w:lang w:val="en-US" w:eastAsia="zh-CN"/>
        </w:rPr>
        <w:t>,</w:t>
      </w:r>
      <w:r>
        <w:rPr>
          <w:rFonts w:hint="default" w:ascii="仿宋_GB2312" w:eastAsia="仿宋_GB2312"/>
          <w:sz w:val="28"/>
          <w:szCs w:val="28"/>
          <w:lang w:val="en-US"/>
        </w:rPr>
        <w:t>842.07元，完成年初预算的174.5%。主要原因：决算金额包含年中追加灵山自然风景区生态环境保护项目资金、门头沟区百万亩造林工程林木养护（市级）资金、门头沟区百万亩造林工程林木养护（区级）资金、门头沟区山区森林健康经营林木抚育项目资金等。</w:t>
      </w:r>
    </w:p>
    <w:p w14:paraId="4D983C33">
      <w:pPr>
        <w:spacing w:line="580" w:lineRule="exact"/>
        <w:ind w:firstLine="560" w:firstLineChars="200"/>
        <w:rPr>
          <w:rFonts w:hint="default" w:ascii="仿宋_GB2312" w:eastAsia="仿宋_GB2312"/>
          <w:sz w:val="28"/>
          <w:szCs w:val="28"/>
          <w:lang w:val="en-US"/>
        </w:rPr>
      </w:pPr>
      <w:r>
        <w:rPr>
          <w:rFonts w:hint="default" w:ascii="仿宋_GB2312" w:eastAsia="仿宋_GB2312"/>
          <w:sz w:val="28"/>
          <w:szCs w:val="28"/>
          <w:lang w:val="en-US"/>
        </w:rPr>
        <w:t>“水利”2025年度年初预算16</w:t>
      </w:r>
      <w:r>
        <w:rPr>
          <w:rFonts w:hint="eastAsia" w:ascii="仿宋_GB2312" w:eastAsia="仿宋_GB2312"/>
          <w:sz w:val="28"/>
          <w:szCs w:val="28"/>
          <w:lang w:val="en-US" w:eastAsia="zh-CN"/>
        </w:rPr>
        <w:t>0,000.00</w:t>
      </w:r>
      <w:r>
        <w:rPr>
          <w:rFonts w:hint="default" w:ascii="仿宋_GB2312" w:eastAsia="仿宋_GB2312"/>
          <w:sz w:val="28"/>
          <w:szCs w:val="28"/>
          <w:lang w:val="en-US"/>
        </w:rPr>
        <w:t>元，2025年度决算11</w:t>
      </w:r>
      <w:r>
        <w:rPr>
          <w:rFonts w:hint="eastAsia" w:ascii="仿宋_GB2312" w:eastAsia="仿宋_GB2312"/>
          <w:sz w:val="28"/>
          <w:szCs w:val="28"/>
          <w:lang w:val="en-US" w:eastAsia="zh-CN"/>
        </w:rPr>
        <w:t>,</w:t>
      </w:r>
      <w:r>
        <w:rPr>
          <w:rFonts w:hint="default" w:ascii="仿宋_GB2312" w:eastAsia="仿宋_GB2312"/>
          <w:sz w:val="28"/>
          <w:szCs w:val="28"/>
          <w:lang w:val="en-US"/>
        </w:rPr>
        <w:t>639</w:t>
      </w:r>
      <w:r>
        <w:rPr>
          <w:rFonts w:hint="eastAsia" w:ascii="仿宋_GB2312" w:eastAsia="仿宋_GB2312"/>
          <w:sz w:val="28"/>
          <w:szCs w:val="28"/>
          <w:lang w:val="en-US" w:eastAsia="zh-CN"/>
        </w:rPr>
        <w:t>,</w:t>
      </w:r>
      <w:r>
        <w:rPr>
          <w:rFonts w:hint="default" w:ascii="仿宋_GB2312" w:eastAsia="仿宋_GB2312"/>
          <w:sz w:val="28"/>
          <w:szCs w:val="28"/>
          <w:lang w:val="en-US"/>
        </w:rPr>
        <w:t>887.42元，完成年初预算的7</w:t>
      </w:r>
      <w:r>
        <w:rPr>
          <w:rFonts w:hint="eastAsia" w:ascii="仿宋_GB2312" w:eastAsia="仿宋_GB2312"/>
          <w:sz w:val="28"/>
          <w:szCs w:val="28"/>
          <w:lang w:val="en-US" w:eastAsia="zh-CN"/>
        </w:rPr>
        <w:t>,</w:t>
      </w:r>
      <w:r>
        <w:rPr>
          <w:rFonts w:hint="default" w:ascii="仿宋_GB2312" w:eastAsia="仿宋_GB2312"/>
          <w:sz w:val="28"/>
          <w:szCs w:val="28"/>
          <w:lang w:val="en-US"/>
        </w:rPr>
        <w:t>274.9%。主要原因：决算金额包含年中追加支沟毛渠疏浚项目资金、2025年河长制工作经费项目资金、门头沟区农村供水站运维补贴项目资金。</w:t>
      </w:r>
    </w:p>
    <w:p w14:paraId="24C03ABD">
      <w:pPr>
        <w:spacing w:line="580" w:lineRule="exact"/>
        <w:ind w:firstLine="560" w:firstLineChars="200"/>
        <w:rPr>
          <w:rFonts w:hint="default" w:ascii="仿宋_GB2312" w:eastAsia="仿宋_GB2312"/>
          <w:sz w:val="28"/>
          <w:szCs w:val="28"/>
          <w:lang w:val="en-US"/>
        </w:rPr>
      </w:pPr>
      <w:r>
        <w:rPr>
          <w:rFonts w:hint="default" w:ascii="仿宋_GB2312" w:eastAsia="仿宋_GB2312"/>
          <w:sz w:val="28"/>
          <w:szCs w:val="28"/>
          <w:lang w:val="en-US"/>
        </w:rPr>
        <w:t>“农村综合改革”2025年度年初预算7</w:t>
      </w:r>
      <w:r>
        <w:rPr>
          <w:rFonts w:hint="eastAsia" w:ascii="仿宋_GB2312" w:eastAsia="仿宋_GB2312"/>
          <w:sz w:val="28"/>
          <w:szCs w:val="28"/>
          <w:lang w:val="en-US" w:eastAsia="zh-CN"/>
        </w:rPr>
        <w:t>,</w:t>
      </w:r>
      <w:r>
        <w:rPr>
          <w:rFonts w:hint="default" w:ascii="仿宋_GB2312" w:eastAsia="仿宋_GB2312"/>
          <w:sz w:val="28"/>
          <w:szCs w:val="28"/>
          <w:lang w:val="en-US"/>
        </w:rPr>
        <w:t>66</w:t>
      </w:r>
      <w:r>
        <w:rPr>
          <w:rFonts w:hint="eastAsia" w:ascii="仿宋_GB2312" w:eastAsia="仿宋_GB2312"/>
          <w:sz w:val="28"/>
          <w:szCs w:val="28"/>
          <w:lang w:val="en-US" w:eastAsia="zh-CN"/>
        </w:rPr>
        <w:t>0,000.00</w:t>
      </w:r>
      <w:r>
        <w:rPr>
          <w:rFonts w:hint="default" w:ascii="仿宋_GB2312" w:eastAsia="仿宋_GB2312"/>
          <w:sz w:val="28"/>
          <w:szCs w:val="28"/>
          <w:lang w:val="en-US"/>
        </w:rPr>
        <w:t>元，2025年度决算15</w:t>
      </w:r>
      <w:r>
        <w:rPr>
          <w:rFonts w:hint="eastAsia" w:ascii="仿宋_GB2312" w:eastAsia="仿宋_GB2312"/>
          <w:sz w:val="28"/>
          <w:szCs w:val="28"/>
          <w:lang w:val="en-US" w:eastAsia="zh-CN"/>
        </w:rPr>
        <w:t>,</w:t>
      </w:r>
      <w:r>
        <w:rPr>
          <w:rFonts w:hint="default" w:ascii="仿宋_GB2312" w:eastAsia="仿宋_GB2312"/>
          <w:sz w:val="28"/>
          <w:szCs w:val="28"/>
          <w:lang w:val="en-US"/>
        </w:rPr>
        <w:t>681</w:t>
      </w:r>
      <w:r>
        <w:rPr>
          <w:rFonts w:hint="eastAsia" w:ascii="仿宋_GB2312" w:eastAsia="仿宋_GB2312"/>
          <w:sz w:val="28"/>
          <w:szCs w:val="28"/>
          <w:lang w:val="en-US" w:eastAsia="zh-CN"/>
        </w:rPr>
        <w:t>,</w:t>
      </w:r>
      <w:r>
        <w:rPr>
          <w:rFonts w:hint="default" w:ascii="仿宋_GB2312" w:eastAsia="仿宋_GB2312"/>
          <w:sz w:val="28"/>
          <w:szCs w:val="28"/>
          <w:lang w:val="en-US"/>
        </w:rPr>
        <w:t>714</w:t>
      </w:r>
      <w:r>
        <w:rPr>
          <w:rFonts w:hint="eastAsia" w:ascii="仿宋_GB2312" w:eastAsia="仿宋_GB2312"/>
          <w:sz w:val="28"/>
          <w:szCs w:val="28"/>
          <w:lang w:val="en-US" w:eastAsia="zh-CN"/>
        </w:rPr>
        <w:t>.00</w:t>
      </w:r>
      <w:r>
        <w:rPr>
          <w:rFonts w:hint="default" w:ascii="仿宋_GB2312" w:eastAsia="仿宋_GB2312"/>
          <w:sz w:val="28"/>
          <w:szCs w:val="28"/>
          <w:lang w:val="en-US"/>
        </w:rPr>
        <w:t>元，完成年初预算的204.7%。主要原因：决算金额包含年中追加村干部待遇保障经费（基本报酬）资金、村级组织办公经费资金、正常离任村党组织书记生活补贴资金。</w:t>
      </w:r>
    </w:p>
    <w:p w14:paraId="45A41714">
      <w:pPr>
        <w:spacing w:line="580" w:lineRule="exact"/>
        <w:ind w:firstLine="560" w:firstLineChars="200"/>
        <w:rPr>
          <w:rFonts w:hint="default" w:ascii="仿宋_GB2312" w:eastAsia="仿宋_GB2312"/>
          <w:sz w:val="28"/>
          <w:szCs w:val="28"/>
          <w:lang w:val="en-US"/>
        </w:rPr>
      </w:pPr>
      <w:r>
        <w:rPr>
          <w:rFonts w:hint="default" w:ascii="仿宋_GB2312" w:eastAsia="仿宋_GB2312"/>
          <w:sz w:val="28"/>
          <w:szCs w:val="28"/>
          <w:lang w:val="en-US"/>
        </w:rPr>
        <w:t>8、“资源勘探工业信息等支出”(类)2025年度年初预算0元，2025年度决算35</w:t>
      </w:r>
      <w:r>
        <w:rPr>
          <w:rFonts w:hint="eastAsia" w:ascii="仿宋_GB2312" w:eastAsia="仿宋_GB2312"/>
          <w:sz w:val="28"/>
          <w:szCs w:val="28"/>
          <w:lang w:val="en-US" w:eastAsia="zh-CN"/>
        </w:rPr>
        <w:t>,</w:t>
      </w:r>
      <w:r>
        <w:rPr>
          <w:rFonts w:hint="default" w:ascii="仿宋_GB2312" w:eastAsia="仿宋_GB2312"/>
          <w:sz w:val="28"/>
          <w:szCs w:val="28"/>
          <w:lang w:val="en-US"/>
        </w:rPr>
        <w:t>802.00元。其中：</w:t>
      </w:r>
    </w:p>
    <w:p w14:paraId="0C2EEA8C">
      <w:pPr>
        <w:spacing w:line="580" w:lineRule="exact"/>
        <w:ind w:firstLine="560" w:firstLineChars="200"/>
        <w:rPr>
          <w:rFonts w:hint="default" w:ascii="仿宋_GB2312" w:eastAsia="仿宋_GB2312"/>
          <w:sz w:val="28"/>
          <w:szCs w:val="28"/>
          <w:lang w:val="en-US"/>
        </w:rPr>
      </w:pPr>
      <w:r>
        <w:rPr>
          <w:rFonts w:hint="default" w:ascii="仿宋_GB2312" w:eastAsia="仿宋_GB2312"/>
          <w:sz w:val="28"/>
          <w:szCs w:val="28"/>
          <w:lang w:val="en-US"/>
        </w:rPr>
        <w:t>“制造业”（款</w:t>
      </w:r>
      <w:r>
        <w:rPr>
          <w:rFonts w:hint="eastAsia" w:ascii="仿宋_GB2312" w:eastAsia="仿宋_GB2312"/>
          <w:sz w:val="28"/>
          <w:szCs w:val="28"/>
        </w:rPr>
        <w:t>，下同</w:t>
      </w:r>
      <w:r>
        <w:rPr>
          <w:rFonts w:hint="default" w:ascii="仿宋_GB2312" w:eastAsia="仿宋_GB2312"/>
          <w:sz w:val="28"/>
          <w:szCs w:val="28"/>
          <w:lang w:val="en-US"/>
        </w:rPr>
        <w:t>）2025年度年初预算0元，2025年度决算35</w:t>
      </w:r>
      <w:r>
        <w:rPr>
          <w:rFonts w:hint="eastAsia" w:ascii="仿宋_GB2312" w:eastAsia="仿宋_GB2312"/>
          <w:sz w:val="28"/>
          <w:szCs w:val="28"/>
          <w:lang w:val="en-US" w:eastAsia="zh-CN"/>
        </w:rPr>
        <w:t>,</w:t>
      </w:r>
      <w:r>
        <w:rPr>
          <w:rFonts w:hint="default" w:ascii="仿宋_GB2312" w:eastAsia="仿宋_GB2312"/>
          <w:sz w:val="28"/>
          <w:szCs w:val="28"/>
          <w:lang w:val="en-US"/>
        </w:rPr>
        <w:t>802</w:t>
      </w:r>
      <w:r>
        <w:rPr>
          <w:rFonts w:hint="eastAsia" w:ascii="仿宋_GB2312" w:eastAsia="仿宋_GB2312"/>
          <w:sz w:val="28"/>
          <w:szCs w:val="28"/>
          <w:lang w:val="en-US" w:eastAsia="zh-CN"/>
        </w:rPr>
        <w:t>.00</w:t>
      </w:r>
      <w:r>
        <w:rPr>
          <w:rFonts w:hint="default" w:ascii="仿宋_GB2312" w:eastAsia="仿宋_GB2312"/>
          <w:sz w:val="28"/>
          <w:szCs w:val="28"/>
          <w:lang w:val="en-US"/>
        </w:rPr>
        <w:t>元。主要原因：决算金额包含年中追加能力提升设备采购项目资金。</w:t>
      </w:r>
    </w:p>
    <w:p w14:paraId="4D5B5D40">
      <w:pPr>
        <w:spacing w:line="580" w:lineRule="exact"/>
        <w:ind w:firstLine="560" w:firstLineChars="200"/>
        <w:rPr>
          <w:rFonts w:hint="default" w:ascii="仿宋_GB2312" w:eastAsia="仿宋_GB2312"/>
          <w:sz w:val="28"/>
          <w:szCs w:val="28"/>
          <w:lang w:val="en-US"/>
        </w:rPr>
      </w:pPr>
      <w:r>
        <w:rPr>
          <w:rFonts w:hint="default" w:ascii="仿宋_GB2312" w:eastAsia="仿宋_GB2312"/>
          <w:sz w:val="28"/>
          <w:szCs w:val="28"/>
          <w:lang w:val="en-US"/>
        </w:rPr>
        <w:t>9、“自然资源海洋气象等支出”(类)2025年度年初预算45</w:t>
      </w:r>
      <w:r>
        <w:rPr>
          <w:rFonts w:hint="eastAsia" w:ascii="仿宋_GB2312" w:eastAsia="仿宋_GB2312"/>
          <w:sz w:val="28"/>
          <w:szCs w:val="28"/>
          <w:lang w:val="en-US" w:eastAsia="zh-CN"/>
        </w:rPr>
        <w:t>,</w:t>
      </w:r>
      <w:r>
        <w:rPr>
          <w:rFonts w:hint="default" w:ascii="仿宋_GB2312" w:eastAsia="仿宋_GB2312"/>
          <w:sz w:val="28"/>
          <w:szCs w:val="28"/>
          <w:lang w:val="en-US"/>
        </w:rPr>
        <w:t>368</w:t>
      </w:r>
      <w:r>
        <w:rPr>
          <w:rFonts w:hint="eastAsia" w:ascii="仿宋_GB2312" w:eastAsia="仿宋_GB2312"/>
          <w:sz w:val="28"/>
          <w:szCs w:val="28"/>
          <w:lang w:val="en-US" w:eastAsia="zh-CN"/>
        </w:rPr>
        <w:t>,</w:t>
      </w:r>
      <w:r>
        <w:rPr>
          <w:rFonts w:hint="default" w:ascii="仿宋_GB2312" w:eastAsia="仿宋_GB2312"/>
          <w:sz w:val="28"/>
          <w:szCs w:val="28"/>
          <w:lang w:val="en-US"/>
        </w:rPr>
        <w:t>459</w:t>
      </w:r>
      <w:r>
        <w:rPr>
          <w:rFonts w:hint="eastAsia" w:ascii="仿宋_GB2312" w:eastAsia="仿宋_GB2312"/>
          <w:sz w:val="28"/>
          <w:szCs w:val="28"/>
          <w:lang w:val="en-US" w:eastAsia="zh-CN"/>
        </w:rPr>
        <w:t>.00</w:t>
      </w:r>
      <w:r>
        <w:rPr>
          <w:rFonts w:hint="default" w:ascii="仿宋_GB2312" w:eastAsia="仿宋_GB2312"/>
          <w:sz w:val="28"/>
          <w:szCs w:val="28"/>
          <w:lang w:val="en-US"/>
        </w:rPr>
        <w:t>元，2025年度决算44</w:t>
      </w:r>
      <w:r>
        <w:rPr>
          <w:rFonts w:hint="eastAsia" w:ascii="仿宋_GB2312" w:eastAsia="仿宋_GB2312"/>
          <w:sz w:val="28"/>
          <w:szCs w:val="28"/>
          <w:lang w:val="en-US" w:eastAsia="zh-CN"/>
        </w:rPr>
        <w:t>,</w:t>
      </w:r>
      <w:r>
        <w:rPr>
          <w:rFonts w:hint="default" w:ascii="仿宋_GB2312" w:eastAsia="仿宋_GB2312"/>
          <w:sz w:val="28"/>
          <w:szCs w:val="28"/>
          <w:lang w:val="en-US"/>
        </w:rPr>
        <w:t>934</w:t>
      </w:r>
      <w:r>
        <w:rPr>
          <w:rFonts w:hint="eastAsia" w:ascii="仿宋_GB2312" w:eastAsia="仿宋_GB2312"/>
          <w:sz w:val="28"/>
          <w:szCs w:val="28"/>
          <w:lang w:val="en-US" w:eastAsia="zh-CN"/>
        </w:rPr>
        <w:t>,</w:t>
      </w:r>
      <w:r>
        <w:rPr>
          <w:rFonts w:hint="default" w:ascii="仿宋_GB2312" w:eastAsia="仿宋_GB2312"/>
          <w:sz w:val="28"/>
          <w:szCs w:val="28"/>
          <w:lang w:val="en-US"/>
        </w:rPr>
        <w:t>870.45元。完成年初预算的99.0%。其中：</w:t>
      </w:r>
    </w:p>
    <w:p w14:paraId="60197C63">
      <w:pPr>
        <w:spacing w:line="580" w:lineRule="exact"/>
        <w:ind w:firstLine="560" w:firstLineChars="200"/>
        <w:rPr>
          <w:rFonts w:hint="default" w:ascii="仿宋_GB2312" w:eastAsia="仿宋_GB2312"/>
          <w:sz w:val="28"/>
          <w:szCs w:val="28"/>
          <w:lang w:val="en-US"/>
        </w:rPr>
      </w:pPr>
      <w:r>
        <w:rPr>
          <w:rFonts w:hint="default" w:ascii="仿宋_GB2312" w:eastAsia="仿宋_GB2312"/>
          <w:sz w:val="28"/>
          <w:szCs w:val="28"/>
          <w:lang w:val="en-US"/>
        </w:rPr>
        <w:t>“自然资源事务”（款</w:t>
      </w:r>
      <w:r>
        <w:rPr>
          <w:rFonts w:hint="eastAsia" w:ascii="仿宋_GB2312" w:eastAsia="仿宋_GB2312"/>
          <w:sz w:val="28"/>
          <w:szCs w:val="28"/>
        </w:rPr>
        <w:t>，下同</w:t>
      </w:r>
      <w:r>
        <w:rPr>
          <w:rFonts w:hint="default" w:ascii="仿宋_GB2312" w:eastAsia="仿宋_GB2312"/>
          <w:sz w:val="28"/>
          <w:szCs w:val="28"/>
          <w:lang w:val="en-US"/>
        </w:rPr>
        <w:t>）2025年度年初预算45</w:t>
      </w:r>
      <w:r>
        <w:rPr>
          <w:rFonts w:hint="eastAsia" w:ascii="仿宋_GB2312" w:eastAsia="仿宋_GB2312"/>
          <w:sz w:val="28"/>
          <w:szCs w:val="28"/>
          <w:lang w:val="en-US" w:eastAsia="zh-CN"/>
        </w:rPr>
        <w:t>,</w:t>
      </w:r>
      <w:r>
        <w:rPr>
          <w:rFonts w:hint="default" w:ascii="仿宋_GB2312" w:eastAsia="仿宋_GB2312"/>
          <w:sz w:val="28"/>
          <w:szCs w:val="28"/>
          <w:lang w:val="en-US"/>
        </w:rPr>
        <w:t>368</w:t>
      </w:r>
      <w:r>
        <w:rPr>
          <w:rFonts w:hint="eastAsia" w:ascii="仿宋_GB2312" w:eastAsia="仿宋_GB2312"/>
          <w:sz w:val="28"/>
          <w:szCs w:val="28"/>
          <w:lang w:val="en-US" w:eastAsia="zh-CN"/>
        </w:rPr>
        <w:t>,</w:t>
      </w:r>
      <w:r>
        <w:rPr>
          <w:rFonts w:hint="default" w:ascii="仿宋_GB2312" w:eastAsia="仿宋_GB2312"/>
          <w:sz w:val="28"/>
          <w:szCs w:val="28"/>
          <w:lang w:val="en-US"/>
        </w:rPr>
        <w:t>459.00元，2025年度决算44</w:t>
      </w:r>
      <w:r>
        <w:rPr>
          <w:rFonts w:hint="eastAsia" w:ascii="仿宋_GB2312" w:eastAsia="仿宋_GB2312"/>
          <w:sz w:val="28"/>
          <w:szCs w:val="28"/>
          <w:lang w:val="en-US" w:eastAsia="zh-CN"/>
        </w:rPr>
        <w:t>,</w:t>
      </w:r>
      <w:r>
        <w:rPr>
          <w:rFonts w:hint="default" w:ascii="仿宋_GB2312" w:eastAsia="仿宋_GB2312"/>
          <w:sz w:val="28"/>
          <w:szCs w:val="28"/>
          <w:lang w:val="en-US"/>
        </w:rPr>
        <w:t>934</w:t>
      </w:r>
      <w:r>
        <w:rPr>
          <w:rFonts w:hint="eastAsia" w:ascii="仿宋_GB2312" w:eastAsia="仿宋_GB2312"/>
          <w:sz w:val="28"/>
          <w:szCs w:val="28"/>
          <w:lang w:val="en-US" w:eastAsia="zh-CN"/>
        </w:rPr>
        <w:t>,</w:t>
      </w:r>
      <w:r>
        <w:rPr>
          <w:rFonts w:hint="default" w:ascii="仿宋_GB2312" w:eastAsia="仿宋_GB2312"/>
          <w:sz w:val="28"/>
          <w:szCs w:val="28"/>
          <w:lang w:val="en-US"/>
        </w:rPr>
        <w:t>870.45元。完成年初预算的99.0%。</w:t>
      </w:r>
    </w:p>
    <w:p w14:paraId="6FE63527">
      <w:pPr>
        <w:spacing w:line="580" w:lineRule="exact"/>
        <w:ind w:firstLine="560" w:firstLineChars="200"/>
        <w:rPr>
          <w:rFonts w:hint="default" w:ascii="仿宋_GB2312" w:eastAsia="仿宋_GB2312"/>
          <w:sz w:val="28"/>
          <w:szCs w:val="28"/>
          <w:lang w:val="en-US"/>
        </w:rPr>
      </w:pPr>
      <w:r>
        <w:rPr>
          <w:rFonts w:hint="default" w:ascii="仿宋_GB2312" w:eastAsia="仿宋_GB2312"/>
          <w:sz w:val="28"/>
          <w:szCs w:val="28"/>
          <w:lang w:val="en-US"/>
        </w:rPr>
        <w:t>10、“住房保障支出”(类)2025年度年初预算0元，2025年度决算408</w:t>
      </w:r>
      <w:r>
        <w:rPr>
          <w:rFonts w:hint="eastAsia" w:ascii="仿宋_GB2312" w:eastAsia="仿宋_GB2312"/>
          <w:sz w:val="28"/>
          <w:szCs w:val="28"/>
          <w:lang w:val="en-US" w:eastAsia="zh-CN"/>
        </w:rPr>
        <w:t>,</w:t>
      </w:r>
      <w:r>
        <w:rPr>
          <w:rFonts w:hint="default" w:ascii="仿宋_GB2312" w:eastAsia="仿宋_GB2312"/>
          <w:sz w:val="28"/>
          <w:szCs w:val="28"/>
          <w:lang w:val="en-US"/>
        </w:rPr>
        <w:t>000</w:t>
      </w:r>
      <w:r>
        <w:rPr>
          <w:rFonts w:hint="eastAsia" w:ascii="仿宋_GB2312" w:eastAsia="仿宋_GB2312"/>
          <w:sz w:val="28"/>
          <w:szCs w:val="28"/>
          <w:lang w:val="en-US" w:eastAsia="zh-CN"/>
        </w:rPr>
        <w:t>.00</w:t>
      </w:r>
      <w:r>
        <w:rPr>
          <w:rFonts w:hint="default" w:ascii="仿宋_GB2312" w:eastAsia="仿宋_GB2312"/>
          <w:sz w:val="28"/>
          <w:szCs w:val="28"/>
          <w:lang w:val="en-US"/>
        </w:rPr>
        <w:t>元。其中：</w:t>
      </w:r>
    </w:p>
    <w:p w14:paraId="4972AF44">
      <w:pPr>
        <w:spacing w:line="580" w:lineRule="exact"/>
        <w:ind w:firstLine="560" w:firstLineChars="200"/>
        <w:rPr>
          <w:rFonts w:hint="default" w:ascii="仿宋_GB2312" w:eastAsia="仿宋_GB2312"/>
          <w:sz w:val="28"/>
          <w:szCs w:val="28"/>
          <w:lang w:val="en-US"/>
        </w:rPr>
      </w:pPr>
      <w:r>
        <w:rPr>
          <w:rFonts w:hint="default" w:ascii="仿宋_GB2312" w:eastAsia="仿宋_GB2312"/>
          <w:sz w:val="28"/>
          <w:szCs w:val="28"/>
          <w:lang w:val="en-US"/>
        </w:rPr>
        <w:t>“保障性安居工程支出”（款</w:t>
      </w:r>
      <w:r>
        <w:rPr>
          <w:rFonts w:hint="eastAsia" w:ascii="仿宋_GB2312" w:eastAsia="仿宋_GB2312"/>
          <w:sz w:val="28"/>
          <w:szCs w:val="28"/>
        </w:rPr>
        <w:t>，下同</w:t>
      </w:r>
      <w:r>
        <w:rPr>
          <w:rFonts w:hint="default" w:ascii="仿宋_GB2312" w:eastAsia="仿宋_GB2312"/>
          <w:sz w:val="28"/>
          <w:szCs w:val="28"/>
          <w:lang w:val="en-US"/>
        </w:rPr>
        <w:t>）2025年度年初预算0元，2025年度决算408</w:t>
      </w:r>
      <w:r>
        <w:rPr>
          <w:rFonts w:hint="eastAsia" w:ascii="仿宋_GB2312" w:eastAsia="仿宋_GB2312"/>
          <w:sz w:val="28"/>
          <w:szCs w:val="28"/>
          <w:lang w:val="en-US" w:eastAsia="zh-CN"/>
        </w:rPr>
        <w:t>,</w:t>
      </w:r>
      <w:r>
        <w:rPr>
          <w:rFonts w:hint="default" w:ascii="仿宋_GB2312" w:eastAsia="仿宋_GB2312"/>
          <w:sz w:val="28"/>
          <w:szCs w:val="28"/>
          <w:lang w:val="en-US"/>
        </w:rPr>
        <w:t>000</w:t>
      </w:r>
      <w:r>
        <w:rPr>
          <w:rFonts w:hint="eastAsia" w:ascii="仿宋_GB2312" w:eastAsia="仿宋_GB2312"/>
          <w:sz w:val="28"/>
          <w:szCs w:val="28"/>
          <w:lang w:val="en-US" w:eastAsia="zh-CN"/>
        </w:rPr>
        <w:t>.00</w:t>
      </w:r>
      <w:r>
        <w:rPr>
          <w:rFonts w:hint="default" w:ascii="仿宋_GB2312" w:eastAsia="仿宋_GB2312"/>
          <w:sz w:val="28"/>
          <w:szCs w:val="28"/>
          <w:lang w:val="en-US"/>
        </w:rPr>
        <w:t>元。主要原因：决算金额包含年中追加2020年农村危房改造补助资金。</w:t>
      </w:r>
    </w:p>
    <w:p w14:paraId="2767A411">
      <w:pPr>
        <w:spacing w:line="580" w:lineRule="exact"/>
        <w:ind w:firstLine="560" w:firstLineChars="200"/>
        <w:rPr>
          <w:rFonts w:hint="default" w:ascii="仿宋_GB2312" w:eastAsia="仿宋_GB2312"/>
          <w:sz w:val="28"/>
          <w:szCs w:val="28"/>
          <w:lang w:val="en-US"/>
        </w:rPr>
      </w:pPr>
      <w:r>
        <w:rPr>
          <w:rFonts w:hint="default" w:ascii="仿宋_GB2312" w:eastAsia="仿宋_GB2312"/>
          <w:sz w:val="28"/>
          <w:szCs w:val="28"/>
          <w:lang w:val="en-US"/>
        </w:rPr>
        <w:t>11、“灾害防治及应急管理支出”(类)2025年度年初预算0元，2025年度决算15</w:t>
      </w:r>
      <w:r>
        <w:rPr>
          <w:rFonts w:hint="eastAsia" w:ascii="仿宋_GB2312" w:eastAsia="仿宋_GB2312"/>
          <w:sz w:val="28"/>
          <w:szCs w:val="28"/>
          <w:lang w:val="en-US" w:eastAsia="zh-CN"/>
        </w:rPr>
        <w:t>,</w:t>
      </w:r>
      <w:r>
        <w:rPr>
          <w:rFonts w:hint="default" w:ascii="仿宋_GB2312" w:eastAsia="仿宋_GB2312"/>
          <w:sz w:val="28"/>
          <w:szCs w:val="28"/>
          <w:lang w:val="en-US"/>
        </w:rPr>
        <w:t>362</w:t>
      </w:r>
      <w:r>
        <w:rPr>
          <w:rFonts w:hint="eastAsia" w:ascii="仿宋_GB2312" w:eastAsia="仿宋_GB2312"/>
          <w:sz w:val="28"/>
          <w:szCs w:val="28"/>
          <w:lang w:val="en-US" w:eastAsia="zh-CN"/>
        </w:rPr>
        <w:t>,</w:t>
      </w:r>
      <w:r>
        <w:rPr>
          <w:rFonts w:hint="default" w:ascii="仿宋_GB2312" w:eastAsia="仿宋_GB2312"/>
          <w:sz w:val="28"/>
          <w:szCs w:val="28"/>
          <w:lang w:val="en-US"/>
        </w:rPr>
        <w:t>343.11元。其中：</w:t>
      </w:r>
    </w:p>
    <w:p w14:paraId="7E770708">
      <w:pPr>
        <w:spacing w:line="580" w:lineRule="exact"/>
        <w:ind w:firstLine="560" w:firstLineChars="200"/>
        <w:rPr>
          <w:rFonts w:hint="default" w:ascii="仿宋_GB2312" w:eastAsia="仿宋_GB2312"/>
          <w:sz w:val="28"/>
          <w:szCs w:val="28"/>
          <w:lang w:val="en-US"/>
        </w:rPr>
      </w:pPr>
      <w:r>
        <w:rPr>
          <w:rFonts w:hint="default" w:ascii="仿宋_GB2312" w:eastAsia="仿宋_GB2312"/>
          <w:sz w:val="28"/>
          <w:szCs w:val="28"/>
          <w:lang w:val="en-US"/>
        </w:rPr>
        <w:t>“自然灾害防治”（款</w:t>
      </w:r>
      <w:r>
        <w:rPr>
          <w:rFonts w:hint="eastAsia" w:ascii="仿宋_GB2312" w:eastAsia="仿宋_GB2312"/>
          <w:sz w:val="28"/>
          <w:szCs w:val="28"/>
        </w:rPr>
        <w:t>，下同</w:t>
      </w:r>
      <w:r>
        <w:rPr>
          <w:rFonts w:hint="default" w:ascii="仿宋_GB2312" w:eastAsia="仿宋_GB2312"/>
          <w:sz w:val="28"/>
          <w:szCs w:val="28"/>
          <w:lang w:val="en-US"/>
        </w:rPr>
        <w:t>）2025年度年初预算0万元，2025年度决算15</w:t>
      </w:r>
      <w:r>
        <w:rPr>
          <w:rFonts w:hint="eastAsia" w:ascii="仿宋_GB2312" w:eastAsia="仿宋_GB2312"/>
          <w:sz w:val="28"/>
          <w:szCs w:val="28"/>
          <w:lang w:val="en-US" w:eastAsia="zh-CN"/>
        </w:rPr>
        <w:t>,</w:t>
      </w:r>
      <w:r>
        <w:rPr>
          <w:rFonts w:hint="default" w:ascii="仿宋_GB2312" w:eastAsia="仿宋_GB2312"/>
          <w:sz w:val="28"/>
          <w:szCs w:val="28"/>
          <w:lang w:val="en-US"/>
        </w:rPr>
        <w:t>137</w:t>
      </w:r>
      <w:r>
        <w:rPr>
          <w:rFonts w:hint="eastAsia" w:ascii="仿宋_GB2312" w:eastAsia="仿宋_GB2312"/>
          <w:sz w:val="28"/>
          <w:szCs w:val="28"/>
          <w:lang w:val="en-US" w:eastAsia="zh-CN"/>
        </w:rPr>
        <w:t>,</w:t>
      </w:r>
      <w:r>
        <w:rPr>
          <w:rFonts w:hint="default" w:ascii="仿宋_GB2312" w:eastAsia="仿宋_GB2312"/>
          <w:sz w:val="28"/>
          <w:szCs w:val="28"/>
          <w:lang w:val="en-US"/>
        </w:rPr>
        <w:t>157.62元。主要原因：决算金额包含年中追加门头沟区清水镇杜家庄村、上、下清水村等九村地质灾害治理项目资金、门头沟区清水镇黄塔村、塔河村等七村地质灾害治理项目资金、清水镇燕家台村等四村四处地灾治理项目资金、北京市矿山生态修复治理项目（2022年）门头沟区大台街道木城涧石灰岩矿、625沟煤矿、大华沟煤矿、清水镇煤矿治理项目资金等。</w:t>
      </w:r>
    </w:p>
    <w:p w14:paraId="1BA1ED19">
      <w:pPr>
        <w:spacing w:line="580" w:lineRule="exact"/>
        <w:ind w:firstLine="560" w:firstLineChars="200"/>
        <w:rPr>
          <w:rFonts w:hint="default" w:ascii="仿宋_GB2312" w:eastAsia="仿宋_GB2312"/>
          <w:sz w:val="28"/>
          <w:szCs w:val="28"/>
          <w:lang w:val="en-US"/>
        </w:rPr>
      </w:pPr>
      <w:r>
        <w:rPr>
          <w:rFonts w:hint="default" w:ascii="仿宋_GB2312" w:eastAsia="仿宋_GB2312"/>
          <w:sz w:val="28"/>
          <w:szCs w:val="28"/>
          <w:lang w:val="en-US"/>
        </w:rPr>
        <w:t>“其他灾害防治及应急管理支出”2025年度年初预算0万元，2025年度决算226</w:t>
      </w:r>
      <w:r>
        <w:rPr>
          <w:rFonts w:hint="eastAsia" w:ascii="仿宋_GB2312" w:eastAsia="仿宋_GB2312"/>
          <w:sz w:val="28"/>
          <w:szCs w:val="28"/>
          <w:lang w:val="en-US" w:eastAsia="zh-CN"/>
        </w:rPr>
        <w:t>,</w:t>
      </w:r>
      <w:r>
        <w:rPr>
          <w:rFonts w:hint="default" w:ascii="仿宋_GB2312" w:eastAsia="仿宋_GB2312"/>
          <w:sz w:val="28"/>
          <w:szCs w:val="28"/>
          <w:lang w:val="en-US"/>
        </w:rPr>
        <w:t>594.32元。主要原因：决算金额包含年中追加防汛抢险救灾-清水镇宿舍楼加固改造工程（共同）资金。</w:t>
      </w:r>
    </w:p>
    <w:p w14:paraId="43DCD478">
      <w:pPr>
        <w:spacing w:line="580" w:lineRule="exact"/>
        <w:ind w:firstLine="560" w:firstLineChars="200"/>
        <w:rPr>
          <w:rFonts w:ascii="仿宋_GB2312" w:eastAsia="仿宋_GB2312"/>
          <w:sz w:val="28"/>
          <w:szCs w:val="28"/>
        </w:rPr>
      </w:pPr>
      <w:r>
        <w:rPr>
          <w:rFonts w:hint="eastAsia" w:ascii="黑体" w:eastAsia="黑体"/>
          <w:b/>
          <w:sz w:val="28"/>
          <w:szCs w:val="28"/>
        </w:rPr>
        <w:t>五、政府性基金预算财政拨款支出决算情况说明</w:t>
      </w:r>
    </w:p>
    <w:p w14:paraId="558E4CA0">
      <w:pPr>
        <w:autoSpaceDE w:val="0"/>
        <w:autoSpaceDN w:val="0"/>
        <w:adjustRightInd w:val="0"/>
        <w:spacing w:line="580" w:lineRule="exact"/>
        <w:ind w:firstLine="560" w:firstLineChars="200"/>
        <w:jc w:val="left"/>
        <w:rPr>
          <w:rFonts w:ascii="仿宋_GB2312" w:eastAsia="仿宋_GB2312"/>
          <w:sz w:val="28"/>
          <w:szCs w:val="28"/>
        </w:rPr>
      </w:pPr>
      <w:r>
        <w:rPr>
          <w:rFonts w:hint="eastAsia" w:ascii="仿宋_GB2312" w:eastAsia="仿宋_GB2312"/>
          <w:sz w:val="28"/>
          <w:szCs w:val="28"/>
        </w:rPr>
        <w:t>（一）政府性基金预算财政拨款支出决算总体情况</w:t>
      </w:r>
    </w:p>
    <w:p w14:paraId="2948A1D1">
      <w:pPr>
        <w:tabs>
          <w:tab w:val="center" w:pos="6979"/>
        </w:tabs>
        <w:spacing w:line="580" w:lineRule="exact"/>
        <w:ind w:firstLine="560" w:firstLineChars="200"/>
        <w:rPr>
          <w:rFonts w:ascii="仿宋_GB2312" w:eastAsia="仿宋_GB2312"/>
          <w:sz w:val="28"/>
          <w:szCs w:val="28"/>
        </w:rPr>
      </w:pPr>
      <w:r>
        <w:rPr>
          <w:rFonts w:hint="eastAsia" w:ascii="仿宋_GB2312" w:eastAsia="仿宋_GB2312"/>
          <w:sz w:val="28"/>
          <w:szCs w:val="28"/>
        </w:rPr>
        <w:t>2025年度政府性基金预算财政拨款支出</w:t>
      </w:r>
      <w:r>
        <w:rPr>
          <w:rFonts w:ascii="仿宋_GB2312" w:eastAsia="仿宋_GB2312"/>
          <w:sz w:val="28"/>
          <w:szCs w:val="28"/>
        </w:rPr>
        <w:t>445</w:t>
      </w:r>
      <w:r>
        <w:rPr>
          <w:rFonts w:hint="eastAsia" w:ascii="仿宋_GB2312" w:eastAsia="仿宋_GB2312"/>
          <w:sz w:val="28"/>
          <w:szCs w:val="28"/>
          <w:lang w:val="en-US" w:eastAsia="zh-CN"/>
        </w:rPr>
        <w:t>,</w:t>
      </w:r>
      <w:r>
        <w:rPr>
          <w:rFonts w:ascii="仿宋_GB2312" w:eastAsia="仿宋_GB2312"/>
          <w:sz w:val="28"/>
          <w:szCs w:val="28"/>
        </w:rPr>
        <w:t>729.2</w:t>
      </w:r>
      <w:r>
        <w:rPr>
          <w:rFonts w:hint="eastAsia" w:ascii="仿宋_GB2312" w:eastAsia="仿宋_GB2312"/>
          <w:sz w:val="28"/>
          <w:szCs w:val="28"/>
        </w:rPr>
        <w:t>元，主要用于以下方面（按大类）：城乡社区支出26</w:t>
      </w:r>
      <w:r>
        <w:rPr>
          <w:rFonts w:hint="eastAsia" w:ascii="仿宋_GB2312" w:eastAsia="仿宋_GB2312"/>
          <w:sz w:val="28"/>
          <w:szCs w:val="28"/>
          <w:lang w:val="en-US" w:eastAsia="zh-CN"/>
        </w:rPr>
        <w:t>,</w:t>
      </w:r>
      <w:r>
        <w:rPr>
          <w:rFonts w:hint="eastAsia" w:ascii="仿宋_GB2312" w:eastAsia="仿宋_GB2312"/>
          <w:sz w:val="28"/>
          <w:szCs w:val="28"/>
        </w:rPr>
        <w:t>070</w:t>
      </w:r>
      <w:r>
        <w:rPr>
          <w:rFonts w:hint="eastAsia" w:ascii="仿宋_GB2312" w:eastAsia="仿宋_GB2312"/>
          <w:sz w:val="28"/>
          <w:szCs w:val="28"/>
          <w:lang w:val="en-US" w:eastAsia="zh-CN"/>
        </w:rPr>
        <w:t>.00</w:t>
      </w:r>
      <w:r>
        <w:rPr>
          <w:rFonts w:hint="eastAsia" w:ascii="仿宋_GB2312" w:eastAsia="仿宋_GB2312"/>
          <w:sz w:val="28"/>
          <w:szCs w:val="28"/>
        </w:rPr>
        <w:t>元，占本年财政拨款支出5.86%；其他支出419</w:t>
      </w:r>
      <w:r>
        <w:rPr>
          <w:rFonts w:hint="eastAsia" w:ascii="仿宋_GB2312" w:eastAsia="仿宋_GB2312"/>
          <w:sz w:val="28"/>
          <w:szCs w:val="28"/>
          <w:lang w:val="en-US" w:eastAsia="zh-CN"/>
        </w:rPr>
        <w:t>,</w:t>
      </w:r>
      <w:r>
        <w:rPr>
          <w:rFonts w:hint="eastAsia" w:ascii="仿宋_GB2312" w:eastAsia="仿宋_GB2312"/>
          <w:sz w:val="28"/>
          <w:szCs w:val="28"/>
        </w:rPr>
        <w:t>659.2</w:t>
      </w:r>
      <w:r>
        <w:rPr>
          <w:rFonts w:hint="eastAsia" w:ascii="仿宋_GB2312" w:eastAsia="仿宋_GB2312"/>
          <w:sz w:val="28"/>
          <w:szCs w:val="28"/>
          <w:lang w:val="en-US" w:eastAsia="zh-CN"/>
        </w:rPr>
        <w:t>0</w:t>
      </w:r>
      <w:r>
        <w:rPr>
          <w:rFonts w:hint="eastAsia" w:ascii="仿宋_GB2312" w:eastAsia="仿宋_GB2312"/>
          <w:sz w:val="28"/>
          <w:szCs w:val="28"/>
        </w:rPr>
        <w:t>元，占本年财政拨款支出94.1%。。</w:t>
      </w:r>
    </w:p>
    <w:p w14:paraId="4D0DC57D">
      <w:pPr>
        <w:autoSpaceDE w:val="0"/>
        <w:autoSpaceDN w:val="0"/>
        <w:adjustRightInd w:val="0"/>
        <w:spacing w:line="580" w:lineRule="exact"/>
        <w:ind w:firstLine="560" w:firstLineChars="200"/>
        <w:jc w:val="left"/>
        <w:rPr>
          <w:rFonts w:ascii="仿宋_GB2312" w:eastAsia="仿宋_GB2312"/>
          <w:sz w:val="28"/>
          <w:szCs w:val="28"/>
        </w:rPr>
      </w:pPr>
      <w:r>
        <w:rPr>
          <w:rFonts w:hint="eastAsia" w:ascii="仿宋_GB2312" w:eastAsia="仿宋_GB2312"/>
          <w:sz w:val="28"/>
          <w:szCs w:val="28"/>
        </w:rPr>
        <w:t>（二）政府性基金预算财政拨款支出决算具体情况</w:t>
      </w:r>
    </w:p>
    <w:p w14:paraId="4DC503E5">
      <w:pPr>
        <w:spacing w:line="580" w:lineRule="exact"/>
        <w:ind w:firstLine="560" w:firstLineChars="200"/>
        <w:rPr>
          <w:rFonts w:hint="eastAsia" w:ascii="仿宋_GB2312" w:eastAsia="仿宋_GB2312"/>
          <w:sz w:val="28"/>
          <w:szCs w:val="28"/>
        </w:rPr>
      </w:pPr>
      <w:r>
        <w:rPr>
          <w:rFonts w:hint="eastAsia" w:ascii="仿宋_GB2312" w:eastAsia="仿宋_GB2312"/>
          <w:sz w:val="28"/>
          <w:szCs w:val="28"/>
        </w:rPr>
        <w:t>1、“城乡社区支出”（类，下同）2025年度年初预算0元，2025年度决算26</w:t>
      </w:r>
      <w:r>
        <w:rPr>
          <w:rFonts w:hint="eastAsia" w:ascii="仿宋_GB2312" w:eastAsia="仿宋_GB2312"/>
          <w:sz w:val="28"/>
          <w:szCs w:val="28"/>
          <w:lang w:val="en-US" w:eastAsia="zh-CN"/>
        </w:rPr>
        <w:t>,</w:t>
      </w:r>
      <w:r>
        <w:rPr>
          <w:rFonts w:hint="eastAsia" w:ascii="仿宋_GB2312" w:eastAsia="仿宋_GB2312"/>
          <w:sz w:val="28"/>
          <w:szCs w:val="28"/>
        </w:rPr>
        <w:t>070.00元。其中：</w:t>
      </w:r>
    </w:p>
    <w:p w14:paraId="7B93E9A5">
      <w:pPr>
        <w:spacing w:line="580" w:lineRule="exact"/>
        <w:ind w:firstLine="560" w:firstLineChars="200"/>
        <w:rPr>
          <w:rFonts w:hint="eastAsia" w:ascii="仿宋_GB2312" w:eastAsia="仿宋_GB2312"/>
          <w:sz w:val="28"/>
          <w:szCs w:val="28"/>
        </w:rPr>
      </w:pPr>
      <w:r>
        <w:rPr>
          <w:rFonts w:hint="eastAsia" w:ascii="仿宋_GB2312" w:eastAsia="仿宋_GB2312"/>
          <w:sz w:val="28"/>
          <w:szCs w:val="28"/>
        </w:rPr>
        <w:t>“国有土地使用权出让收入安排的支出”（款，下同）2025年度年初预算0元，2025年度决算26</w:t>
      </w:r>
      <w:r>
        <w:rPr>
          <w:rFonts w:hint="eastAsia" w:ascii="仿宋_GB2312" w:eastAsia="仿宋_GB2312"/>
          <w:sz w:val="28"/>
          <w:szCs w:val="28"/>
          <w:lang w:val="en-US" w:eastAsia="zh-CN"/>
        </w:rPr>
        <w:t>,</w:t>
      </w:r>
      <w:r>
        <w:rPr>
          <w:rFonts w:hint="eastAsia" w:ascii="仿宋_GB2312" w:eastAsia="仿宋_GB2312"/>
          <w:sz w:val="28"/>
          <w:szCs w:val="28"/>
        </w:rPr>
        <w:t>070.00元。主要原因：决算金额包含年中追加清水镇中心区集中供水及管线一期工程项目资金。</w:t>
      </w:r>
    </w:p>
    <w:p w14:paraId="150DA524">
      <w:pPr>
        <w:spacing w:line="580" w:lineRule="exact"/>
        <w:ind w:firstLine="560" w:firstLineChars="200"/>
        <w:rPr>
          <w:rFonts w:hint="eastAsia" w:ascii="仿宋_GB2312" w:eastAsia="仿宋_GB2312"/>
          <w:sz w:val="28"/>
          <w:szCs w:val="28"/>
        </w:rPr>
      </w:pPr>
      <w:r>
        <w:rPr>
          <w:rFonts w:hint="eastAsia" w:ascii="仿宋_GB2312" w:eastAsia="仿宋_GB2312"/>
          <w:sz w:val="28"/>
          <w:szCs w:val="28"/>
        </w:rPr>
        <w:t>2、“其他支出”（类）2025年度年初预算20</w:t>
      </w:r>
      <w:r>
        <w:rPr>
          <w:rFonts w:hint="eastAsia" w:ascii="仿宋_GB2312" w:eastAsia="仿宋_GB2312"/>
          <w:sz w:val="28"/>
          <w:szCs w:val="28"/>
          <w:lang w:val="en-US" w:eastAsia="zh-CN"/>
        </w:rPr>
        <w:t>0,000.00</w:t>
      </w:r>
      <w:r>
        <w:rPr>
          <w:rFonts w:hint="eastAsia" w:ascii="仿宋_GB2312" w:eastAsia="仿宋_GB2312"/>
          <w:sz w:val="28"/>
          <w:szCs w:val="28"/>
        </w:rPr>
        <w:t>元，2025年度决算419</w:t>
      </w:r>
      <w:r>
        <w:rPr>
          <w:rFonts w:hint="eastAsia" w:ascii="仿宋_GB2312" w:eastAsia="仿宋_GB2312"/>
          <w:sz w:val="28"/>
          <w:szCs w:val="28"/>
          <w:lang w:val="en-US" w:eastAsia="zh-CN"/>
        </w:rPr>
        <w:t>,</w:t>
      </w:r>
      <w:r>
        <w:rPr>
          <w:rFonts w:hint="eastAsia" w:ascii="仿宋_GB2312" w:eastAsia="仿宋_GB2312"/>
          <w:sz w:val="28"/>
          <w:szCs w:val="28"/>
        </w:rPr>
        <w:t>659.20元，完成年初预算的209.8%。其中：</w:t>
      </w:r>
    </w:p>
    <w:p w14:paraId="44477A37">
      <w:pPr>
        <w:spacing w:line="580" w:lineRule="exact"/>
        <w:ind w:firstLine="560" w:firstLineChars="200"/>
        <w:rPr>
          <w:rFonts w:hint="eastAsia" w:ascii="仿宋_GB2312" w:eastAsia="仿宋_GB2312"/>
          <w:sz w:val="28"/>
          <w:szCs w:val="28"/>
        </w:rPr>
      </w:pPr>
      <w:r>
        <w:rPr>
          <w:rFonts w:hint="eastAsia" w:ascii="仿宋_GB2312" w:eastAsia="仿宋_GB2312"/>
          <w:sz w:val="28"/>
          <w:szCs w:val="28"/>
        </w:rPr>
        <w:t>“彩票公益金安排的支出”（款）2025年度年初预算20</w:t>
      </w:r>
      <w:r>
        <w:rPr>
          <w:rFonts w:hint="eastAsia" w:ascii="仿宋_GB2312" w:eastAsia="仿宋_GB2312"/>
          <w:sz w:val="28"/>
          <w:szCs w:val="28"/>
          <w:lang w:val="en-US" w:eastAsia="zh-CN"/>
        </w:rPr>
        <w:t>0,000.00</w:t>
      </w:r>
      <w:r>
        <w:rPr>
          <w:rFonts w:hint="eastAsia" w:ascii="仿宋_GB2312" w:eastAsia="仿宋_GB2312"/>
          <w:sz w:val="28"/>
          <w:szCs w:val="28"/>
        </w:rPr>
        <w:t>元，2025年度决算419</w:t>
      </w:r>
      <w:r>
        <w:rPr>
          <w:rFonts w:hint="eastAsia" w:ascii="仿宋_GB2312" w:eastAsia="仿宋_GB2312"/>
          <w:sz w:val="28"/>
          <w:szCs w:val="28"/>
          <w:lang w:val="en-US" w:eastAsia="zh-CN"/>
        </w:rPr>
        <w:t>,</w:t>
      </w:r>
      <w:r>
        <w:rPr>
          <w:rFonts w:hint="eastAsia" w:ascii="仿宋_GB2312" w:eastAsia="仿宋_GB2312"/>
          <w:sz w:val="28"/>
          <w:szCs w:val="28"/>
        </w:rPr>
        <w:t>659.20元，完成年初预算的209.8%。主要原因：决算金额包含年中追加全民健身示范街道及体育特色乡镇创建项目资金、农村邻里互助养老服务点建设项目项目资金。</w:t>
      </w:r>
    </w:p>
    <w:p w14:paraId="703A54CE">
      <w:pPr>
        <w:spacing w:line="580" w:lineRule="exact"/>
        <w:ind w:firstLine="560" w:firstLineChars="200"/>
        <w:rPr>
          <w:rFonts w:ascii="黑体" w:eastAsia="黑体"/>
          <w:b/>
          <w:sz w:val="28"/>
          <w:szCs w:val="28"/>
        </w:rPr>
      </w:pPr>
      <w:r>
        <w:rPr>
          <w:rFonts w:hint="eastAsia" w:ascii="黑体" w:eastAsia="黑体"/>
          <w:b/>
          <w:sz w:val="28"/>
          <w:szCs w:val="28"/>
        </w:rPr>
        <w:t>六、国有资本经营预算财</w:t>
      </w:r>
      <w:r>
        <w:rPr>
          <w:rFonts w:ascii="黑体" w:eastAsia="黑体"/>
          <w:b/>
          <w:sz w:val="28"/>
          <w:szCs w:val="28"/>
        </w:rPr>
        <w:t>政拨款</w:t>
      </w:r>
      <w:r>
        <w:rPr>
          <w:rFonts w:hint="eastAsia" w:ascii="黑体" w:eastAsia="黑体"/>
          <w:b/>
          <w:sz w:val="28"/>
          <w:szCs w:val="28"/>
        </w:rPr>
        <w:t>收支情况</w:t>
      </w:r>
    </w:p>
    <w:p w14:paraId="09579A5C">
      <w:pPr>
        <w:ind w:firstLine="537" w:firstLineChars="192"/>
        <w:rPr>
          <w:rFonts w:ascii="仿宋_GB2312" w:eastAsia="仿宋_GB2312"/>
          <w:sz w:val="28"/>
          <w:szCs w:val="28"/>
        </w:rPr>
      </w:pPr>
      <w:r>
        <w:rPr>
          <w:rFonts w:hint="eastAsia" w:ascii="仿宋_GB2312" w:eastAsia="仿宋_GB2312"/>
          <w:sz w:val="28"/>
          <w:szCs w:val="28"/>
        </w:rPr>
        <w:t>2025年度国有资本经营预算财政</w:t>
      </w:r>
      <w:r>
        <w:rPr>
          <w:rFonts w:ascii="仿宋_GB2312" w:eastAsia="仿宋_GB2312"/>
          <w:sz w:val="28"/>
          <w:szCs w:val="28"/>
        </w:rPr>
        <w:t>拨款</w:t>
      </w:r>
      <w:r>
        <w:rPr>
          <w:rFonts w:hint="eastAsia" w:ascii="仿宋_GB2312" w:eastAsia="仿宋_GB2312"/>
          <w:sz w:val="28"/>
          <w:szCs w:val="28"/>
        </w:rPr>
        <w:t>收入总</w:t>
      </w:r>
      <w:r>
        <w:rPr>
          <w:rFonts w:ascii="仿宋_GB2312" w:eastAsia="仿宋_GB2312"/>
          <w:sz w:val="28"/>
          <w:szCs w:val="28"/>
        </w:rPr>
        <w:t>计64</w:t>
      </w:r>
      <w:r>
        <w:rPr>
          <w:rFonts w:hint="eastAsia" w:ascii="仿宋_GB2312" w:eastAsia="仿宋_GB2312"/>
          <w:sz w:val="28"/>
          <w:szCs w:val="28"/>
          <w:lang w:val="en-US" w:eastAsia="zh-CN"/>
        </w:rPr>
        <w:t>,</w:t>
      </w:r>
      <w:r>
        <w:rPr>
          <w:rFonts w:ascii="仿宋_GB2312" w:eastAsia="仿宋_GB2312"/>
          <w:sz w:val="28"/>
          <w:szCs w:val="28"/>
        </w:rPr>
        <w:t>182.52</w:t>
      </w:r>
      <w:r>
        <w:rPr>
          <w:rFonts w:hint="eastAsia" w:ascii="仿宋_GB2312" w:eastAsia="仿宋_GB2312"/>
          <w:sz w:val="28"/>
          <w:szCs w:val="28"/>
        </w:rPr>
        <w:t>元，国有资本经营预算财政</w:t>
      </w:r>
      <w:r>
        <w:rPr>
          <w:rFonts w:ascii="仿宋_GB2312" w:eastAsia="仿宋_GB2312"/>
          <w:sz w:val="28"/>
          <w:szCs w:val="28"/>
        </w:rPr>
        <w:t>拨款</w:t>
      </w:r>
      <w:r>
        <w:rPr>
          <w:rFonts w:hint="eastAsia" w:ascii="仿宋_GB2312" w:eastAsia="仿宋_GB2312"/>
          <w:sz w:val="28"/>
          <w:szCs w:val="28"/>
        </w:rPr>
        <w:t>支出总</w:t>
      </w:r>
      <w:r>
        <w:rPr>
          <w:rFonts w:ascii="仿宋_GB2312" w:eastAsia="仿宋_GB2312"/>
          <w:sz w:val="28"/>
          <w:szCs w:val="28"/>
        </w:rPr>
        <w:t>计0</w:t>
      </w:r>
      <w:r>
        <w:rPr>
          <w:rFonts w:hint="eastAsia" w:ascii="仿宋_GB2312" w:eastAsia="仿宋_GB2312"/>
          <w:sz w:val="28"/>
          <w:szCs w:val="28"/>
        </w:rPr>
        <w:t>元。</w:t>
      </w:r>
    </w:p>
    <w:p w14:paraId="13C64D3F">
      <w:pPr>
        <w:spacing w:line="580" w:lineRule="exact"/>
        <w:ind w:firstLine="548" w:firstLineChars="196"/>
        <w:rPr>
          <w:rFonts w:ascii="黑体" w:eastAsia="黑体"/>
          <w:sz w:val="28"/>
          <w:szCs w:val="28"/>
        </w:rPr>
      </w:pPr>
      <w:r>
        <w:rPr>
          <w:rFonts w:hint="eastAsia" w:ascii="黑体" w:eastAsia="黑体"/>
          <w:b/>
          <w:sz w:val="28"/>
          <w:szCs w:val="28"/>
        </w:rPr>
        <w:t>七、财政拨款基本支出决算情况说明</w:t>
      </w:r>
    </w:p>
    <w:p w14:paraId="2E1CDCD4">
      <w:pPr>
        <w:tabs>
          <w:tab w:val="center" w:pos="6979"/>
        </w:tabs>
        <w:spacing w:line="580" w:lineRule="exact"/>
        <w:ind w:firstLine="548" w:firstLineChars="196"/>
        <w:rPr>
          <w:rFonts w:ascii="黑体" w:eastAsia="黑体"/>
          <w:b/>
          <w:sz w:val="28"/>
          <w:szCs w:val="28"/>
          <w:highlight w:val="none"/>
        </w:rPr>
      </w:pPr>
      <w:r>
        <w:rPr>
          <w:rFonts w:hint="eastAsia" w:ascii="仿宋_GB2312" w:eastAsia="仿宋_GB2312"/>
          <w:sz w:val="28"/>
          <w:szCs w:val="28"/>
          <w:highlight w:val="none"/>
        </w:rPr>
        <w:t>2025年度使用一般公共预算财政拨款安排基本支出</w:t>
      </w:r>
      <w:r>
        <w:rPr>
          <w:rFonts w:ascii="仿宋_GB2312" w:eastAsia="仿宋_GB2312"/>
          <w:sz w:val="28"/>
          <w:szCs w:val="28"/>
          <w:highlight w:val="none"/>
        </w:rPr>
        <w:t>41</w:t>
      </w:r>
      <w:r>
        <w:rPr>
          <w:rFonts w:hint="eastAsia" w:ascii="仿宋_GB2312" w:eastAsia="仿宋_GB2312"/>
          <w:sz w:val="28"/>
          <w:szCs w:val="28"/>
          <w:highlight w:val="none"/>
          <w:lang w:val="en-US" w:eastAsia="zh-CN"/>
        </w:rPr>
        <w:t>,</w:t>
      </w:r>
      <w:r>
        <w:rPr>
          <w:rFonts w:ascii="仿宋_GB2312" w:eastAsia="仿宋_GB2312"/>
          <w:sz w:val="28"/>
          <w:szCs w:val="28"/>
          <w:highlight w:val="none"/>
        </w:rPr>
        <w:t>322</w:t>
      </w:r>
      <w:r>
        <w:rPr>
          <w:rFonts w:hint="eastAsia" w:ascii="仿宋_GB2312" w:eastAsia="仿宋_GB2312"/>
          <w:sz w:val="28"/>
          <w:szCs w:val="28"/>
          <w:highlight w:val="none"/>
          <w:lang w:val="en-US" w:eastAsia="zh-CN"/>
        </w:rPr>
        <w:t>,</w:t>
      </w:r>
      <w:r>
        <w:rPr>
          <w:rFonts w:ascii="仿宋_GB2312" w:eastAsia="仿宋_GB2312"/>
          <w:sz w:val="28"/>
          <w:szCs w:val="28"/>
          <w:highlight w:val="none"/>
        </w:rPr>
        <w:t>635.26</w:t>
      </w:r>
      <w:r>
        <w:rPr>
          <w:rFonts w:hint="eastAsia" w:ascii="仿宋_GB2312" w:eastAsia="仿宋_GB2312"/>
          <w:sz w:val="28"/>
          <w:szCs w:val="28"/>
          <w:highlight w:val="none"/>
        </w:rPr>
        <w:t>元，使用政府性基金财政拨款安排基本支出</w:t>
      </w:r>
      <w:r>
        <w:rPr>
          <w:rFonts w:ascii="仿宋_GB2312" w:eastAsia="仿宋_GB2312"/>
          <w:sz w:val="28"/>
          <w:szCs w:val="28"/>
          <w:highlight w:val="none"/>
        </w:rPr>
        <w:t>0</w:t>
      </w:r>
      <w:r>
        <w:rPr>
          <w:rFonts w:hint="eastAsia" w:ascii="仿宋_GB2312" w:eastAsia="仿宋_GB2312"/>
          <w:sz w:val="28"/>
          <w:szCs w:val="28"/>
          <w:highlight w:val="none"/>
        </w:rPr>
        <w:t>元，（1）工资福利支出包括基本工资</w:t>
      </w:r>
      <w:r>
        <w:rPr>
          <w:rFonts w:ascii="仿宋_GB2312" w:eastAsia="仿宋_GB2312"/>
          <w:sz w:val="28"/>
          <w:szCs w:val="28"/>
          <w:highlight w:val="none"/>
        </w:rPr>
        <w:t>、津贴补贴、奖金、伙食补助费、绩效工资、</w:t>
      </w:r>
      <w:r>
        <w:rPr>
          <w:rFonts w:hint="eastAsia" w:ascii="仿宋_GB2312" w:eastAsia="仿宋_GB2312"/>
          <w:sz w:val="28"/>
          <w:szCs w:val="28"/>
          <w:highlight w:val="none"/>
        </w:rPr>
        <w:t>其他</w:t>
      </w:r>
      <w:r>
        <w:rPr>
          <w:rFonts w:ascii="仿宋_GB2312" w:eastAsia="仿宋_GB2312"/>
          <w:sz w:val="28"/>
          <w:szCs w:val="28"/>
          <w:highlight w:val="none"/>
        </w:rPr>
        <w:t>社会保障缴费、其他工资福利</w:t>
      </w:r>
      <w:r>
        <w:rPr>
          <w:rFonts w:hint="eastAsia" w:ascii="仿宋_GB2312" w:eastAsia="仿宋_GB2312"/>
          <w:sz w:val="28"/>
          <w:szCs w:val="28"/>
          <w:highlight w:val="none"/>
        </w:rPr>
        <w:t>等</w:t>
      </w:r>
      <w:r>
        <w:rPr>
          <w:rFonts w:ascii="仿宋_GB2312" w:eastAsia="仿宋_GB2312"/>
          <w:sz w:val="28"/>
          <w:szCs w:val="28"/>
          <w:highlight w:val="none"/>
        </w:rPr>
        <w:t>支出</w:t>
      </w:r>
      <w:r>
        <w:rPr>
          <w:rFonts w:hint="eastAsia" w:ascii="仿宋_GB2312" w:eastAsia="仿宋_GB2312"/>
          <w:sz w:val="28"/>
          <w:szCs w:val="28"/>
          <w:highlight w:val="none"/>
        </w:rPr>
        <w:t>37,814,384.59</w:t>
      </w:r>
      <w:r>
        <w:rPr>
          <w:rFonts w:hint="eastAsia" w:ascii="仿宋_GB2312" w:eastAsia="仿宋_GB2312"/>
          <w:sz w:val="28"/>
          <w:szCs w:val="28"/>
          <w:highlight w:val="none"/>
          <w:lang w:eastAsia="zh-CN"/>
        </w:rPr>
        <w:t>元</w:t>
      </w:r>
      <w:r>
        <w:rPr>
          <w:rFonts w:hint="eastAsia" w:ascii="仿宋_GB2312" w:eastAsia="仿宋_GB2312"/>
          <w:sz w:val="28"/>
          <w:szCs w:val="28"/>
          <w:highlight w:val="none"/>
        </w:rPr>
        <w:t>；（2）商品和服务支出包括</w:t>
      </w:r>
      <w:r>
        <w:rPr>
          <w:rFonts w:ascii="仿宋_GB2312" w:eastAsia="仿宋_GB2312"/>
          <w:sz w:val="28"/>
          <w:szCs w:val="28"/>
          <w:highlight w:val="none"/>
        </w:rPr>
        <w:t>办公费、印刷费、手续费、水费、电费、邮电费、取暖费、物业管理费、差旅费、因公出国（境）费、维修（护）费、租赁费、会议费、培训费、公务接待费、专用材料费、劳务费、委托业务费、工会经费、福利费、公务用车运行维护费、其他交通费</w:t>
      </w:r>
      <w:r>
        <w:rPr>
          <w:rFonts w:hint="eastAsia" w:ascii="仿宋_GB2312" w:eastAsia="仿宋_GB2312"/>
          <w:sz w:val="28"/>
          <w:szCs w:val="28"/>
          <w:highlight w:val="none"/>
        </w:rPr>
        <w:t>用</w:t>
      </w:r>
      <w:r>
        <w:rPr>
          <w:rFonts w:ascii="仿宋_GB2312" w:eastAsia="仿宋_GB2312"/>
          <w:sz w:val="28"/>
          <w:szCs w:val="28"/>
          <w:highlight w:val="none"/>
        </w:rPr>
        <w:t>、其他商品和服务</w:t>
      </w:r>
      <w:r>
        <w:rPr>
          <w:rFonts w:hint="eastAsia" w:ascii="仿宋_GB2312" w:eastAsia="仿宋_GB2312"/>
          <w:sz w:val="28"/>
          <w:szCs w:val="28"/>
          <w:highlight w:val="none"/>
        </w:rPr>
        <w:t>等</w:t>
      </w:r>
      <w:r>
        <w:rPr>
          <w:rFonts w:ascii="仿宋_GB2312" w:eastAsia="仿宋_GB2312"/>
          <w:sz w:val="28"/>
          <w:szCs w:val="28"/>
          <w:highlight w:val="none"/>
        </w:rPr>
        <w:t>支出</w:t>
      </w:r>
      <w:r>
        <w:rPr>
          <w:rFonts w:hint="eastAsia" w:ascii="仿宋_GB2312" w:eastAsia="仿宋_GB2312"/>
          <w:sz w:val="28"/>
          <w:szCs w:val="28"/>
          <w:highlight w:val="none"/>
        </w:rPr>
        <w:t>2,291,462.43</w:t>
      </w:r>
      <w:r>
        <w:rPr>
          <w:rFonts w:hint="eastAsia" w:ascii="仿宋_GB2312" w:eastAsia="仿宋_GB2312"/>
          <w:sz w:val="28"/>
          <w:szCs w:val="28"/>
          <w:highlight w:val="none"/>
          <w:lang w:eastAsia="zh-CN"/>
        </w:rPr>
        <w:t>元</w:t>
      </w:r>
      <w:r>
        <w:rPr>
          <w:rFonts w:hint="eastAsia" w:ascii="仿宋_GB2312" w:eastAsia="仿宋_GB2312"/>
          <w:sz w:val="28"/>
          <w:szCs w:val="28"/>
          <w:highlight w:val="none"/>
        </w:rPr>
        <w:t>；（3）对个人和家庭补助支出包括</w:t>
      </w:r>
      <w:r>
        <w:rPr>
          <w:rFonts w:ascii="仿宋_GB2312" w:eastAsia="仿宋_GB2312"/>
          <w:sz w:val="28"/>
          <w:szCs w:val="28"/>
          <w:highlight w:val="none"/>
        </w:rPr>
        <w:t>离休费、退休费、抚恤金、生活补助、</w:t>
      </w:r>
      <w:r>
        <w:rPr>
          <w:rFonts w:hint="eastAsia" w:ascii="仿宋_GB2312" w:eastAsia="仿宋_GB2312"/>
          <w:sz w:val="28"/>
          <w:szCs w:val="28"/>
          <w:highlight w:val="none"/>
        </w:rPr>
        <w:t>救济费</w:t>
      </w:r>
      <w:r>
        <w:rPr>
          <w:rFonts w:ascii="仿宋_GB2312" w:eastAsia="仿宋_GB2312"/>
          <w:sz w:val="28"/>
          <w:szCs w:val="28"/>
          <w:highlight w:val="none"/>
        </w:rPr>
        <w:t>、医疗费</w:t>
      </w:r>
      <w:r>
        <w:rPr>
          <w:rFonts w:hint="eastAsia" w:ascii="仿宋_GB2312" w:eastAsia="仿宋_GB2312"/>
          <w:sz w:val="28"/>
          <w:szCs w:val="28"/>
          <w:highlight w:val="none"/>
        </w:rPr>
        <w:t>补助</w:t>
      </w:r>
      <w:r>
        <w:rPr>
          <w:rFonts w:ascii="仿宋_GB2312" w:eastAsia="仿宋_GB2312"/>
          <w:sz w:val="28"/>
          <w:szCs w:val="28"/>
          <w:highlight w:val="none"/>
        </w:rPr>
        <w:t>、助学金、奖励金</w:t>
      </w:r>
      <w:r>
        <w:rPr>
          <w:rFonts w:hint="eastAsia" w:ascii="仿宋_GB2312" w:eastAsia="仿宋_GB2312"/>
          <w:sz w:val="28"/>
          <w:szCs w:val="28"/>
          <w:highlight w:val="none"/>
        </w:rPr>
        <w:t>、</w:t>
      </w:r>
      <w:r>
        <w:rPr>
          <w:rFonts w:ascii="仿宋_GB2312" w:eastAsia="仿宋_GB2312"/>
          <w:sz w:val="28"/>
          <w:szCs w:val="28"/>
          <w:highlight w:val="none"/>
        </w:rPr>
        <w:t>其他对个人和家庭的补助</w:t>
      </w:r>
      <w:r>
        <w:rPr>
          <w:rFonts w:hint="eastAsia" w:ascii="仿宋_GB2312" w:eastAsia="仿宋_GB2312"/>
          <w:sz w:val="28"/>
          <w:szCs w:val="28"/>
          <w:highlight w:val="none"/>
        </w:rPr>
        <w:t>等</w:t>
      </w:r>
      <w:r>
        <w:rPr>
          <w:rFonts w:ascii="仿宋_GB2312" w:eastAsia="仿宋_GB2312"/>
          <w:sz w:val="28"/>
          <w:szCs w:val="28"/>
          <w:highlight w:val="none"/>
        </w:rPr>
        <w:t>支出</w:t>
      </w:r>
      <w:r>
        <w:rPr>
          <w:rFonts w:hint="eastAsia" w:ascii="仿宋_GB2312" w:eastAsia="仿宋_GB2312"/>
          <w:sz w:val="28"/>
          <w:szCs w:val="28"/>
          <w:highlight w:val="none"/>
        </w:rPr>
        <w:t>1,192,918.90</w:t>
      </w:r>
      <w:r>
        <w:rPr>
          <w:rFonts w:hint="eastAsia" w:ascii="仿宋_GB2312" w:eastAsia="仿宋_GB2312"/>
          <w:sz w:val="28"/>
          <w:szCs w:val="28"/>
          <w:highlight w:val="none"/>
          <w:lang w:eastAsia="zh-CN"/>
        </w:rPr>
        <w:t>元</w:t>
      </w:r>
      <w:r>
        <w:rPr>
          <w:rFonts w:hint="eastAsia" w:ascii="仿宋_GB2312" w:eastAsia="仿宋_GB2312"/>
          <w:sz w:val="28"/>
          <w:szCs w:val="28"/>
          <w:highlight w:val="none"/>
        </w:rPr>
        <w:t>。（4）其他资本性支出包括</w:t>
      </w:r>
      <w:r>
        <w:rPr>
          <w:rFonts w:ascii="仿宋_GB2312" w:eastAsia="仿宋_GB2312"/>
          <w:sz w:val="28"/>
          <w:szCs w:val="28"/>
          <w:highlight w:val="none"/>
        </w:rPr>
        <w:t>办公设备购置、专用设备购置</w:t>
      </w:r>
      <w:r>
        <w:rPr>
          <w:rFonts w:hint="eastAsia" w:ascii="仿宋_GB2312" w:eastAsia="仿宋_GB2312"/>
          <w:sz w:val="28"/>
          <w:szCs w:val="28"/>
          <w:highlight w:val="none"/>
        </w:rPr>
        <w:t>等23,869.34</w:t>
      </w:r>
      <w:r>
        <w:rPr>
          <w:rFonts w:hint="eastAsia" w:ascii="仿宋_GB2312" w:eastAsia="仿宋_GB2312"/>
          <w:sz w:val="28"/>
          <w:szCs w:val="28"/>
          <w:highlight w:val="none"/>
          <w:lang w:eastAsia="zh-CN"/>
        </w:rPr>
        <w:t>元</w:t>
      </w:r>
      <w:r>
        <w:rPr>
          <w:rFonts w:ascii="仿宋_GB2312" w:eastAsia="仿宋_GB2312"/>
          <w:sz w:val="28"/>
          <w:szCs w:val="28"/>
          <w:highlight w:val="none"/>
        </w:rPr>
        <w:t>。</w:t>
      </w:r>
    </w:p>
    <w:p w14:paraId="133064CA">
      <w:pPr>
        <w:autoSpaceDE w:val="0"/>
        <w:autoSpaceDN w:val="0"/>
        <w:adjustRightInd w:val="0"/>
        <w:spacing w:line="580" w:lineRule="exact"/>
        <w:rPr>
          <w:rFonts w:ascii="宋体" w:hAnsi="宋体"/>
          <w:b/>
          <w:spacing w:val="40"/>
          <w:sz w:val="32"/>
          <w:szCs w:val="32"/>
        </w:rPr>
      </w:pPr>
      <w:r>
        <w:rPr>
          <w:rFonts w:ascii="仿宋_GB2312" w:eastAsia="仿宋_GB2312"/>
          <w:b/>
          <w:sz w:val="32"/>
          <w:szCs w:val="32"/>
        </w:rPr>
        <w:tab/>
      </w:r>
    </w:p>
    <w:p w14:paraId="21C4A6BD">
      <w:pPr>
        <w:tabs>
          <w:tab w:val="center" w:pos="6979"/>
        </w:tabs>
        <w:jc w:val="center"/>
        <w:rPr>
          <w:rFonts w:ascii="宋体" w:hAnsi="宋体" w:cs="宋体"/>
          <w:b/>
          <w:spacing w:val="40"/>
          <w:kern w:val="0"/>
          <w:sz w:val="32"/>
          <w:szCs w:val="32"/>
        </w:rPr>
      </w:pPr>
      <w:r>
        <w:rPr>
          <w:rFonts w:hint="eastAsia" w:ascii="宋体" w:hAnsi="宋体" w:cs="宋体"/>
          <w:b/>
          <w:bCs/>
          <w:spacing w:val="40"/>
          <w:kern w:val="0"/>
          <w:sz w:val="32"/>
          <w:szCs w:val="32"/>
        </w:rPr>
        <w:t>第三部分</w:t>
      </w:r>
      <w:r>
        <w:rPr>
          <w:rFonts w:hint="eastAsia" w:ascii="宋体" w:hAnsi="宋体"/>
          <w:b/>
          <w:spacing w:val="40"/>
          <w:sz w:val="32"/>
          <w:szCs w:val="32"/>
        </w:rPr>
        <w:t>2025年度</w:t>
      </w:r>
      <w:r>
        <w:rPr>
          <w:rFonts w:hint="eastAsia" w:ascii="宋体" w:hAnsi="宋体" w:cs="宋体"/>
          <w:b/>
          <w:spacing w:val="40"/>
          <w:kern w:val="0"/>
          <w:sz w:val="32"/>
          <w:szCs w:val="32"/>
        </w:rPr>
        <w:t>其他重要事项的情况说明</w:t>
      </w:r>
    </w:p>
    <w:p w14:paraId="02265B16">
      <w:pPr>
        <w:spacing w:line="560" w:lineRule="exact"/>
        <w:ind w:firstLine="560" w:firstLineChars="200"/>
        <w:rPr>
          <w:rFonts w:ascii="黑体" w:eastAsia="黑体"/>
          <w:sz w:val="28"/>
          <w:szCs w:val="28"/>
        </w:rPr>
      </w:pPr>
      <w:r>
        <w:rPr>
          <w:rFonts w:hint="eastAsia" w:ascii="黑体" w:eastAsia="黑体"/>
          <w:sz w:val="28"/>
          <w:szCs w:val="28"/>
        </w:rPr>
        <w:t>一、“三公”经费财政拨款决算情况</w:t>
      </w:r>
    </w:p>
    <w:p w14:paraId="07BDBA7D">
      <w:pPr>
        <w:spacing w:line="560" w:lineRule="exact"/>
        <w:ind w:firstLine="600"/>
        <w:rPr>
          <w:rFonts w:ascii="仿宋_GB2312" w:eastAsia="仿宋_GB2312"/>
          <w:sz w:val="28"/>
          <w:szCs w:val="28"/>
        </w:rPr>
      </w:pPr>
      <w:r>
        <w:rPr>
          <w:rFonts w:hint="eastAsia" w:ascii="仿宋_GB2312" w:eastAsia="仿宋_GB2312"/>
          <w:sz w:val="28"/>
          <w:szCs w:val="28"/>
        </w:rPr>
        <w:t>2025年度“三公”经费财政拨款决算数</w:t>
      </w:r>
      <w:r>
        <w:rPr>
          <w:rFonts w:ascii="仿宋_GB2312" w:eastAsia="仿宋_GB2312"/>
          <w:sz w:val="28"/>
          <w:szCs w:val="28"/>
        </w:rPr>
        <w:t>339</w:t>
      </w:r>
      <w:r>
        <w:rPr>
          <w:rFonts w:hint="eastAsia" w:ascii="仿宋_GB2312" w:eastAsia="仿宋_GB2312"/>
          <w:sz w:val="28"/>
          <w:szCs w:val="28"/>
          <w:lang w:val="en-US" w:eastAsia="zh-CN"/>
        </w:rPr>
        <w:t>,</w:t>
      </w:r>
      <w:r>
        <w:rPr>
          <w:rFonts w:ascii="仿宋_GB2312" w:eastAsia="仿宋_GB2312"/>
          <w:sz w:val="28"/>
          <w:szCs w:val="28"/>
        </w:rPr>
        <w:t>405.71</w:t>
      </w:r>
      <w:r>
        <w:rPr>
          <w:rFonts w:hint="eastAsia" w:ascii="仿宋_GB2312" w:eastAsia="仿宋_GB2312"/>
          <w:sz w:val="28"/>
          <w:szCs w:val="28"/>
        </w:rPr>
        <w:t>元，比2025年度“三公”经费财政拨款年初预算</w:t>
      </w:r>
      <w:r>
        <w:rPr>
          <w:rFonts w:ascii="仿宋_GB2312" w:eastAsia="仿宋_GB2312"/>
          <w:sz w:val="28"/>
          <w:szCs w:val="28"/>
        </w:rPr>
        <w:t>463</w:t>
      </w:r>
      <w:r>
        <w:rPr>
          <w:rFonts w:hint="eastAsia" w:ascii="仿宋_GB2312" w:eastAsia="仿宋_GB2312"/>
          <w:sz w:val="28"/>
          <w:szCs w:val="28"/>
          <w:lang w:val="en-US" w:eastAsia="zh-CN"/>
        </w:rPr>
        <w:t>,</w:t>
      </w:r>
      <w:r>
        <w:rPr>
          <w:rFonts w:ascii="仿宋_GB2312" w:eastAsia="仿宋_GB2312"/>
          <w:sz w:val="28"/>
          <w:szCs w:val="28"/>
        </w:rPr>
        <w:t>540</w:t>
      </w:r>
      <w:r>
        <w:rPr>
          <w:rFonts w:hint="eastAsia" w:ascii="仿宋_GB2312" w:eastAsia="仿宋_GB2312"/>
          <w:sz w:val="28"/>
          <w:szCs w:val="28"/>
          <w:lang w:val="en-US" w:eastAsia="zh-CN"/>
        </w:rPr>
        <w:t>.00</w:t>
      </w:r>
      <w:r>
        <w:rPr>
          <w:rFonts w:hint="eastAsia" w:ascii="仿宋_GB2312" w:eastAsia="仿宋_GB2312"/>
          <w:sz w:val="28"/>
          <w:szCs w:val="28"/>
        </w:rPr>
        <w:t>元减少</w:t>
      </w:r>
      <w:r>
        <w:rPr>
          <w:rFonts w:ascii="仿宋_GB2312" w:eastAsia="仿宋_GB2312"/>
          <w:sz w:val="28"/>
          <w:szCs w:val="28"/>
        </w:rPr>
        <w:t>124</w:t>
      </w:r>
      <w:r>
        <w:rPr>
          <w:rFonts w:hint="eastAsia" w:ascii="仿宋_GB2312" w:eastAsia="仿宋_GB2312"/>
          <w:sz w:val="28"/>
          <w:szCs w:val="28"/>
          <w:lang w:val="en-US" w:eastAsia="zh-CN"/>
        </w:rPr>
        <w:t>,</w:t>
      </w:r>
      <w:r>
        <w:rPr>
          <w:rFonts w:ascii="仿宋_GB2312" w:eastAsia="仿宋_GB2312"/>
          <w:sz w:val="28"/>
          <w:szCs w:val="28"/>
        </w:rPr>
        <w:t>134.29</w:t>
      </w:r>
      <w:r>
        <w:rPr>
          <w:rFonts w:hint="eastAsia" w:ascii="仿宋_GB2312" w:eastAsia="仿宋_GB2312"/>
          <w:sz w:val="28"/>
          <w:szCs w:val="28"/>
        </w:rPr>
        <w:t>元。其中：</w:t>
      </w:r>
    </w:p>
    <w:p w14:paraId="0263630B">
      <w:pPr>
        <w:spacing w:line="560" w:lineRule="exact"/>
        <w:ind w:firstLine="600"/>
        <w:rPr>
          <w:rFonts w:ascii="仿宋_GB2312" w:eastAsia="仿宋_GB2312"/>
          <w:sz w:val="28"/>
          <w:szCs w:val="28"/>
        </w:rPr>
      </w:pPr>
      <w:r>
        <w:rPr>
          <w:rFonts w:hint="eastAsia" w:ascii="仿宋_GB2312" w:eastAsia="仿宋_GB2312"/>
          <w:sz w:val="28"/>
          <w:szCs w:val="28"/>
        </w:rPr>
        <w:t>1.因公出国（境）费用。2025年度决算数</w:t>
      </w:r>
      <w:r>
        <w:rPr>
          <w:rFonts w:ascii="仿宋_GB2312" w:eastAsia="仿宋_GB2312"/>
          <w:sz w:val="28"/>
          <w:szCs w:val="28"/>
        </w:rPr>
        <w:t>0</w:t>
      </w:r>
      <w:r>
        <w:rPr>
          <w:rFonts w:hint="eastAsia" w:ascii="仿宋_GB2312" w:eastAsia="仿宋_GB2312"/>
          <w:sz w:val="28"/>
          <w:szCs w:val="28"/>
        </w:rPr>
        <w:t>元，2025年度年初预算数</w:t>
      </w:r>
      <w:r>
        <w:rPr>
          <w:rFonts w:ascii="仿宋_GB2312" w:eastAsia="仿宋_GB2312"/>
          <w:sz w:val="28"/>
          <w:szCs w:val="28"/>
        </w:rPr>
        <w:t>0</w:t>
      </w:r>
      <w:r>
        <w:rPr>
          <w:rFonts w:hint="eastAsia" w:ascii="仿宋_GB2312" w:eastAsia="仿宋_GB2312"/>
          <w:sz w:val="28"/>
          <w:szCs w:val="28"/>
        </w:rPr>
        <w:t>元。</w:t>
      </w:r>
    </w:p>
    <w:p w14:paraId="04B56AAB">
      <w:pPr>
        <w:spacing w:line="560" w:lineRule="exact"/>
        <w:ind w:firstLine="600"/>
        <w:rPr>
          <w:rFonts w:ascii="仿宋_GB2312" w:eastAsia="仿宋_GB2312"/>
          <w:sz w:val="28"/>
          <w:szCs w:val="28"/>
        </w:rPr>
      </w:pPr>
      <w:r>
        <w:rPr>
          <w:rFonts w:hint="eastAsia" w:ascii="仿宋_GB2312" w:eastAsia="仿宋_GB2312"/>
          <w:sz w:val="28"/>
          <w:szCs w:val="28"/>
        </w:rPr>
        <w:t>2.公务接待费。2025年度决算数</w:t>
      </w:r>
      <w:r>
        <w:rPr>
          <w:rFonts w:ascii="仿宋_GB2312" w:eastAsia="仿宋_GB2312"/>
          <w:sz w:val="28"/>
          <w:szCs w:val="28"/>
        </w:rPr>
        <w:t>0</w:t>
      </w:r>
      <w:r>
        <w:rPr>
          <w:rFonts w:hint="eastAsia" w:ascii="仿宋_GB2312" w:eastAsia="仿宋_GB2312"/>
          <w:sz w:val="28"/>
          <w:szCs w:val="28"/>
        </w:rPr>
        <w:t>元，比2025年度年初预算数</w:t>
      </w:r>
      <w:r>
        <w:rPr>
          <w:rFonts w:ascii="仿宋_GB2312" w:eastAsia="仿宋_GB2312"/>
          <w:sz w:val="28"/>
          <w:szCs w:val="28"/>
        </w:rPr>
        <w:t>23</w:t>
      </w:r>
      <w:r>
        <w:rPr>
          <w:rFonts w:hint="eastAsia" w:ascii="仿宋_GB2312" w:eastAsia="仿宋_GB2312"/>
          <w:sz w:val="28"/>
          <w:szCs w:val="28"/>
          <w:lang w:val="en-US" w:eastAsia="zh-CN"/>
        </w:rPr>
        <w:t>,</w:t>
      </w:r>
      <w:r>
        <w:rPr>
          <w:rFonts w:ascii="仿宋_GB2312" w:eastAsia="仿宋_GB2312"/>
          <w:sz w:val="28"/>
          <w:szCs w:val="28"/>
        </w:rPr>
        <w:t>540</w:t>
      </w:r>
      <w:r>
        <w:rPr>
          <w:rFonts w:hint="eastAsia" w:ascii="仿宋_GB2312" w:eastAsia="仿宋_GB2312"/>
          <w:sz w:val="28"/>
          <w:szCs w:val="28"/>
          <w:lang w:val="en-US" w:eastAsia="zh-CN"/>
        </w:rPr>
        <w:t>.00</w:t>
      </w:r>
      <w:r>
        <w:rPr>
          <w:rFonts w:hint="eastAsia" w:ascii="仿宋_GB2312" w:eastAsia="仿宋_GB2312"/>
          <w:sz w:val="28"/>
          <w:szCs w:val="28"/>
        </w:rPr>
        <w:t>元减少</w:t>
      </w:r>
      <w:r>
        <w:rPr>
          <w:rFonts w:ascii="仿宋_GB2312" w:eastAsia="仿宋_GB2312"/>
          <w:sz w:val="28"/>
          <w:szCs w:val="28"/>
        </w:rPr>
        <w:t>23</w:t>
      </w:r>
      <w:r>
        <w:rPr>
          <w:rFonts w:hint="eastAsia" w:ascii="仿宋_GB2312" w:eastAsia="仿宋_GB2312"/>
          <w:sz w:val="28"/>
          <w:szCs w:val="28"/>
          <w:lang w:val="en-US" w:eastAsia="zh-CN"/>
        </w:rPr>
        <w:t>,</w:t>
      </w:r>
      <w:r>
        <w:rPr>
          <w:rFonts w:ascii="仿宋_GB2312" w:eastAsia="仿宋_GB2312"/>
          <w:sz w:val="28"/>
          <w:szCs w:val="28"/>
        </w:rPr>
        <w:t>540</w:t>
      </w:r>
      <w:r>
        <w:rPr>
          <w:rFonts w:hint="eastAsia" w:ascii="仿宋_GB2312" w:eastAsia="仿宋_GB2312"/>
          <w:sz w:val="28"/>
          <w:szCs w:val="28"/>
          <w:lang w:val="en-US" w:eastAsia="zh-CN"/>
        </w:rPr>
        <w:t>.00</w:t>
      </w:r>
      <w:r>
        <w:rPr>
          <w:rFonts w:hint="eastAsia" w:ascii="仿宋_GB2312" w:eastAsia="仿宋_GB2312"/>
          <w:sz w:val="28"/>
          <w:szCs w:val="28"/>
        </w:rPr>
        <w:t>元。</w:t>
      </w:r>
    </w:p>
    <w:p w14:paraId="3AA1C0C7">
      <w:pPr>
        <w:spacing w:line="560" w:lineRule="exact"/>
        <w:ind w:firstLine="560" w:firstLineChars="200"/>
        <w:rPr>
          <w:rFonts w:ascii="仿宋_GB2312" w:eastAsia="仿宋_GB2312"/>
          <w:sz w:val="28"/>
          <w:szCs w:val="28"/>
        </w:rPr>
      </w:pPr>
      <w:r>
        <w:rPr>
          <w:rFonts w:hint="eastAsia" w:ascii="仿宋_GB2312" w:eastAsia="仿宋_GB2312"/>
          <w:sz w:val="28"/>
          <w:szCs w:val="28"/>
        </w:rPr>
        <w:t>3.公务用车购置及运行维护费。2025年度决算数</w:t>
      </w:r>
      <w:r>
        <w:rPr>
          <w:rFonts w:ascii="仿宋_GB2312" w:eastAsia="仿宋_GB2312"/>
          <w:sz w:val="28"/>
          <w:szCs w:val="28"/>
        </w:rPr>
        <w:t>339</w:t>
      </w:r>
      <w:r>
        <w:rPr>
          <w:rFonts w:hint="eastAsia" w:ascii="仿宋_GB2312" w:eastAsia="仿宋_GB2312"/>
          <w:sz w:val="28"/>
          <w:szCs w:val="28"/>
          <w:lang w:val="en-US" w:eastAsia="zh-CN"/>
        </w:rPr>
        <w:t>,</w:t>
      </w:r>
      <w:r>
        <w:rPr>
          <w:rFonts w:ascii="仿宋_GB2312" w:eastAsia="仿宋_GB2312"/>
          <w:sz w:val="28"/>
          <w:szCs w:val="28"/>
        </w:rPr>
        <w:t>405.71</w:t>
      </w:r>
      <w:r>
        <w:rPr>
          <w:rFonts w:hint="eastAsia" w:ascii="仿宋_GB2312" w:eastAsia="仿宋_GB2312"/>
          <w:sz w:val="28"/>
          <w:szCs w:val="28"/>
        </w:rPr>
        <w:t>元，比2025年度年初预算数</w:t>
      </w:r>
      <w:r>
        <w:rPr>
          <w:rFonts w:ascii="仿宋_GB2312" w:eastAsia="仿宋_GB2312"/>
          <w:sz w:val="28"/>
          <w:szCs w:val="28"/>
        </w:rPr>
        <w:t>440</w:t>
      </w:r>
      <w:r>
        <w:rPr>
          <w:rFonts w:hint="eastAsia" w:ascii="仿宋_GB2312" w:eastAsia="仿宋_GB2312"/>
          <w:sz w:val="28"/>
          <w:szCs w:val="28"/>
          <w:lang w:val="en-US" w:eastAsia="zh-CN"/>
        </w:rPr>
        <w:t>,</w:t>
      </w:r>
      <w:r>
        <w:rPr>
          <w:rFonts w:ascii="仿宋_GB2312" w:eastAsia="仿宋_GB2312"/>
          <w:sz w:val="28"/>
          <w:szCs w:val="28"/>
        </w:rPr>
        <w:t>000</w:t>
      </w:r>
      <w:r>
        <w:rPr>
          <w:rFonts w:hint="eastAsia" w:ascii="仿宋_GB2312" w:eastAsia="仿宋_GB2312"/>
          <w:sz w:val="28"/>
          <w:szCs w:val="28"/>
          <w:lang w:val="en-US" w:eastAsia="zh-CN"/>
        </w:rPr>
        <w:t>.00</w:t>
      </w:r>
      <w:r>
        <w:rPr>
          <w:rFonts w:hint="eastAsia" w:ascii="仿宋_GB2312" w:eastAsia="仿宋_GB2312"/>
          <w:sz w:val="28"/>
          <w:szCs w:val="28"/>
        </w:rPr>
        <w:t>元减少</w:t>
      </w:r>
      <w:r>
        <w:rPr>
          <w:rFonts w:ascii="仿宋_GB2312" w:eastAsia="仿宋_GB2312"/>
          <w:sz w:val="28"/>
          <w:szCs w:val="28"/>
        </w:rPr>
        <w:t>100</w:t>
      </w:r>
      <w:r>
        <w:rPr>
          <w:rFonts w:hint="eastAsia" w:ascii="仿宋_GB2312" w:eastAsia="仿宋_GB2312"/>
          <w:sz w:val="28"/>
          <w:szCs w:val="28"/>
          <w:lang w:val="en-US" w:eastAsia="zh-CN"/>
        </w:rPr>
        <w:t>,</w:t>
      </w:r>
      <w:r>
        <w:rPr>
          <w:rFonts w:ascii="仿宋_GB2312" w:eastAsia="仿宋_GB2312"/>
          <w:sz w:val="28"/>
          <w:szCs w:val="28"/>
        </w:rPr>
        <w:t>594.29</w:t>
      </w:r>
      <w:r>
        <w:rPr>
          <w:rFonts w:hint="eastAsia" w:ascii="仿宋_GB2312" w:eastAsia="仿宋_GB2312"/>
          <w:sz w:val="28"/>
          <w:szCs w:val="28"/>
        </w:rPr>
        <w:t>元。其中，公务用车购置费2025年度决算数0元，2025年度购置（更新）0辆。公务用车运行维护费2025年度决算数339</w:t>
      </w:r>
      <w:r>
        <w:rPr>
          <w:rFonts w:hint="eastAsia" w:ascii="仿宋_GB2312" w:eastAsia="仿宋_GB2312"/>
          <w:sz w:val="28"/>
          <w:szCs w:val="28"/>
          <w:lang w:val="en-US" w:eastAsia="zh-CN"/>
        </w:rPr>
        <w:t>,</w:t>
      </w:r>
      <w:r>
        <w:rPr>
          <w:rFonts w:hint="eastAsia" w:ascii="仿宋_GB2312" w:eastAsia="仿宋_GB2312"/>
          <w:sz w:val="28"/>
          <w:szCs w:val="28"/>
        </w:rPr>
        <w:t>405.71元，主要原因：“三公”经费年初预算根据人员及车辆信息定额生成，我单位近年来逐步压缩“三公”经费在内的一般性支出。2025年度公务用车保有量</w:t>
      </w:r>
      <w:r>
        <w:rPr>
          <w:rFonts w:ascii="仿宋_GB2312" w:eastAsia="仿宋_GB2312"/>
          <w:sz w:val="28"/>
          <w:szCs w:val="28"/>
        </w:rPr>
        <w:t>19</w:t>
      </w:r>
      <w:r>
        <w:rPr>
          <w:rFonts w:hint="eastAsia" w:ascii="仿宋_GB2312" w:eastAsia="仿宋_GB2312"/>
          <w:sz w:val="28"/>
          <w:szCs w:val="28"/>
        </w:rPr>
        <w:t>辆。</w:t>
      </w:r>
    </w:p>
    <w:p w14:paraId="6CCB0A02">
      <w:pPr>
        <w:tabs>
          <w:tab w:val="center" w:pos="6979"/>
        </w:tabs>
        <w:ind w:firstLine="554" w:firstLineChars="198"/>
        <w:rPr>
          <w:rFonts w:ascii="黑体" w:eastAsia="黑体"/>
          <w:sz w:val="28"/>
          <w:szCs w:val="28"/>
        </w:rPr>
      </w:pPr>
      <w:r>
        <w:rPr>
          <w:rFonts w:hint="eastAsia" w:ascii="黑体" w:eastAsia="黑体"/>
          <w:sz w:val="28"/>
          <w:szCs w:val="28"/>
        </w:rPr>
        <w:t>二、机关运行经费支出情况</w:t>
      </w:r>
    </w:p>
    <w:p w14:paraId="20C4BDF0">
      <w:pPr>
        <w:ind w:firstLine="537" w:firstLineChars="192"/>
        <w:rPr>
          <w:rFonts w:ascii="仿宋_GB2312" w:eastAsia="仿宋_GB2312"/>
          <w:sz w:val="28"/>
          <w:szCs w:val="28"/>
        </w:rPr>
      </w:pPr>
      <w:r>
        <w:rPr>
          <w:rFonts w:hint="eastAsia" w:ascii="仿宋_GB2312" w:eastAsia="仿宋_GB2312"/>
          <w:sz w:val="28"/>
          <w:szCs w:val="28"/>
        </w:rPr>
        <w:t>2025年度机关运行经费支出合计2</w:t>
      </w:r>
      <w:r>
        <w:rPr>
          <w:rFonts w:hint="eastAsia" w:ascii="仿宋_GB2312" w:eastAsia="仿宋_GB2312"/>
          <w:sz w:val="28"/>
          <w:szCs w:val="28"/>
          <w:lang w:val="en-US" w:eastAsia="zh-CN"/>
        </w:rPr>
        <w:t>,</w:t>
      </w:r>
      <w:r>
        <w:rPr>
          <w:rFonts w:hint="eastAsia" w:ascii="仿宋_GB2312" w:eastAsia="仿宋_GB2312"/>
          <w:sz w:val="28"/>
          <w:szCs w:val="28"/>
        </w:rPr>
        <w:t>315</w:t>
      </w:r>
      <w:r>
        <w:rPr>
          <w:rFonts w:hint="eastAsia" w:ascii="仿宋_GB2312" w:eastAsia="仿宋_GB2312"/>
          <w:sz w:val="28"/>
          <w:szCs w:val="28"/>
          <w:lang w:val="en-US" w:eastAsia="zh-CN"/>
        </w:rPr>
        <w:t>,</w:t>
      </w:r>
      <w:r>
        <w:rPr>
          <w:rFonts w:hint="eastAsia" w:ascii="仿宋_GB2312" w:eastAsia="仿宋_GB2312"/>
          <w:sz w:val="28"/>
          <w:szCs w:val="28"/>
        </w:rPr>
        <w:t>331.77元，比上年减少576</w:t>
      </w:r>
      <w:r>
        <w:rPr>
          <w:rFonts w:hint="eastAsia" w:ascii="仿宋_GB2312" w:eastAsia="仿宋_GB2312"/>
          <w:sz w:val="28"/>
          <w:szCs w:val="28"/>
          <w:lang w:val="en-US" w:eastAsia="zh-CN"/>
        </w:rPr>
        <w:t>,</w:t>
      </w:r>
      <w:r>
        <w:rPr>
          <w:rFonts w:hint="eastAsia" w:ascii="仿宋_GB2312" w:eastAsia="仿宋_GB2312"/>
          <w:sz w:val="28"/>
          <w:szCs w:val="28"/>
        </w:rPr>
        <w:t>996.06元，减少原因：</w:t>
      </w:r>
      <w:r>
        <w:rPr>
          <w:rFonts w:hint="eastAsia" w:ascii="仿宋_GB2312" w:eastAsia="仿宋_GB2312"/>
          <w:sz w:val="28"/>
          <w:szCs w:val="28"/>
          <w:lang w:eastAsia="zh-CN"/>
        </w:rPr>
        <w:t>人员数量减少</w:t>
      </w:r>
      <w:r>
        <w:rPr>
          <w:rFonts w:hint="eastAsia" w:ascii="仿宋_GB2312" w:eastAsia="仿宋_GB2312"/>
          <w:sz w:val="28"/>
          <w:szCs w:val="28"/>
        </w:rPr>
        <w:t>。</w:t>
      </w:r>
    </w:p>
    <w:p w14:paraId="2687A27C">
      <w:pPr>
        <w:ind w:left="540"/>
        <w:rPr>
          <w:rFonts w:ascii="黑体" w:eastAsia="黑体"/>
          <w:sz w:val="28"/>
          <w:szCs w:val="28"/>
        </w:rPr>
      </w:pPr>
      <w:r>
        <w:rPr>
          <w:rFonts w:hint="eastAsia" w:ascii="黑体" w:eastAsia="黑体"/>
          <w:sz w:val="28"/>
          <w:szCs w:val="28"/>
        </w:rPr>
        <w:t>三、政府采购支出情况</w:t>
      </w:r>
    </w:p>
    <w:p w14:paraId="3203C45A">
      <w:pPr>
        <w:ind w:firstLine="537" w:firstLineChars="192"/>
        <w:rPr>
          <w:rFonts w:ascii="仿宋_GB2312" w:eastAsia="仿宋_GB2312"/>
          <w:sz w:val="28"/>
          <w:szCs w:val="28"/>
        </w:rPr>
      </w:pPr>
      <w:r>
        <w:rPr>
          <w:rFonts w:hint="eastAsia" w:ascii="仿宋_GB2312" w:eastAsia="仿宋_GB2312"/>
          <w:sz w:val="28"/>
          <w:szCs w:val="28"/>
        </w:rPr>
        <w:t>2025年度政府采购支出总额</w:t>
      </w:r>
      <w:r>
        <w:rPr>
          <w:rFonts w:ascii="仿宋_GB2312" w:eastAsia="仿宋_GB2312"/>
          <w:sz w:val="28"/>
          <w:szCs w:val="28"/>
        </w:rPr>
        <w:t>108</w:t>
      </w:r>
      <w:r>
        <w:rPr>
          <w:rFonts w:hint="eastAsia" w:ascii="仿宋_GB2312" w:eastAsia="仿宋_GB2312"/>
          <w:sz w:val="28"/>
          <w:szCs w:val="28"/>
          <w:lang w:val="en-US" w:eastAsia="zh-CN"/>
        </w:rPr>
        <w:t>,</w:t>
      </w:r>
      <w:r>
        <w:rPr>
          <w:rFonts w:ascii="仿宋_GB2312" w:eastAsia="仿宋_GB2312"/>
          <w:sz w:val="28"/>
          <w:szCs w:val="28"/>
        </w:rPr>
        <w:t>196</w:t>
      </w:r>
      <w:r>
        <w:rPr>
          <w:rFonts w:hint="eastAsia" w:ascii="仿宋_GB2312" w:eastAsia="仿宋_GB2312"/>
          <w:sz w:val="28"/>
          <w:szCs w:val="28"/>
          <w:lang w:val="en-US" w:eastAsia="zh-CN"/>
        </w:rPr>
        <w:t>,</w:t>
      </w:r>
      <w:r>
        <w:rPr>
          <w:rFonts w:ascii="仿宋_GB2312" w:eastAsia="仿宋_GB2312"/>
          <w:sz w:val="28"/>
          <w:szCs w:val="28"/>
        </w:rPr>
        <w:t>857.76</w:t>
      </w:r>
      <w:r>
        <w:rPr>
          <w:rFonts w:hint="eastAsia" w:ascii="仿宋_GB2312" w:eastAsia="仿宋_GB2312"/>
          <w:sz w:val="28"/>
          <w:szCs w:val="28"/>
        </w:rPr>
        <w:t>元，其中：政府采购货物支出</w:t>
      </w:r>
      <w:r>
        <w:rPr>
          <w:rFonts w:ascii="仿宋_GB2312" w:eastAsia="仿宋_GB2312"/>
          <w:sz w:val="28"/>
          <w:szCs w:val="28"/>
        </w:rPr>
        <w:t>650</w:t>
      </w:r>
      <w:r>
        <w:rPr>
          <w:rFonts w:hint="eastAsia" w:ascii="仿宋_GB2312" w:eastAsia="仿宋_GB2312"/>
          <w:sz w:val="28"/>
          <w:szCs w:val="28"/>
          <w:lang w:val="en-US" w:eastAsia="zh-CN"/>
        </w:rPr>
        <w:t>,</w:t>
      </w:r>
      <w:r>
        <w:rPr>
          <w:rFonts w:ascii="仿宋_GB2312" w:eastAsia="仿宋_GB2312"/>
          <w:sz w:val="28"/>
          <w:szCs w:val="28"/>
        </w:rPr>
        <w:t>578</w:t>
      </w:r>
      <w:r>
        <w:rPr>
          <w:rFonts w:hint="eastAsia" w:ascii="仿宋_GB2312" w:eastAsia="仿宋_GB2312"/>
          <w:sz w:val="28"/>
          <w:szCs w:val="28"/>
          <w:lang w:val="en-US" w:eastAsia="zh-CN"/>
        </w:rPr>
        <w:t>.00</w:t>
      </w:r>
      <w:r>
        <w:rPr>
          <w:rFonts w:hint="eastAsia" w:ascii="仿宋_GB2312" w:eastAsia="仿宋_GB2312"/>
          <w:sz w:val="28"/>
          <w:szCs w:val="28"/>
        </w:rPr>
        <w:t>元，政府采购工程支出</w:t>
      </w:r>
      <w:r>
        <w:rPr>
          <w:rFonts w:ascii="仿宋_GB2312" w:eastAsia="仿宋_GB2312"/>
          <w:sz w:val="28"/>
          <w:szCs w:val="28"/>
        </w:rPr>
        <w:t>95</w:t>
      </w:r>
      <w:r>
        <w:rPr>
          <w:rFonts w:hint="eastAsia" w:ascii="仿宋_GB2312" w:eastAsia="仿宋_GB2312"/>
          <w:sz w:val="28"/>
          <w:szCs w:val="28"/>
          <w:lang w:val="en-US" w:eastAsia="zh-CN"/>
        </w:rPr>
        <w:t>,</w:t>
      </w:r>
      <w:r>
        <w:rPr>
          <w:rFonts w:ascii="仿宋_GB2312" w:eastAsia="仿宋_GB2312"/>
          <w:sz w:val="28"/>
          <w:szCs w:val="28"/>
        </w:rPr>
        <w:t>622</w:t>
      </w:r>
      <w:r>
        <w:rPr>
          <w:rFonts w:hint="eastAsia" w:ascii="仿宋_GB2312" w:eastAsia="仿宋_GB2312"/>
          <w:sz w:val="28"/>
          <w:szCs w:val="28"/>
          <w:lang w:val="en-US" w:eastAsia="zh-CN"/>
        </w:rPr>
        <w:t>,</w:t>
      </w:r>
      <w:r>
        <w:rPr>
          <w:rFonts w:ascii="仿宋_GB2312" w:eastAsia="仿宋_GB2312"/>
          <w:sz w:val="28"/>
          <w:szCs w:val="28"/>
        </w:rPr>
        <w:t>712.12</w:t>
      </w:r>
      <w:r>
        <w:rPr>
          <w:rFonts w:hint="eastAsia" w:ascii="仿宋_GB2312" w:eastAsia="仿宋_GB2312"/>
          <w:sz w:val="28"/>
          <w:szCs w:val="28"/>
        </w:rPr>
        <w:t>元，政府采购服务支出</w:t>
      </w:r>
      <w:r>
        <w:rPr>
          <w:rFonts w:ascii="仿宋_GB2312" w:eastAsia="仿宋_GB2312"/>
          <w:sz w:val="28"/>
          <w:szCs w:val="28"/>
        </w:rPr>
        <w:t>11</w:t>
      </w:r>
      <w:r>
        <w:rPr>
          <w:rFonts w:hint="eastAsia" w:ascii="仿宋_GB2312" w:eastAsia="仿宋_GB2312"/>
          <w:sz w:val="28"/>
          <w:szCs w:val="28"/>
          <w:lang w:val="en-US" w:eastAsia="zh-CN"/>
        </w:rPr>
        <w:t>,</w:t>
      </w:r>
      <w:r>
        <w:rPr>
          <w:rFonts w:ascii="仿宋_GB2312" w:eastAsia="仿宋_GB2312"/>
          <w:sz w:val="28"/>
          <w:szCs w:val="28"/>
        </w:rPr>
        <w:t>923</w:t>
      </w:r>
      <w:r>
        <w:rPr>
          <w:rFonts w:hint="eastAsia" w:ascii="仿宋_GB2312" w:eastAsia="仿宋_GB2312"/>
          <w:sz w:val="28"/>
          <w:szCs w:val="28"/>
          <w:lang w:val="en-US" w:eastAsia="zh-CN"/>
        </w:rPr>
        <w:t>,</w:t>
      </w:r>
      <w:r>
        <w:rPr>
          <w:rFonts w:ascii="仿宋_GB2312" w:eastAsia="仿宋_GB2312"/>
          <w:sz w:val="28"/>
          <w:szCs w:val="28"/>
        </w:rPr>
        <w:t>567.64</w:t>
      </w:r>
      <w:r>
        <w:rPr>
          <w:rFonts w:hint="eastAsia" w:ascii="仿宋_GB2312" w:eastAsia="仿宋_GB2312"/>
          <w:sz w:val="28"/>
          <w:szCs w:val="28"/>
        </w:rPr>
        <w:t>元。授予中小企业合同金额</w:t>
      </w:r>
      <w:r>
        <w:rPr>
          <w:rFonts w:ascii="仿宋_GB2312" w:eastAsia="仿宋_GB2312"/>
          <w:sz w:val="28"/>
          <w:szCs w:val="28"/>
        </w:rPr>
        <w:t>12</w:t>
      </w:r>
      <w:r>
        <w:rPr>
          <w:rFonts w:hint="eastAsia" w:ascii="仿宋_GB2312" w:eastAsia="仿宋_GB2312"/>
          <w:sz w:val="28"/>
          <w:szCs w:val="28"/>
          <w:lang w:val="en-US" w:eastAsia="zh-CN"/>
        </w:rPr>
        <w:t>,</w:t>
      </w:r>
      <w:r>
        <w:rPr>
          <w:rFonts w:ascii="仿宋_GB2312" w:eastAsia="仿宋_GB2312"/>
          <w:sz w:val="28"/>
          <w:szCs w:val="28"/>
        </w:rPr>
        <w:t>372</w:t>
      </w:r>
      <w:r>
        <w:rPr>
          <w:rFonts w:hint="eastAsia" w:ascii="仿宋_GB2312" w:eastAsia="仿宋_GB2312"/>
          <w:sz w:val="28"/>
          <w:szCs w:val="28"/>
          <w:lang w:val="en-US" w:eastAsia="zh-CN"/>
        </w:rPr>
        <w:t>,</w:t>
      </w:r>
      <w:r>
        <w:rPr>
          <w:rFonts w:ascii="仿宋_GB2312" w:eastAsia="仿宋_GB2312"/>
          <w:sz w:val="28"/>
          <w:szCs w:val="28"/>
        </w:rPr>
        <w:t>157</w:t>
      </w:r>
      <w:r>
        <w:rPr>
          <w:rFonts w:hint="eastAsia" w:ascii="仿宋_GB2312" w:eastAsia="仿宋_GB2312"/>
          <w:sz w:val="28"/>
          <w:szCs w:val="28"/>
          <w:lang w:val="en-US" w:eastAsia="zh-CN"/>
        </w:rPr>
        <w:t>.00</w:t>
      </w:r>
      <w:r>
        <w:rPr>
          <w:rFonts w:hint="eastAsia" w:ascii="仿宋_GB2312" w:eastAsia="仿宋_GB2312"/>
          <w:sz w:val="28"/>
          <w:szCs w:val="28"/>
        </w:rPr>
        <w:t>元，占政府采购支出总额的11.4%，其中：授予小微企业合同金额</w:t>
      </w:r>
      <w:r>
        <w:rPr>
          <w:rFonts w:ascii="仿宋_GB2312" w:eastAsia="仿宋_GB2312"/>
          <w:sz w:val="28"/>
          <w:szCs w:val="28"/>
        </w:rPr>
        <w:t>10</w:t>
      </w:r>
      <w:r>
        <w:rPr>
          <w:rFonts w:hint="eastAsia" w:ascii="仿宋_GB2312" w:eastAsia="仿宋_GB2312"/>
          <w:sz w:val="28"/>
          <w:szCs w:val="28"/>
          <w:lang w:val="en-US" w:eastAsia="zh-CN"/>
        </w:rPr>
        <w:t>,</w:t>
      </w:r>
      <w:r>
        <w:rPr>
          <w:rFonts w:ascii="仿宋_GB2312" w:eastAsia="仿宋_GB2312"/>
          <w:sz w:val="28"/>
          <w:szCs w:val="28"/>
        </w:rPr>
        <w:t>342</w:t>
      </w:r>
      <w:r>
        <w:rPr>
          <w:rFonts w:hint="eastAsia" w:ascii="仿宋_GB2312" w:eastAsia="仿宋_GB2312"/>
          <w:sz w:val="28"/>
          <w:szCs w:val="28"/>
          <w:lang w:val="en-US" w:eastAsia="zh-CN"/>
        </w:rPr>
        <w:t>,</w:t>
      </w:r>
      <w:r>
        <w:rPr>
          <w:rFonts w:ascii="仿宋_GB2312" w:eastAsia="仿宋_GB2312"/>
          <w:sz w:val="28"/>
          <w:szCs w:val="28"/>
        </w:rPr>
        <w:t>157</w:t>
      </w:r>
      <w:r>
        <w:rPr>
          <w:rFonts w:hint="eastAsia" w:ascii="仿宋_GB2312" w:eastAsia="仿宋_GB2312"/>
          <w:sz w:val="28"/>
          <w:szCs w:val="28"/>
          <w:lang w:val="en-US" w:eastAsia="zh-CN"/>
        </w:rPr>
        <w:t>.00</w:t>
      </w:r>
      <w:r>
        <w:rPr>
          <w:rFonts w:hint="eastAsia" w:ascii="仿宋_GB2312" w:eastAsia="仿宋_GB2312"/>
          <w:sz w:val="28"/>
          <w:szCs w:val="28"/>
        </w:rPr>
        <w:t>元，占政府采购支出总额的</w:t>
      </w:r>
      <w:r>
        <w:rPr>
          <w:rFonts w:ascii="仿宋_GB2312" w:eastAsia="仿宋_GB2312"/>
          <w:sz w:val="28"/>
          <w:szCs w:val="28"/>
        </w:rPr>
        <w:t>9.</w:t>
      </w:r>
      <w:r>
        <w:rPr>
          <w:rFonts w:hint="eastAsia" w:ascii="仿宋_GB2312" w:eastAsia="仿宋_GB2312"/>
          <w:sz w:val="28"/>
          <w:szCs w:val="28"/>
          <w:lang w:val="en-US" w:eastAsia="zh-CN"/>
        </w:rPr>
        <w:t>6</w:t>
      </w:r>
      <w:r>
        <w:rPr>
          <w:rFonts w:hint="eastAsia" w:ascii="仿宋_GB2312" w:eastAsia="仿宋_GB2312"/>
          <w:sz w:val="28"/>
          <w:szCs w:val="28"/>
        </w:rPr>
        <w:t>%。</w:t>
      </w:r>
    </w:p>
    <w:p w14:paraId="32EBE3DB">
      <w:pPr>
        <w:ind w:firstLine="560" w:firstLineChars="200"/>
        <w:rPr>
          <w:rFonts w:ascii="黑体" w:eastAsia="黑体"/>
          <w:sz w:val="28"/>
          <w:szCs w:val="28"/>
          <w:highlight w:val="yellow"/>
        </w:rPr>
      </w:pPr>
      <w:r>
        <w:rPr>
          <w:rFonts w:hint="eastAsia" w:ascii="黑体" w:eastAsia="黑体"/>
          <w:sz w:val="28"/>
          <w:szCs w:val="28"/>
        </w:rPr>
        <w:t>四、国有资产占用情况</w:t>
      </w:r>
    </w:p>
    <w:p w14:paraId="79ACA70B">
      <w:pPr>
        <w:ind w:firstLine="560" w:firstLineChars="200"/>
        <w:rPr>
          <w:rFonts w:ascii="仿宋_GB2312" w:eastAsia="仿宋_GB2312"/>
          <w:sz w:val="32"/>
          <w:szCs w:val="32"/>
        </w:rPr>
      </w:pPr>
      <w:r>
        <w:rPr>
          <w:rFonts w:hint="eastAsia" w:ascii="仿宋_GB2312" w:eastAsia="仿宋_GB2312"/>
          <w:sz w:val="28"/>
          <w:szCs w:val="28"/>
        </w:rPr>
        <w:t>截至12月31日，北京市门头沟区清水镇人民政府（部门）共有车辆19台；单位价值100</w:t>
      </w:r>
      <w:r>
        <w:rPr>
          <w:rFonts w:hint="eastAsia" w:ascii="仿宋_GB2312" w:eastAsia="仿宋_GB2312"/>
          <w:sz w:val="28"/>
          <w:szCs w:val="28"/>
          <w:lang w:eastAsia="zh-CN"/>
        </w:rPr>
        <w:t>万</w:t>
      </w:r>
      <w:r>
        <w:rPr>
          <w:rFonts w:hint="eastAsia" w:ascii="仿宋_GB2312" w:eastAsia="仿宋_GB2312"/>
          <w:sz w:val="28"/>
          <w:szCs w:val="28"/>
        </w:rPr>
        <w:t>元（含）以上的设备0台（套）。</w:t>
      </w:r>
    </w:p>
    <w:p w14:paraId="4F8A0479">
      <w:pPr>
        <w:ind w:firstLine="560" w:firstLineChars="200"/>
        <w:jc w:val="left"/>
        <w:rPr>
          <w:rFonts w:ascii="仿宋_GB2312" w:eastAsia="仿宋_GB2312"/>
          <w:color w:val="000000"/>
          <w:sz w:val="32"/>
          <w:szCs w:val="32"/>
        </w:rPr>
      </w:pPr>
      <w:r>
        <w:rPr>
          <w:rFonts w:hint="eastAsia" w:ascii="黑体" w:eastAsia="黑体"/>
          <w:sz w:val="28"/>
          <w:szCs w:val="28"/>
        </w:rPr>
        <w:t>五、</w:t>
      </w:r>
      <w:r>
        <w:rPr>
          <w:rFonts w:ascii="黑体" w:eastAsia="黑体"/>
          <w:sz w:val="28"/>
          <w:szCs w:val="28"/>
        </w:rPr>
        <w:t>专业名词解释</w:t>
      </w:r>
    </w:p>
    <w:p w14:paraId="2F079C25">
      <w:pPr>
        <w:ind w:firstLine="560" w:firstLineChars="200"/>
        <w:rPr>
          <w:rFonts w:ascii="仿宋_GB2312" w:eastAsia="仿宋_GB2312"/>
          <w:sz w:val="28"/>
          <w:szCs w:val="28"/>
        </w:rPr>
      </w:pPr>
      <w:r>
        <w:rPr>
          <w:rFonts w:hint="eastAsia" w:ascii="仿宋_GB2312" w:eastAsia="仿宋_GB2312"/>
          <w:sz w:val="28"/>
          <w:szCs w:val="28"/>
        </w:rPr>
        <w:t>1.基本支出：指为保障机构正常运转、完成日常工作任务而发生的人员支出和公用支出。</w:t>
      </w:r>
    </w:p>
    <w:p w14:paraId="3470F76E">
      <w:pPr>
        <w:ind w:firstLine="560" w:firstLineChars="200"/>
        <w:rPr>
          <w:rFonts w:ascii="仿宋_GB2312" w:eastAsia="仿宋_GB2312"/>
          <w:sz w:val="28"/>
          <w:szCs w:val="28"/>
        </w:rPr>
      </w:pPr>
      <w:r>
        <w:rPr>
          <w:rFonts w:hint="eastAsia" w:ascii="仿宋_GB2312" w:eastAsia="仿宋_GB2312"/>
          <w:sz w:val="28"/>
          <w:szCs w:val="28"/>
        </w:rPr>
        <w:t>2.项目支出：指在基本支出之外为完成特定行政任务或事业发展目标所发生的支出。</w:t>
      </w:r>
    </w:p>
    <w:p w14:paraId="45E6F907">
      <w:pPr>
        <w:ind w:firstLine="560" w:firstLineChars="200"/>
        <w:rPr>
          <w:rFonts w:ascii="仿宋_GB2312" w:eastAsia="仿宋_GB2312"/>
          <w:sz w:val="28"/>
          <w:szCs w:val="28"/>
        </w:rPr>
      </w:pPr>
      <w:r>
        <w:rPr>
          <w:rFonts w:hint="eastAsia" w:ascii="仿宋_GB2312" w:eastAsia="仿宋_GB2312"/>
          <w:sz w:val="28"/>
          <w:szCs w:val="28"/>
        </w:rPr>
        <w:t>3.“三公”经费：是指单位通过财政拨款资金安排的因公出国（境）费、公务用车购置及运行费和公务接待费。</w:t>
      </w:r>
    </w:p>
    <w:p w14:paraId="33B546D0">
      <w:pPr>
        <w:ind w:firstLine="560" w:firstLineChars="200"/>
      </w:pPr>
      <w:r>
        <w:rPr>
          <w:rFonts w:hint="eastAsia" w:ascii="仿宋_GB2312" w:eastAsia="仿宋_GB2312"/>
          <w:sz w:val="28"/>
          <w:szCs w:val="28"/>
        </w:rPr>
        <w:t>4.机关运行经费：反映为保障行政单位（包括参照公务员法管理的事业单位）运行用于购买货物和服务的各项资金，包括办公费、会议费、培训费、委托业务费、公务接待费、公务用车运行维护费、维修（护）费及其他费用。</w:t>
      </w:r>
    </w:p>
    <w:p w14:paraId="1276EB2B">
      <w:pPr>
        <w:ind w:firstLine="560" w:firstLineChars="200"/>
        <w:rPr>
          <w:rFonts w:ascii="仿宋_GB2312" w:eastAsia="仿宋_GB2312"/>
          <w:sz w:val="28"/>
          <w:szCs w:val="28"/>
        </w:rPr>
      </w:pPr>
      <w:r>
        <w:rPr>
          <w:rFonts w:hint="eastAsia" w:ascii="仿宋_GB2312" w:eastAsia="仿宋_GB2312"/>
          <w:sz w:val="28"/>
          <w:szCs w:val="28"/>
        </w:rPr>
        <w:t>5.政府采购：指各级国家机关、事业单位和团体组织，使用财政性资金采购依法制定的集中目录以内的或者采购限额标准以上的货物、工程和服务的行为，是规范财政支出管理和强化预算约束的有效措施。</w:t>
      </w:r>
    </w:p>
    <w:p w14:paraId="45B27C09">
      <w:pPr>
        <w:ind w:firstLine="560" w:firstLineChars="200"/>
        <w:rPr>
          <w:rFonts w:ascii="仿宋_GB2312" w:eastAsia="仿宋_GB2312"/>
          <w:sz w:val="28"/>
          <w:szCs w:val="28"/>
        </w:rPr>
      </w:pPr>
      <w:r>
        <w:rPr>
          <w:rFonts w:hint="eastAsia" w:ascii="仿宋_GB2312" w:eastAsia="仿宋_GB2312"/>
          <w:sz w:val="28"/>
          <w:szCs w:val="28"/>
        </w:rPr>
        <w:t>6.支出功能分类项级科目名词解释：</w:t>
      </w:r>
    </w:p>
    <w:p w14:paraId="1CB3D472">
      <w:pPr>
        <w:ind w:firstLine="420" w:firstLineChars="150"/>
        <w:rPr>
          <w:rFonts w:hint="eastAsia" w:ascii="仿宋_GB2312" w:eastAsia="仿宋_GB2312"/>
          <w:sz w:val="28"/>
          <w:szCs w:val="28"/>
        </w:rPr>
      </w:pPr>
      <w:r>
        <w:rPr>
          <w:rFonts w:hint="eastAsia" w:ascii="仿宋_GB2312" w:eastAsia="仿宋_GB2312"/>
          <w:sz w:val="28"/>
          <w:szCs w:val="28"/>
          <w:lang w:eastAsia="zh-CN"/>
        </w:rPr>
        <w:t>（</w:t>
      </w:r>
      <w:r>
        <w:rPr>
          <w:rFonts w:hint="eastAsia" w:ascii="仿宋_GB2312" w:eastAsia="仿宋_GB2312"/>
          <w:sz w:val="28"/>
          <w:szCs w:val="28"/>
        </w:rPr>
        <w:t>1</w:t>
      </w:r>
      <w:r>
        <w:rPr>
          <w:rFonts w:hint="eastAsia" w:ascii="仿宋_GB2312" w:eastAsia="仿宋_GB2312"/>
          <w:sz w:val="28"/>
          <w:szCs w:val="28"/>
          <w:lang w:eastAsia="zh-CN"/>
        </w:rPr>
        <w:t>）</w:t>
      </w:r>
      <w:r>
        <w:rPr>
          <w:rFonts w:hint="eastAsia" w:ascii="仿宋_GB2312" w:eastAsia="仿宋_GB2312"/>
          <w:sz w:val="28"/>
          <w:szCs w:val="28"/>
        </w:rPr>
        <w:t>一般公共服务支出：反映政府提供一般公共服务的支出。</w:t>
      </w:r>
    </w:p>
    <w:p w14:paraId="6C0A8826">
      <w:pPr>
        <w:ind w:firstLine="420" w:firstLineChars="150"/>
        <w:rPr>
          <w:rFonts w:hint="eastAsia" w:ascii="仿宋_GB2312" w:eastAsia="仿宋_GB2312"/>
          <w:sz w:val="28"/>
          <w:szCs w:val="28"/>
        </w:rPr>
      </w:pPr>
      <w:r>
        <w:rPr>
          <w:rFonts w:hint="eastAsia" w:ascii="仿宋_GB2312" w:eastAsia="仿宋_GB2312"/>
          <w:sz w:val="28"/>
          <w:szCs w:val="28"/>
          <w:lang w:eastAsia="zh-CN"/>
        </w:rPr>
        <w:t>（</w:t>
      </w:r>
      <w:r>
        <w:rPr>
          <w:rFonts w:hint="eastAsia" w:ascii="仿宋_GB2312" w:eastAsia="仿宋_GB2312"/>
          <w:sz w:val="28"/>
          <w:szCs w:val="28"/>
          <w:lang w:val="en-US" w:eastAsia="zh-CN"/>
        </w:rPr>
        <w:t>2</w:t>
      </w:r>
      <w:r>
        <w:rPr>
          <w:rFonts w:hint="eastAsia" w:ascii="仿宋_GB2312" w:eastAsia="仿宋_GB2312"/>
          <w:sz w:val="28"/>
          <w:szCs w:val="28"/>
          <w:lang w:eastAsia="zh-CN"/>
        </w:rPr>
        <w:t>）</w:t>
      </w:r>
      <w:r>
        <w:rPr>
          <w:rFonts w:hint="eastAsia" w:ascii="仿宋_GB2312" w:eastAsia="仿宋_GB2312"/>
          <w:sz w:val="28"/>
          <w:szCs w:val="28"/>
        </w:rPr>
        <w:t>国防支出：反映政府用于国防方面的支出。</w:t>
      </w:r>
    </w:p>
    <w:p w14:paraId="60CFCC7B">
      <w:pPr>
        <w:ind w:firstLine="420" w:firstLineChars="150"/>
        <w:rPr>
          <w:rFonts w:hint="eastAsia" w:ascii="仿宋_GB2312" w:eastAsia="仿宋_GB2312"/>
          <w:sz w:val="28"/>
          <w:szCs w:val="28"/>
        </w:rPr>
      </w:pPr>
      <w:r>
        <w:rPr>
          <w:rFonts w:hint="eastAsia" w:ascii="仿宋_GB2312" w:eastAsia="仿宋_GB2312"/>
          <w:sz w:val="28"/>
          <w:szCs w:val="28"/>
          <w:lang w:eastAsia="zh-CN"/>
        </w:rPr>
        <w:t>（</w:t>
      </w:r>
      <w:r>
        <w:rPr>
          <w:rFonts w:hint="eastAsia" w:ascii="仿宋_GB2312" w:eastAsia="仿宋_GB2312"/>
          <w:sz w:val="28"/>
          <w:szCs w:val="28"/>
          <w:lang w:val="en-US" w:eastAsia="zh-CN"/>
        </w:rPr>
        <w:t>3</w:t>
      </w:r>
      <w:r>
        <w:rPr>
          <w:rFonts w:hint="eastAsia" w:ascii="仿宋_GB2312" w:eastAsia="仿宋_GB2312"/>
          <w:sz w:val="28"/>
          <w:szCs w:val="28"/>
          <w:lang w:eastAsia="zh-CN"/>
        </w:rPr>
        <w:t>）</w:t>
      </w:r>
      <w:r>
        <w:rPr>
          <w:rFonts w:hint="eastAsia" w:ascii="仿宋_GB2312" w:eastAsia="仿宋_GB2312"/>
          <w:sz w:val="28"/>
          <w:szCs w:val="28"/>
        </w:rPr>
        <w:t>科学技术支出：反映科学技术方面的支出。</w:t>
      </w:r>
    </w:p>
    <w:p w14:paraId="2953ACCD">
      <w:pPr>
        <w:ind w:firstLine="420" w:firstLineChars="150"/>
        <w:rPr>
          <w:rFonts w:hint="eastAsia" w:ascii="仿宋_GB2312" w:eastAsia="仿宋_GB2312"/>
          <w:sz w:val="28"/>
          <w:szCs w:val="28"/>
        </w:rPr>
      </w:pPr>
      <w:r>
        <w:rPr>
          <w:rFonts w:hint="eastAsia" w:ascii="仿宋_GB2312" w:eastAsia="仿宋_GB2312"/>
          <w:sz w:val="28"/>
          <w:szCs w:val="28"/>
          <w:lang w:eastAsia="zh-CN"/>
        </w:rPr>
        <w:t>（</w:t>
      </w:r>
      <w:r>
        <w:rPr>
          <w:rFonts w:hint="eastAsia" w:ascii="仿宋_GB2312" w:eastAsia="仿宋_GB2312"/>
          <w:sz w:val="28"/>
          <w:szCs w:val="28"/>
          <w:lang w:val="en-US" w:eastAsia="zh-CN"/>
        </w:rPr>
        <w:t>4</w:t>
      </w:r>
      <w:r>
        <w:rPr>
          <w:rFonts w:hint="eastAsia" w:ascii="仿宋_GB2312" w:eastAsia="仿宋_GB2312"/>
          <w:sz w:val="28"/>
          <w:szCs w:val="28"/>
          <w:lang w:eastAsia="zh-CN"/>
        </w:rPr>
        <w:t>）</w:t>
      </w:r>
      <w:r>
        <w:rPr>
          <w:rFonts w:hint="eastAsia" w:ascii="仿宋_GB2312" w:eastAsia="仿宋_GB2312"/>
          <w:sz w:val="28"/>
          <w:szCs w:val="28"/>
        </w:rPr>
        <w:t>文化旅游与传媒支出：反映政府在文化、旅游、文物、体育、广播电视、电影、新闻出版等方面的支出。</w:t>
      </w:r>
    </w:p>
    <w:p w14:paraId="7001323B">
      <w:pPr>
        <w:ind w:firstLine="420" w:firstLineChars="150"/>
        <w:rPr>
          <w:rFonts w:hint="eastAsia" w:ascii="仿宋_GB2312" w:eastAsia="仿宋_GB2312"/>
          <w:sz w:val="28"/>
          <w:szCs w:val="28"/>
        </w:rPr>
      </w:pPr>
      <w:r>
        <w:rPr>
          <w:rFonts w:hint="eastAsia" w:ascii="仿宋_GB2312" w:eastAsia="仿宋_GB2312"/>
          <w:sz w:val="28"/>
          <w:szCs w:val="28"/>
          <w:lang w:eastAsia="zh-CN"/>
        </w:rPr>
        <w:t>（</w:t>
      </w:r>
      <w:r>
        <w:rPr>
          <w:rFonts w:hint="eastAsia" w:ascii="仿宋_GB2312" w:eastAsia="仿宋_GB2312"/>
          <w:sz w:val="28"/>
          <w:szCs w:val="28"/>
          <w:lang w:val="en-US" w:eastAsia="zh-CN"/>
        </w:rPr>
        <w:t>5</w:t>
      </w:r>
      <w:r>
        <w:rPr>
          <w:rFonts w:hint="eastAsia" w:ascii="仿宋_GB2312" w:eastAsia="仿宋_GB2312"/>
          <w:sz w:val="28"/>
          <w:szCs w:val="28"/>
          <w:lang w:eastAsia="zh-CN"/>
        </w:rPr>
        <w:t>）</w:t>
      </w:r>
      <w:r>
        <w:rPr>
          <w:rFonts w:hint="eastAsia" w:ascii="仿宋_GB2312" w:eastAsia="仿宋_GB2312"/>
          <w:sz w:val="28"/>
          <w:szCs w:val="28"/>
        </w:rPr>
        <w:t>社会保障和就业支出：反映政府在社会保障和就业方面的支出。</w:t>
      </w:r>
    </w:p>
    <w:p w14:paraId="17870FEA">
      <w:pPr>
        <w:ind w:firstLine="420" w:firstLineChars="150"/>
        <w:rPr>
          <w:rFonts w:hint="eastAsia" w:ascii="仿宋_GB2312" w:eastAsia="仿宋_GB2312"/>
          <w:sz w:val="28"/>
          <w:szCs w:val="28"/>
        </w:rPr>
      </w:pPr>
      <w:r>
        <w:rPr>
          <w:rFonts w:hint="eastAsia" w:ascii="仿宋_GB2312" w:eastAsia="仿宋_GB2312"/>
          <w:sz w:val="28"/>
          <w:szCs w:val="28"/>
          <w:lang w:eastAsia="zh-CN"/>
        </w:rPr>
        <w:t>（</w:t>
      </w:r>
      <w:r>
        <w:rPr>
          <w:rFonts w:hint="eastAsia" w:ascii="仿宋_GB2312" w:eastAsia="仿宋_GB2312"/>
          <w:sz w:val="28"/>
          <w:szCs w:val="28"/>
          <w:lang w:val="en-US" w:eastAsia="zh-CN"/>
        </w:rPr>
        <w:t>6</w:t>
      </w:r>
      <w:r>
        <w:rPr>
          <w:rFonts w:hint="eastAsia" w:ascii="仿宋_GB2312" w:eastAsia="仿宋_GB2312"/>
          <w:sz w:val="28"/>
          <w:szCs w:val="28"/>
          <w:lang w:eastAsia="zh-CN"/>
        </w:rPr>
        <w:t>）</w:t>
      </w:r>
      <w:r>
        <w:rPr>
          <w:rFonts w:hint="eastAsia" w:ascii="仿宋_GB2312" w:eastAsia="仿宋_GB2312"/>
          <w:sz w:val="28"/>
          <w:szCs w:val="28"/>
        </w:rPr>
        <w:t>卫生健康支出：反映政府卫生健康方面的支出。</w:t>
      </w:r>
    </w:p>
    <w:p w14:paraId="154DC847">
      <w:pPr>
        <w:ind w:firstLine="420" w:firstLineChars="150"/>
        <w:rPr>
          <w:rFonts w:hint="eastAsia" w:ascii="仿宋_GB2312" w:eastAsia="仿宋_GB2312"/>
          <w:sz w:val="28"/>
          <w:szCs w:val="28"/>
        </w:rPr>
      </w:pPr>
      <w:r>
        <w:rPr>
          <w:rFonts w:hint="eastAsia" w:ascii="仿宋_GB2312" w:eastAsia="仿宋_GB2312"/>
          <w:sz w:val="28"/>
          <w:szCs w:val="28"/>
          <w:lang w:eastAsia="zh-CN"/>
        </w:rPr>
        <w:t>（</w:t>
      </w:r>
      <w:r>
        <w:rPr>
          <w:rFonts w:hint="eastAsia" w:ascii="仿宋_GB2312" w:eastAsia="仿宋_GB2312"/>
          <w:sz w:val="28"/>
          <w:szCs w:val="28"/>
          <w:lang w:val="en-US" w:eastAsia="zh-CN"/>
        </w:rPr>
        <w:t>7</w:t>
      </w:r>
      <w:r>
        <w:rPr>
          <w:rFonts w:hint="eastAsia" w:ascii="仿宋_GB2312" w:eastAsia="仿宋_GB2312"/>
          <w:sz w:val="28"/>
          <w:szCs w:val="28"/>
          <w:lang w:eastAsia="zh-CN"/>
        </w:rPr>
        <w:t>）</w:t>
      </w:r>
      <w:r>
        <w:rPr>
          <w:rFonts w:hint="eastAsia" w:ascii="仿宋_GB2312" w:eastAsia="仿宋_GB2312"/>
          <w:sz w:val="28"/>
          <w:szCs w:val="28"/>
        </w:rPr>
        <w:t>节能环保支出：反映政府节能环保支出。</w:t>
      </w:r>
    </w:p>
    <w:p w14:paraId="2C6401D9">
      <w:pPr>
        <w:ind w:firstLine="420" w:firstLineChars="150"/>
        <w:rPr>
          <w:rFonts w:hint="eastAsia" w:ascii="仿宋_GB2312" w:eastAsia="仿宋_GB2312"/>
          <w:sz w:val="28"/>
          <w:szCs w:val="28"/>
        </w:rPr>
      </w:pPr>
      <w:r>
        <w:rPr>
          <w:rFonts w:hint="eastAsia" w:ascii="仿宋_GB2312" w:eastAsia="仿宋_GB2312"/>
          <w:sz w:val="28"/>
          <w:szCs w:val="28"/>
          <w:lang w:eastAsia="zh-CN"/>
        </w:rPr>
        <w:t>（</w:t>
      </w:r>
      <w:r>
        <w:rPr>
          <w:rFonts w:hint="eastAsia" w:ascii="仿宋_GB2312" w:eastAsia="仿宋_GB2312"/>
          <w:sz w:val="28"/>
          <w:szCs w:val="28"/>
          <w:lang w:val="en-US" w:eastAsia="zh-CN"/>
        </w:rPr>
        <w:t>8</w:t>
      </w:r>
      <w:r>
        <w:rPr>
          <w:rFonts w:hint="eastAsia" w:ascii="仿宋_GB2312" w:eastAsia="仿宋_GB2312"/>
          <w:sz w:val="28"/>
          <w:szCs w:val="28"/>
          <w:lang w:eastAsia="zh-CN"/>
        </w:rPr>
        <w:t>）</w:t>
      </w:r>
      <w:r>
        <w:rPr>
          <w:rFonts w:hint="eastAsia" w:ascii="仿宋_GB2312" w:eastAsia="仿宋_GB2312"/>
          <w:sz w:val="28"/>
          <w:szCs w:val="28"/>
        </w:rPr>
        <w:t>城乡社区支出：反映政府城乡社区事务支出。</w:t>
      </w:r>
    </w:p>
    <w:p w14:paraId="6E821C77">
      <w:pPr>
        <w:ind w:firstLine="420" w:firstLineChars="150"/>
        <w:rPr>
          <w:rFonts w:hint="eastAsia" w:ascii="仿宋_GB2312" w:eastAsia="仿宋_GB2312"/>
          <w:sz w:val="28"/>
          <w:szCs w:val="28"/>
        </w:rPr>
      </w:pPr>
      <w:r>
        <w:rPr>
          <w:rFonts w:hint="eastAsia" w:ascii="仿宋_GB2312" w:eastAsia="仿宋_GB2312"/>
          <w:sz w:val="28"/>
          <w:szCs w:val="28"/>
          <w:lang w:eastAsia="zh-CN"/>
        </w:rPr>
        <w:t>（</w:t>
      </w:r>
      <w:r>
        <w:rPr>
          <w:rFonts w:hint="eastAsia" w:ascii="仿宋_GB2312" w:eastAsia="仿宋_GB2312"/>
          <w:sz w:val="28"/>
          <w:szCs w:val="28"/>
          <w:lang w:val="en-US" w:eastAsia="zh-CN"/>
        </w:rPr>
        <w:t>9</w:t>
      </w:r>
      <w:r>
        <w:rPr>
          <w:rFonts w:hint="eastAsia" w:ascii="仿宋_GB2312" w:eastAsia="仿宋_GB2312"/>
          <w:sz w:val="28"/>
          <w:szCs w:val="28"/>
          <w:lang w:eastAsia="zh-CN"/>
        </w:rPr>
        <w:t>）</w:t>
      </w:r>
      <w:r>
        <w:rPr>
          <w:rFonts w:hint="eastAsia" w:ascii="仿宋_GB2312" w:eastAsia="仿宋_GB2312"/>
          <w:sz w:val="28"/>
          <w:szCs w:val="28"/>
        </w:rPr>
        <w:t>农林水支出：反映政府农林水事务支出。</w:t>
      </w:r>
    </w:p>
    <w:p w14:paraId="06A9A20E">
      <w:pPr>
        <w:ind w:firstLine="420" w:firstLineChars="150"/>
        <w:rPr>
          <w:rFonts w:hint="eastAsia" w:ascii="仿宋_GB2312" w:eastAsia="仿宋_GB2312"/>
          <w:sz w:val="28"/>
          <w:szCs w:val="28"/>
        </w:rPr>
      </w:pPr>
      <w:r>
        <w:rPr>
          <w:rFonts w:hint="eastAsia" w:ascii="仿宋_GB2312" w:eastAsia="仿宋_GB2312"/>
          <w:sz w:val="28"/>
          <w:szCs w:val="28"/>
          <w:lang w:eastAsia="zh-CN"/>
        </w:rPr>
        <w:t>（</w:t>
      </w:r>
      <w:r>
        <w:rPr>
          <w:rFonts w:hint="eastAsia" w:ascii="仿宋_GB2312" w:eastAsia="仿宋_GB2312"/>
          <w:sz w:val="28"/>
          <w:szCs w:val="28"/>
          <w:lang w:val="en-US" w:eastAsia="zh-CN"/>
        </w:rPr>
        <w:t>10</w:t>
      </w:r>
      <w:r>
        <w:rPr>
          <w:rFonts w:hint="eastAsia" w:ascii="仿宋_GB2312" w:eastAsia="仿宋_GB2312"/>
          <w:sz w:val="28"/>
          <w:szCs w:val="28"/>
          <w:lang w:eastAsia="zh-CN"/>
        </w:rPr>
        <w:t>）</w:t>
      </w:r>
      <w:r>
        <w:rPr>
          <w:rFonts w:hint="eastAsia" w:ascii="仿宋_GB2312" w:eastAsia="仿宋_GB2312"/>
          <w:sz w:val="28"/>
          <w:szCs w:val="28"/>
        </w:rPr>
        <w:t>交通运输支出：反映交通运输和邮政业方面的支出。</w:t>
      </w:r>
    </w:p>
    <w:p w14:paraId="68A1B1AA">
      <w:pPr>
        <w:ind w:firstLine="420" w:firstLineChars="150"/>
        <w:rPr>
          <w:rFonts w:hint="eastAsia" w:ascii="仿宋_GB2312" w:eastAsia="仿宋_GB2312"/>
          <w:sz w:val="28"/>
          <w:szCs w:val="28"/>
        </w:rPr>
      </w:pPr>
      <w:r>
        <w:rPr>
          <w:rFonts w:hint="eastAsia" w:ascii="仿宋_GB2312" w:eastAsia="仿宋_GB2312"/>
          <w:sz w:val="28"/>
          <w:szCs w:val="28"/>
          <w:lang w:eastAsia="zh-CN"/>
        </w:rPr>
        <w:t>（</w:t>
      </w:r>
      <w:r>
        <w:rPr>
          <w:rFonts w:hint="eastAsia" w:ascii="仿宋_GB2312" w:eastAsia="仿宋_GB2312"/>
          <w:sz w:val="28"/>
          <w:szCs w:val="28"/>
          <w:lang w:val="en-US" w:eastAsia="zh-CN"/>
        </w:rPr>
        <w:t>11</w:t>
      </w:r>
      <w:r>
        <w:rPr>
          <w:rFonts w:hint="eastAsia" w:ascii="仿宋_GB2312" w:eastAsia="仿宋_GB2312"/>
          <w:sz w:val="28"/>
          <w:szCs w:val="28"/>
          <w:lang w:eastAsia="zh-CN"/>
        </w:rPr>
        <w:t>）</w:t>
      </w:r>
      <w:r>
        <w:rPr>
          <w:rFonts w:hint="eastAsia" w:ascii="仿宋_GB2312" w:eastAsia="仿宋_GB2312"/>
          <w:sz w:val="28"/>
          <w:szCs w:val="28"/>
        </w:rPr>
        <w:t>资源勘探工业信息等支出：反映用于资源勘探、制造业、建筑业、工业信息等方面支出。</w:t>
      </w:r>
    </w:p>
    <w:p w14:paraId="4DA4CE88">
      <w:pPr>
        <w:ind w:firstLine="420" w:firstLineChars="150"/>
        <w:rPr>
          <w:rFonts w:hint="eastAsia" w:ascii="仿宋_GB2312" w:eastAsia="仿宋_GB2312"/>
          <w:sz w:val="28"/>
          <w:szCs w:val="28"/>
        </w:rPr>
      </w:pPr>
      <w:r>
        <w:rPr>
          <w:rFonts w:hint="eastAsia" w:ascii="仿宋_GB2312" w:eastAsia="仿宋_GB2312"/>
          <w:sz w:val="28"/>
          <w:szCs w:val="28"/>
          <w:lang w:eastAsia="zh-CN"/>
        </w:rPr>
        <w:t>（</w:t>
      </w:r>
      <w:r>
        <w:rPr>
          <w:rFonts w:hint="eastAsia" w:ascii="仿宋_GB2312" w:eastAsia="仿宋_GB2312"/>
          <w:sz w:val="28"/>
          <w:szCs w:val="28"/>
          <w:lang w:val="en-US" w:eastAsia="zh-CN"/>
        </w:rPr>
        <w:t>12</w:t>
      </w:r>
      <w:r>
        <w:rPr>
          <w:rFonts w:hint="eastAsia" w:ascii="仿宋_GB2312" w:eastAsia="仿宋_GB2312"/>
          <w:sz w:val="28"/>
          <w:szCs w:val="28"/>
          <w:lang w:eastAsia="zh-CN"/>
        </w:rPr>
        <w:t>）</w:t>
      </w:r>
      <w:r>
        <w:rPr>
          <w:rFonts w:hint="eastAsia" w:ascii="仿宋_GB2312" w:eastAsia="仿宋_GB2312"/>
          <w:sz w:val="28"/>
          <w:szCs w:val="28"/>
        </w:rPr>
        <w:t>国有资本经营预算支出：反映用国有资本经营预算收入安排的支出。</w:t>
      </w:r>
    </w:p>
    <w:p w14:paraId="1644864C">
      <w:pPr>
        <w:ind w:firstLine="420" w:firstLineChars="150"/>
        <w:rPr>
          <w:rFonts w:ascii="仿宋_GB2312" w:eastAsia="仿宋_GB2312"/>
          <w:sz w:val="28"/>
          <w:szCs w:val="28"/>
        </w:rPr>
      </w:pPr>
      <w:r>
        <w:rPr>
          <w:rFonts w:hint="eastAsia" w:ascii="仿宋_GB2312" w:eastAsia="仿宋_GB2312"/>
          <w:sz w:val="28"/>
          <w:szCs w:val="28"/>
          <w:lang w:eastAsia="zh-CN"/>
        </w:rPr>
        <w:t>（</w:t>
      </w:r>
      <w:r>
        <w:rPr>
          <w:rFonts w:hint="eastAsia" w:ascii="仿宋_GB2312" w:eastAsia="仿宋_GB2312"/>
          <w:sz w:val="28"/>
          <w:szCs w:val="28"/>
          <w:lang w:val="en-US" w:eastAsia="zh-CN"/>
        </w:rPr>
        <w:t>13</w:t>
      </w:r>
      <w:r>
        <w:rPr>
          <w:rFonts w:hint="eastAsia" w:ascii="仿宋_GB2312" w:eastAsia="仿宋_GB2312"/>
          <w:sz w:val="28"/>
          <w:szCs w:val="28"/>
          <w:lang w:eastAsia="zh-CN"/>
        </w:rPr>
        <w:t>）</w:t>
      </w:r>
      <w:r>
        <w:rPr>
          <w:rFonts w:hint="eastAsia" w:ascii="仿宋_GB2312" w:eastAsia="仿宋_GB2312"/>
          <w:sz w:val="28"/>
          <w:szCs w:val="28"/>
        </w:rPr>
        <w:t>灾害防治及应急管理支出：反映政府用于自然灾害防治、安全生产监管及应急管理等方面的支出。</w:t>
      </w:r>
    </w:p>
    <w:p w14:paraId="7EEC80EC">
      <w:pPr>
        <w:rPr>
          <w:rFonts w:ascii="黑体" w:eastAsia="黑体"/>
          <w:sz w:val="32"/>
          <w:szCs w:val="32"/>
        </w:rPr>
      </w:pPr>
    </w:p>
    <w:p w14:paraId="209AF704">
      <w:pPr>
        <w:tabs>
          <w:tab w:val="center" w:pos="6979"/>
        </w:tabs>
        <w:spacing w:line="380" w:lineRule="exact"/>
        <w:jc w:val="center"/>
        <w:rPr>
          <w:rFonts w:ascii="宋体" w:hAnsi="宋体" w:cs="宋体"/>
          <w:b/>
          <w:bCs/>
          <w:kern w:val="0"/>
          <w:sz w:val="28"/>
          <w:szCs w:val="28"/>
        </w:rPr>
      </w:pPr>
    </w:p>
    <w:p w14:paraId="79652073">
      <w:pPr>
        <w:tabs>
          <w:tab w:val="center" w:pos="6979"/>
        </w:tabs>
        <w:spacing w:line="380" w:lineRule="exact"/>
        <w:jc w:val="center"/>
        <w:rPr>
          <w:rFonts w:ascii="宋体" w:hAnsi="宋体" w:cs="宋体"/>
          <w:b/>
          <w:bCs/>
          <w:kern w:val="0"/>
          <w:sz w:val="28"/>
          <w:szCs w:val="28"/>
        </w:rPr>
      </w:pPr>
    </w:p>
    <w:p w14:paraId="6EBBC354">
      <w:pPr>
        <w:rPr>
          <w:rFonts w:ascii="黑体" w:eastAsia="黑体"/>
          <w:sz w:val="32"/>
          <w:szCs w:val="32"/>
        </w:rPr>
      </w:pPr>
    </w:p>
    <w:p w14:paraId="4969D8B2">
      <w:pPr>
        <w:rPr>
          <w:rFonts w:ascii="黑体" w:eastAsia="黑体"/>
          <w:sz w:val="32"/>
          <w:szCs w:val="32"/>
        </w:rPr>
      </w:pPr>
    </w:p>
    <w:p w14:paraId="06F9F98B">
      <w:pPr>
        <w:rPr>
          <w:rFonts w:ascii="黑体" w:eastAsia="黑体"/>
          <w:sz w:val="32"/>
          <w:szCs w:val="32"/>
        </w:rPr>
      </w:pPr>
    </w:p>
    <w:p w14:paraId="2CB6791A">
      <w:pPr>
        <w:ind w:firstLine="640" w:firstLineChars="200"/>
        <w:jc w:val="center"/>
        <w:rPr>
          <w:rFonts w:ascii="黑体" w:eastAsia="黑体"/>
          <w:sz w:val="32"/>
          <w:szCs w:val="32"/>
        </w:rPr>
      </w:pPr>
    </w:p>
    <w:p w14:paraId="64AAF5A3">
      <w:pPr>
        <w:tabs>
          <w:tab w:val="center" w:pos="6979"/>
        </w:tabs>
        <w:spacing w:line="580" w:lineRule="exact"/>
        <w:ind w:firstLine="720" w:firstLineChars="200"/>
        <w:jc w:val="center"/>
        <w:rPr>
          <w:rFonts w:asciiTheme="minorEastAsia" w:hAnsiTheme="minorEastAsia" w:eastAsiaTheme="minorEastAsia"/>
          <w:b/>
          <w:sz w:val="36"/>
          <w:szCs w:val="36"/>
        </w:rPr>
      </w:pPr>
      <w:r>
        <w:rPr>
          <w:rFonts w:hint="eastAsia" w:asciiTheme="minorEastAsia" w:hAnsiTheme="minorEastAsia" w:eastAsiaTheme="minorEastAsia"/>
          <w:b/>
          <w:sz w:val="36"/>
          <w:szCs w:val="36"/>
        </w:rPr>
        <w:t>第四部分2025年度部门绩效评价情况</w:t>
      </w:r>
    </w:p>
    <w:p w14:paraId="68C34C5B">
      <w:pPr>
        <w:tabs>
          <w:tab w:val="center" w:pos="6979"/>
        </w:tabs>
        <w:spacing w:line="580" w:lineRule="exact"/>
        <w:ind w:firstLine="560" w:firstLineChars="200"/>
        <w:jc w:val="center"/>
        <w:rPr>
          <w:rFonts w:hint="eastAsia" w:ascii="华文中宋" w:hAnsi="华文中宋" w:eastAsia="华文中宋"/>
          <w:sz w:val="28"/>
          <w:szCs w:val="28"/>
        </w:rPr>
      </w:pPr>
    </w:p>
    <w:p w14:paraId="4C3C8399">
      <w:pPr>
        <w:spacing w:line="580" w:lineRule="exact"/>
        <w:ind w:firstLine="640" w:firstLineChars="200"/>
        <w:rPr>
          <w:rFonts w:hint="eastAsia" w:ascii="黑体" w:hAnsi="黑体" w:eastAsia="黑体"/>
          <w:sz w:val="32"/>
          <w:szCs w:val="32"/>
        </w:rPr>
      </w:pPr>
      <w:r>
        <w:rPr>
          <w:rFonts w:hint="eastAsia" w:ascii="黑体" w:eastAsia="黑体"/>
          <w:sz w:val="32"/>
          <w:szCs w:val="32"/>
        </w:rPr>
        <w:t xml:space="preserve"> </w:t>
      </w:r>
      <w:r>
        <w:rPr>
          <w:rFonts w:hint="eastAsia" w:ascii="黑体" w:hAnsi="黑体" w:eastAsia="黑体"/>
          <w:sz w:val="32"/>
          <w:szCs w:val="32"/>
        </w:rPr>
        <w:t>一、部门整体绩效评价报告</w:t>
      </w:r>
    </w:p>
    <w:p w14:paraId="19218B70">
      <w:pPr>
        <w:spacing w:line="580" w:lineRule="exact"/>
        <w:ind w:firstLine="640"/>
        <w:rPr>
          <w:rFonts w:hint="eastAsia" w:ascii="楷体_GB2312" w:hAnsi="Calibri" w:eastAsia="楷体_GB2312"/>
          <w:b/>
          <w:sz w:val="32"/>
          <w:szCs w:val="32"/>
        </w:rPr>
      </w:pPr>
      <w:r>
        <w:rPr>
          <w:rFonts w:hint="eastAsia" w:ascii="楷体_GB2312" w:eastAsia="楷体_GB2312"/>
          <w:b/>
          <w:sz w:val="32"/>
          <w:szCs w:val="32"/>
        </w:rPr>
        <w:t>（一）部门概况</w:t>
      </w:r>
    </w:p>
    <w:p w14:paraId="054990BC">
      <w:pPr>
        <w:spacing w:line="580" w:lineRule="exact"/>
        <w:ind w:firstLine="640"/>
        <w:rPr>
          <w:rFonts w:hint="eastAsia" w:ascii="仿宋_GB2312" w:eastAsia="仿宋_GB2312"/>
          <w:sz w:val="32"/>
          <w:szCs w:val="32"/>
        </w:rPr>
      </w:pPr>
      <w:bookmarkStart w:id="0" w:name="_Toc268005755"/>
      <w:r>
        <w:rPr>
          <w:rFonts w:hint="eastAsia" w:ascii="仿宋_GB2312" w:eastAsia="仿宋_GB2312"/>
          <w:sz w:val="32"/>
          <w:szCs w:val="32"/>
        </w:rPr>
        <w:t>1.部门职责情况</w:t>
      </w:r>
    </w:p>
    <w:p w14:paraId="4FE6EFD8">
      <w:pPr>
        <w:spacing w:line="580" w:lineRule="exact"/>
        <w:ind w:firstLine="640"/>
        <w:rPr>
          <w:rFonts w:hint="eastAsia" w:ascii="仿宋_GB2312" w:eastAsia="仿宋_GB2312"/>
          <w:sz w:val="32"/>
          <w:szCs w:val="32"/>
        </w:rPr>
      </w:pPr>
      <w:r>
        <w:rPr>
          <w:rFonts w:hint="eastAsia" w:ascii="仿宋_GB2312" w:eastAsia="仿宋_GB2312"/>
          <w:sz w:val="32"/>
          <w:szCs w:val="32"/>
        </w:rPr>
        <w:t>清水镇人民政府隶属于门头沟区人民政府，属于政府职能部门，其职责是加强对清水镇经济和社会发展的统筹规划和组织协调服务；加强社会主义民主政治和法制建设，依法行政，规范管理；完善农村社会化服务体系，为农业和农村经济发展创造条件。</w:t>
      </w:r>
    </w:p>
    <w:p w14:paraId="6CEF09CC">
      <w:pPr>
        <w:numPr>
          <w:ilvl w:val="0"/>
          <w:numId w:val="2"/>
        </w:numPr>
        <w:spacing w:line="580" w:lineRule="exact"/>
        <w:ind w:firstLine="640"/>
        <w:rPr>
          <w:rFonts w:hint="eastAsia" w:ascii="仿宋_GB2312" w:eastAsia="仿宋_GB2312"/>
          <w:sz w:val="32"/>
          <w:szCs w:val="32"/>
        </w:rPr>
      </w:pPr>
      <w:r>
        <w:rPr>
          <w:rFonts w:hint="eastAsia" w:ascii="仿宋_GB2312" w:eastAsia="仿宋_GB2312"/>
          <w:sz w:val="32"/>
          <w:szCs w:val="32"/>
        </w:rPr>
        <w:t>部门机构设置情况</w:t>
      </w:r>
    </w:p>
    <w:p w14:paraId="65170FE2">
      <w:pPr>
        <w:numPr>
          <w:ilvl w:val="0"/>
          <w:numId w:val="0"/>
        </w:numPr>
        <w:spacing w:line="580" w:lineRule="exact"/>
        <w:ind w:firstLine="640" w:firstLineChars="200"/>
        <w:rPr>
          <w:rFonts w:hint="eastAsia" w:ascii="仿宋_GB2312" w:eastAsia="仿宋_GB2312"/>
          <w:sz w:val="32"/>
          <w:szCs w:val="32"/>
        </w:rPr>
      </w:pPr>
      <w:r>
        <w:rPr>
          <w:rFonts w:hint="eastAsia" w:ascii="仿宋_GB2312" w:eastAsia="仿宋_GB2312"/>
          <w:sz w:val="32"/>
          <w:szCs w:val="32"/>
        </w:rPr>
        <w:t>清水镇人民政府属于一级预算单位，包括一个行政单位及五个事业单位，即清水镇人民政府，便民服务中心（退役军人服务站），区域经济发展服务中心，农村经济经营管理站（农村三资管理服务中心），市民活动中心，市民诉求处置中心。</w:t>
      </w:r>
    </w:p>
    <w:p w14:paraId="7C5C1AEB">
      <w:pPr>
        <w:spacing w:line="580" w:lineRule="exact"/>
        <w:ind w:firstLine="640"/>
        <w:rPr>
          <w:rFonts w:hint="eastAsia" w:ascii="仿宋_GB2312" w:eastAsia="仿宋_GB2312"/>
          <w:sz w:val="32"/>
          <w:szCs w:val="32"/>
        </w:rPr>
      </w:pPr>
      <w:r>
        <w:rPr>
          <w:rFonts w:hint="eastAsia" w:ascii="仿宋_GB2312" w:eastAsia="仿宋_GB2312"/>
          <w:sz w:val="32"/>
          <w:szCs w:val="32"/>
        </w:rPr>
        <w:t>3.2025年主要工作任务</w:t>
      </w:r>
    </w:p>
    <w:p w14:paraId="777AD962">
      <w:pPr>
        <w:spacing w:line="580" w:lineRule="exact"/>
        <w:ind w:firstLine="640"/>
        <w:rPr>
          <w:rFonts w:hint="eastAsia" w:ascii="仿宋_GB2312" w:eastAsia="仿宋_GB2312"/>
          <w:sz w:val="32"/>
          <w:szCs w:val="32"/>
        </w:rPr>
      </w:pPr>
      <w:r>
        <w:rPr>
          <w:rFonts w:hint="eastAsia" w:ascii="仿宋_GB2312" w:eastAsia="仿宋_GB2312"/>
          <w:sz w:val="32"/>
          <w:szCs w:val="32"/>
        </w:rPr>
        <w:t>2025年全镇经济社会发展的预期目标是:实现地区经济总收入同比增长18.</w:t>
      </w:r>
      <w:r>
        <w:rPr>
          <w:rFonts w:hint="eastAsia" w:ascii="仿宋_GB2312" w:eastAsia="仿宋_GB2312"/>
          <w:sz w:val="32"/>
          <w:szCs w:val="32"/>
          <w:lang w:val="en-US" w:eastAsia="zh-CN"/>
        </w:rPr>
        <w:t>5</w:t>
      </w:r>
      <w:r>
        <w:rPr>
          <w:rFonts w:hint="eastAsia" w:ascii="仿宋_GB2312" w:eastAsia="仿宋_GB2312"/>
          <w:sz w:val="32"/>
          <w:szCs w:val="32"/>
        </w:rPr>
        <w:t>%。完成区政府下达的各项工作目标任务。</w:t>
      </w:r>
    </w:p>
    <w:bookmarkEnd w:id="0"/>
    <w:p w14:paraId="2A82BCF9">
      <w:pPr>
        <w:numPr>
          <w:ilvl w:val="0"/>
          <w:numId w:val="2"/>
        </w:numPr>
        <w:spacing w:line="580" w:lineRule="exact"/>
        <w:ind w:left="0" w:leftChars="0" w:firstLine="640" w:firstLineChars="0"/>
        <w:rPr>
          <w:rFonts w:hint="eastAsia" w:ascii="仿宋_GB2312" w:eastAsia="仿宋_GB2312"/>
          <w:sz w:val="32"/>
          <w:szCs w:val="32"/>
        </w:rPr>
      </w:pPr>
      <w:bookmarkStart w:id="1" w:name="_Toc268005759"/>
      <w:bookmarkStart w:id="2" w:name="_Toc263686375"/>
      <w:r>
        <w:rPr>
          <w:rFonts w:hint="eastAsia" w:ascii="仿宋_GB2312" w:eastAsia="仿宋_GB2312"/>
          <w:sz w:val="32"/>
          <w:szCs w:val="32"/>
        </w:rPr>
        <w:t>部门</w:t>
      </w:r>
      <w:bookmarkEnd w:id="1"/>
      <w:r>
        <w:rPr>
          <w:rFonts w:hint="eastAsia" w:ascii="仿宋_GB2312" w:eastAsia="仿宋_GB2312"/>
          <w:sz w:val="32"/>
          <w:szCs w:val="32"/>
        </w:rPr>
        <w:t>整体绩效目标设立情况</w:t>
      </w:r>
    </w:p>
    <w:p w14:paraId="1373EC3E">
      <w:pPr>
        <w:numPr>
          <w:ilvl w:val="0"/>
          <w:numId w:val="0"/>
        </w:numPr>
        <w:spacing w:line="580" w:lineRule="exact"/>
        <w:ind w:left="640" w:leftChars="0"/>
        <w:rPr>
          <w:rFonts w:hint="eastAsia" w:ascii="仿宋_GB2312" w:eastAsia="仿宋_GB2312"/>
          <w:sz w:val="32"/>
          <w:szCs w:val="32"/>
        </w:rPr>
      </w:pPr>
    </w:p>
    <w:tbl>
      <w:tblPr>
        <w:tblStyle w:val="10"/>
        <w:tblW w:w="5074" w:type="pct"/>
        <w:tblInd w:w="-109" w:type="dxa"/>
        <w:tblLayout w:type="autofit"/>
        <w:tblCellMar>
          <w:top w:w="0" w:type="dxa"/>
          <w:left w:w="108" w:type="dxa"/>
          <w:bottom w:w="0" w:type="dxa"/>
          <w:right w:w="108" w:type="dxa"/>
        </w:tblCellMar>
      </w:tblPr>
      <w:tblGrid>
        <w:gridCol w:w="2041"/>
        <w:gridCol w:w="2825"/>
        <w:gridCol w:w="2560"/>
        <w:gridCol w:w="2050"/>
        <w:gridCol w:w="2566"/>
        <w:gridCol w:w="2963"/>
      </w:tblGrid>
      <w:tr w14:paraId="37FD8444">
        <w:tblPrEx>
          <w:tblCellMar>
            <w:top w:w="0" w:type="dxa"/>
            <w:left w:w="108" w:type="dxa"/>
            <w:bottom w:w="0" w:type="dxa"/>
            <w:right w:w="108" w:type="dxa"/>
          </w:tblCellMar>
        </w:tblPrEx>
        <w:trPr>
          <w:trHeight w:val="275" w:hRule="atLeast"/>
        </w:trPr>
        <w:tc>
          <w:tcPr>
            <w:tcW w:w="680" w:type="pct"/>
            <w:tcBorders>
              <w:top w:val="single" w:color="auto" w:sz="4" w:space="0"/>
              <w:left w:val="single" w:color="auto" w:sz="4" w:space="0"/>
              <w:bottom w:val="nil"/>
              <w:right w:val="nil"/>
            </w:tcBorders>
            <w:noWrap w:val="0"/>
            <w:tcMar>
              <w:top w:w="-1" w:type="dxa"/>
              <w:left w:w="-1" w:type="dxa"/>
              <w:bottom w:w="-1" w:type="dxa"/>
              <w:right w:w="-1" w:type="dxa"/>
            </w:tcMar>
            <w:vAlign w:val="bottom"/>
          </w:tcPr>
          <w:p w14:paraId="7EFF9E04">
            <w:pPr>
              <w:spacing w:line="520" w:lineRule="exact"/>
              <w:jc w:val="center"/>
              <w:rPr>
                <w:rFonts w:hint="eastAsia" w:ascii="仿宋_GB2312" w:eastAsia="仿宋_GB2312"/>
                <w:sz w:val="28"/>
                <w:szCs w:val="28"/>
              </w:rPr>
            </w:pPr>
            <w:r>
              <w:rPr>
                <w:rFonts w:hint="eastAsia" w:ascii="仿宋_GB2312" w:eastAsia="仿宋_GB2312"/>
                <w:sz w:val="28"/>
                <w:szCs w:val="28"/>
              </w:rPr>
              <w:t>序号</w:t>
            </w:r>
          </w:p>
        </w:tc>
        <w:tc>
          <w:tcPr>
            <w:tcW w:w="941" w:type="pct"/>
            <w:tcBorders>
              <w:top w:val="single" w:color="auto" w:sz="4" w:space="0"/>
              <w:left w:val="single" w:color="auto" w:sz="4" w:space="0"/>
              <w:bottom w:val="nil"/>
              <w:right w:val="nil"/>
            </w:tcBorders>
            <w:noWrap w:val="0"/>
            <w:tcMar>
              <w:top w:w="-1" w:type="dxa"/>
              <w:left w:w="-1" w:type="dxa"/>
              <w:bottom w:w="-1" w:type="dxa"/>
              <w:right w:w="-1" w:type="dxa"/>
            </w:tcMar>
            <w:vAlign w:val="bottom"/>
          </w:tcPr>
          <w:p w14:paraId="68A08B78">
            <w:pPr>
              <w:spacing w:line="520" w:lineRule="exact"/>
              <w:jc w:val="center"/>
              <w:rPr>
                <w:rFonts w:hint="eastAsia" w:ascii="仿宋_GB2312" w:eastAsia="仿宋_GB2312"/>
                <w:sz w:val="28"/>
                <w:szCs w:val="28"/>
              </w:rPr>
            </w:pPr>
            <w:r>
              <w:rPr>
                <w:rFonts w:hint="eastAsia" w:ascii="仿宋_GB2312" w:eastAsia="仿宋_GB2312"/>
                <w:sz w:val="28"/>
                <w:szCs w:val="28"/>
              </w:rPr>
              <w:t>三级指标</w:t>
            </w:r>
          </w:p>
        </w:tc>
        <w:tc>
          <w:tcPr>
            <w:tcW w:w="853" w:type="pct"/>
            <w:tcBorders>
              <w:top w:val="single" w:color="auto" w:sz="4" w:space="0"/>
              <w:left w:val="single" w:color="auto" w:sz="4" w:space="0"/>
              <w:bottom w:val="nil"/>
              <w:right w:val="nil"/>
            </w:tcBorders>
            <w:noWrap w:val="0"/>
            <w:tcMar>
              <w:top w:w="-1" w:type="dxa"/>
              <w:left w:w="-1" w:type="dxa"/>
              <w:bottom w:w="-1" w:type="dxa"/>
              <w:right w:w="-1" w:type="dxa"/>
            </w:tcMar>
            <w:vAlign w:val="bottom"/>
          </w:tcPr>
          <w:p w14:paraId="339DFE51">
            <w:pPr>
              <w:spacing w:line="520" w:lineRule="exact"/>
              <w:jc w:val="center"/>
              <w:rPr>
                <w:rFonts w:hint="eastAsia" w:ascii="仿宋_GB2312" w:eastAsia="仿宋_GB2312"/>
                <w:sz w:val="28"/>
                <w:szCs w:val="28"/>
              </w:rPr>
            </w:pPr>
            <w:r>
              <w:rPr>
                <w:rFonts w:hint="eastAsia" w:ascii="仿宋_GB2312" w:eastAsia="仿宋_GB2312"/>
                <w:sz w:val="28"/>
                <w:szCs w:val="28"/>
              </w:rPr>
              <w:t>指标性质</w:t>
            </w:r>
          </w:p>
        </w:tc>
        <w:tc>
          <w:tcPr>
            <w:tcW w:w="683" w:type="pct"/>
            <w:tcBorders>
              <w:top w:val="single" w:color="auto" w:sz="4" w:space="0"/>
              <w:left w:val="single" w:color="auto" w:sz="4" w:space="0"/>
              <w:bottom w:val="nil"/>
              <w:right w:val="nil"/>
            </w:tcBorders>
            <w:noWrap w:val="0"/>
            <w:tcMar>
              <w:top w:w="-1" w:type="dxa"/>
              <w:left w:w="-1" w:type="dxa"/>
              <w:bottom w:w="-1" w:type="dxa"/>
              <w:right w:w="-1" w:type="dxa"/>
            </w:tcMar>
            <w:vAlign w:val="bottom"/>
          </w:tcPr>
          <w:p w14:paraId="336A3AA3">
            <w:pPr>
              <w:spacing w:line="520" w:lineRule="exact"/>
              <w:jc w:val="center"/>
              <w:rPr>
                <w:rFonts w:hint="eastAsia" w:ascii="仿宋_GB2312" w:eastAsia="仿宋_GB2312"/>
                <w:sz w:val="28"/>
                <w:szCs w:val="28"/>
              </w:rPr>
            </w:pPr>
            <w:r>
              <w:rPr>
                <w:rFonts w:hint="eastAsia" w:ascii="仿宋_GB2312" w:eastAsia="仿宋_GB2312"/>
                <w:sz w:val="28"/>
                <w:szCs w:val="28"/>
              </w:rPr>
              <w:t>指标值</w:t>
            </w:r>
          </w:p>
        </w:tc>
        <w:tc>
          <w:tcPr>
            <w:tcW w:w="855" w:type="pct"/>
            <w:tcBorders>
              <w:top w:val="single" w:color="auto" w:sz="4" w:space="0"/>
              <w:left w:val="single" w:color="auto" w:sz="4" w:space="0"/>
              <w:bottom w:val="nil"/>
              <w:right w:val="nil"/>
            </w:tcBorders>
            <w:noWrap w:val="0"/>
            <w:tcMar>
              <w:top w:w="-1" w:type="dxa"/>
              <w:left w:w="-1" w:type="dxa"/>
              <w:bottom w:w="-1" w:type="dxa"/>
              <w:right w:w="-1" w:type="dxa"/>
            </w:tcMar>
            <w:vAlign w:val="top"/>
          </w:tcPr>
          <w:p w14:paraId="5A68E3A5">
            <w:pPr>
              <w:spacing w:line="520" w:lineRule="exact"/>
              <w:jc w:val="center"/>
              <w:rPr>
                <w:rFonts w:hint="eastAsia" w:ascii="仿宋_GB2312" w:eastAsia="仿宋_GB2312"/>
                <w:sz w:val="28"/>
                <w:szCs w:val="28"/>
              </w:rPr>
            </w:pPr>
            <w:r>
              <w:rPr>
                <w:rFonts w:hint="eastAsia" w:ascii="仿宋_GB2312" w:eastAsia="仿宋_GB2312"/>
                <w:sz w:val="28"/>
                <w:szCs w:val="28"/>
              </w:rPr>
              <w:t>度量单位</w:t>
            </w:r>
          </w:p>
        </w:tc>
        <w:tc>
          <w:tcPr>
            <w:tcW w:w="987" w:type="pct"/>
            <w:tcBorders>
              <w:top w:val="single" w:color="auto" w:sz="4" w:space="0"/>
              <w:left w:val="single" w:color="auto" w:sz="4" w:space="0"/>
              <w:bottom w:val="nil"/>
              <w:right w:val="single" w:color="auto" w:sz="4" w:space="0"/>
            </w:tcBorders>
            <w:noWrap w:val="0"/>
            <w:tcMar>
              <w:top w:w="-1" w:type="dxa"/>
              <w:left w:w="-1" w:type="dxa"/>
              <w:bottom w:w="-1" w:type="dxa"/>
              <w:right w:w="-1" w:type="dxa"/>
            </w:tcMar>
            <w:vAlign w:val="top"/>
          </w:tcPr>
          <w:p w14:paraId="1522696D">
            <w:pPr>
              <w:spacing w:line="520" w:lineRule="exact"/>
              <w:jc w:val="center"/>
              <w:rPr>
                <w:rFonts w:hint="eastAsia" w:ascii="仿宋_GB2312" w:eastAsia="仿宋_GB2312"/>
                <w:sz w:val="28"/>
                <w:szCs w:val="28"/>
              </w:rPr>
            </w:pPr>
            <w:r>
              <w:rPr>
                <w:rFonts w:hint="eastAsia" w:ascii="仿宋_GB2312" w:eastAsia="仿宋_GB2312"/>
                <w:sz w:val="28"/>
                <w:szCs w:val="28"/>
              </w:rPr>
              <w:t>指标权重</w:t>
            </w:r>
          </w:p>
        </w:tc>
      </w:tr>
      <w:tr w14:paraId="4B6DF387">
        <w:tblPrEx>
          <w:tblCellMar>
            <w:top w:w="0" w:type="dxa"/>
            <w:left w:w="108" w:type="dxa"/>
            <w:bottom w:w="0" w:type="dxa"/>
            <w:right w:w="108" w:type="dxa"/>
          </w:tblCellMar>
        </w:tblPrEx>
        <w:trPr>
          <w:trHeight w:val="275" w:hRule="atLeast"/>
        </w:trPr>
        <w:tc>
          <w:tcPr>
            <w:tcW w:w="680" w:type="pct"/>
            <w:tcBorders>
              <w:top w:val="single" w:color="auto" w:sz="4" w:space="0"/>
              <w:left w:val="single" w:color="auto" w:sz="4" w:space="0"/>
              <w:bottom w:val="nil"/>
              <w:right w:val="nil"/>
            </w:tcBorders>
            <w:noWrap w:val="0"/>
            <w:tcMar>
              <w:top w:w="-1" w:type="dxa"/>
              <w:left w:w="-1" w:type="dxa"/>
              <w:bottom w:w="-1" w:type="dxa"/>
              <w:right w:w="-1" w:type="dxa"/>
            </w:tcMar>
            <w:vAlign w:val="bottom"/>
          </w:tcPr>
          <w:p w14:paraId="304DABA4">
            <w:pPr>
              <w:spacing w:line="520" w:lineRule="exact"/>
              <w:jc w:val="center"/>
              <w:rPr>
                <w:rFonts w:hint="eastAsia" w:ascii="仿宋_GB2312" w:eastAsia="仿宋_GB2312"/>
                <w:sz w:val="28"/>
                <w:szCs w:val="28"/>
              </w:rPr>
            </w:pPr>
            <w:r>
              <w:rPr>
                <w:rFonts w:hint="eastAsia" w:ascii="仿宋_GB2312" w:eastAsia="仿宋_GB2312"/>
                <w:sz w:val="28"/>
                <w:szCs w:val="28"/>
              </w:rPr>
              <w:t>1</w:t>
            </w:r>
          </w:p>
        </w:tc>
        <w:tc>
          <w:tcPr>
            <w:tcW w:w="941" w:type="pct"/>
            <w:tcBorders>
              <w:top w:val="single" w:color="auto" w:sz="4" w:space="0"/>
              <w:left w:val="single" w:color="auto" w:sz="4" w:space="0"/>
              <w:bottom w:val="nil"/>
              <w:right w:val="nil"/>
            </w:tcBorders>
            <w:shd w:val="clear" w:color="auto" w:fill="auto"/>
            <w:noWrap w:val="0"/>
            <w:tcMar>
              <w:top w:w="-1" w:type="dxa"/>
              <w:left w:w="-1" w:type="dxa"/>
              <w:bottom w:w="-1" w:type="dxa"/>
              <w:right w:w="-1" w:type="dxa"/>
            </w:tcMar>
            <w:vAlign w:val="center"/>
          </w:tcPr>
          <w:p w14:paraId="6BC160BD">
            <w:pPr>
              <w:keepNext/>
              <w:keepLines w:val="0"/>
              <w:widowControl/>
              <w:suppressLineNumbers w:val="0"/>
              <w:snapToGrid w:val="0"/>
              <w:ind w:left="0" w:leftChars="0" w:right="0" w:rightChars="0" w:firstLine="0" w:firstLineChars="0"/>
              <w:jc w:val="center"/>
              <w:textAlignment w:val="bottom"/>
              <w:rPr>
                <w:rFonts w:hint="eastAsia" w:ascii="仿宋_GB2312" w:hAnsi="宋体" w:eastAsia="仿宋_GB2312" w:cs="仿宋_GB2312"/>
                <w:i w:val="0"/>
                <w:iCs w:val="0"/>
                <w:color w:val="000000"/>
                <w:kern w:val="2"/>
                <w:sz w:val="28"/>
                <w:szCs w:val="28"/>
                <w:u w:val="none"/>
                <w:lang w:val="en-US" w:eastAsia="zh-CN" w:bidi="ar-SA"/>
              </w:rPr>
            </w:pPr>
            <w:r>
              <w:rPr>
                <w:rFonts w:hint="default" w:ascii="仿宋_GB2312" w:hAnsi="宋体" w:eastAsia="仿宋_GB2312" w:cs="仿宋_GB2312"/>
                <w:i w:val="0"/>
                <w:iCs w:val="0"/>
                <w:color w:val="000000"/>
                <w:kern w:val="0"/>
                <w:sz w:val="28"/>
                <w:szCs w:val="28"/>
                <w:u w:val="none"/>
                <w:lang w:val="en-US" w:eastAsia="zh-CN" w:bidi="ar"/>
              </w:rPr>
              <w:t>行政村数</w:t>
            </w:r>
          </w:p>
        </w:tc>
        <w:tc>
          <w:tcPr>
            <w:tcW w:w="853" w:type="pct"/>
            <w:tcBorders>
              <w:top w:val="single" w:color="auto" w:sz="4" w:space="0"/>
              <w:left w:val="single" w:color="auto" w:sz="4" w:space="0"/>
              <w:bottom w:val="nil"/>
              <w:right w:val="nil"/>
            </w:tcBorders>
            <w:shd w:val="clear" w:color="auto" w:fill="auto"/>
            <w:noWrap w:val="0"/>
            <w:tcMar>
              <w:top w:w="-1" w:type="dxa"/>
              <w:left w:w="-1" w:type="dxa"/>
              <w:bottom w:w="-1" w:type="dxa"/>
              <w:right w:w="-1" w:type="dxa"/>
            </w:tcMar>
            <w:vAlign w:val="center"/>
          </w:tcPr>
          <w:p w14:paraId="0E430FC1">
            <w:pPr>
              <w:keepNext/>
              <w:keepLines w:val="0"/>
              <w:widowControl/>
              <w:suppressLineNumbers w:val="0"/>
              <w:snapToGrid w:val="0"/>
              <w:ind w:left="0" w:leftChars="0" w:right="0" w:rightChars="0" w:firstLine="0" w:firstLineChars="0"/>
              <w:jc w:val="left"/>
              <w:textAlignment w:val="bottom"/>
              <w:rPr>
                <w:rFonts w:hint="eastAsia" w:ascii="仿宋_GB2312" w:hAnsi="宋体" w:eastAsia="仿宋_GB2312" w:cs="仿宋_GB2312"/>
                <w:i w:val="0"/>
                <w:iCs w:val="0"/>
                <w:color w:val="000000"/>
                <w:kern w:val="2"/>
                <w:sz w:val="28"/>
                <w:szCs w:val="28"/>
                <w:u w:val="none"/>
                <w:lang w:val="en-US" w:eastAsia="zh-CN" w:bidi="ar-SA"/>
              </w:rPr>
            </w:pPr>
            <w:r>
              <w:rPr>
                <w:rFonts w:hint="default" w:ascii="仿宋_GB2312" w:hAnsi="宋体" w:eastAsia="仿宋_GB2312" w:cs="仿宋_GB2312"/>
                <w:i w:val="0"/>
                <w:iCs w:val="0"/>
                <w:color w:val="000000"/>
                <w:kern w:val="0"/>
                <w:sz w:val="28"/>
                <w:szCs w:val="28"/>
                <w:u w:val="none"/>
                <w:lang w:val="en-US" w:eastAsia="zh-CN" w:bidi="ar"/>
              </w:rPr>
              <w:t>＝</w:t>
            </w:r>
          </w:p>
        </w:tc>
        <w:tc>
          <w:tcPr>
            <w:tcW w:w="683" w:type="pct"/>
            <w:tcBorders>
              <w:top w:val="single" w:color="auto" w:sz="4" w:space="0"/>
              <w:left w:val="single" w:color="auto" w:sz="4" w:space="0"/>
              <w:bottom w:val="nil"/>
              <w:right w:val="nil"/>
            </w:tcBorders>
            <w:shd w:val="clear" w:color="auto" w:fill="auto"/>
            <w:noWrap w:val="0"/>
            <w:tcMar>
              <w:top w:w="-1" w:type="dxa"/>
              <w:left w:w="-1" w:type="dxa"/>
              <w:bottom w:w="-1" w:type="dxa"/>
              <w:right w:w="-1" w:type="dxa"/>
            </w:tcMar>
            <w:vAlign w:val="center"/>
          </w:tcPr>
          <w:p w14:paraId="5D9AE237">
            <w:pPr>
              <w:keepNext/>
              <w:keepLines w:val="0"/>
              <w:widowControl/>
              <w:suppressLineNumbers w:val="0"/>
              <w:snapToGrid w:val="0"/>
              <w:ind w:left="0" w:leftChars="0" w:right="0" w:rightChars="0" w:firstLine="0" w:firstLineChars="0"/>
              <w:jc w:val="center"/>
              <w:textAlignment w:val="bottom"/>
              <w:rPr>
                <w:rFonts w:hint="eastAsia" w:ascii="仿宋_GB2312" w:hAnsi="宋体" w:eastAsia="仿宋_GB2312" w:cs="仿宋_GB2312"/>
                <w:i w:val="0"/>
                <w:iCs w:val="0"/>
                <w:color w:val="000000"/>
                <w:kern w:val="2"/>
                <w:sz w:val="28"/>
                <w:szCs w:val="28"/>
                <w:u w:val="none"/>
                <w:lang w:val="en-US" w:eastAsia="zh-CN" w:bidi="ar-SA"/>
              </w:rPr>
            </w:pPr>
            <w:r>
              <w:rPr>
                <w:rFonts w:hint="default" w:ascii="仿宋_GB2312" w:hAnsi="宋体" w:eastAsia="仿宋_GB2312" w:cs="仿宋_GB2312"/>
                <w:i w:val="0"/>
                <w:iCs w:val="0"/>
                <w:color w:val="000000"/>
                <w:kern w:val="0"/>
                <w:sz w:val="28"/>
                <w:szCs w:val="28"/>
                <w:u w:val="none"/>
                <w:lang w:val="en-US" w:eastAsia="zh-CN" w:bidi="ar"/>
              </w:rPr>
              <w:t>32</w:t>
            </w:r>
          </w:p>
        </w:tc>
        <w:tc>
          <w:tcPr>
            <w:tcW w:w="855" w:type="pct"/>
            <w:tcBorders>
              <w:top w:val="single" w:color="auto" w:sz="4" w:space="0"/>
              <w:left w:val="single" w:color="auto" w:sz="4" w:space="0"/>
              <w:bottom w:val="nil"/>
              <w:right w:val="nil"/>
            </w:tcBorders>
            <w:shd w:val="clear" w:color="auto" w:fill="auto"/>
            <w:noWrap w:val="0"/>
            <w:tcMar>
              <w:top w:w="-1" w:type="dxa"/>
              <w:left w:w="-1" w:type="dxa"/>
              <w:bottom w:w="-1" w:type="dxa"/>
              <w:right w:w="-1" w:type="dxa"/>
            </w:tcMar>
            <w:vAlign w:val="center"/>
          </w:tcPr>
          <w:p w14:paraId="7E7BAAB2">
            <w:pPr>
              <w:keepNext/>
              <w:keepLines w:val="0"/>
              <w:widowControl/>
              <w:suppressLineNumbers w:val="0"/>
              <w:snapToGrid w:val="0"/>
              <w:ind w:left="0" w:leftChars="0" w:right="0" w:rightChars="0" w:firstLine="0" w:firstLineChars="0"/>
              <w:jc w:val="center"/>
              <w:textAlignment w:val="top"/>
              <w:rPr>
                <w:rFonts w:hint="eastAsia" w:ascii="仿宋_GB2312" w:hAnsi="宋体" w:eastAsia="仿宋_GB2312" w:cs="仿宋_GB2312"/>
                <w:i w:val="0"/>
                <w:iCs w:val="0"/>
                <w:color w:val="000000"/>
                <w:kern w:val="2"/>
                <w:sz w:val="28"/>
                <w:szCs w:val="28"/>
                <w:u w:val="none"/>
                <w:lang w:val="en-US" w:eastAsia="zh-CN" w:bidi="ar-SA"/>
              </w:rPr>
            </w:pPr>
            <w:r>
              <w:rPr>
                <w:rFonts w:hint="default" w:ascii="仿宋_GB2312" w:hAnsi="宋体" w:eastAsia="仿宋_GB2312" w:cs="仿宋_GB2312"/>
                <w:i w:val="0"/>
                <w:iCs w:val="0"/>
                <w:color w:val="000000"/>
                <w:kern w:val="0"/>
                <w:sz w:val="28"/>
                <w:szCs w:val="28"/>
                <w:u w:val="none"/>
                <w:lang w:val="en-US" w:eastAsia="zh-CN" w:bidi="ar"/>
              </w:rPr>
              <w:t>个</w:t>
            </w:r>
          </w:p>
        </w:tc>
        <w:tc>
          <w:tcPr>
            <w:tcW w:w="987" w:type="pct"/>
            <w:tcBorders>
              <w:top w:val="single" w:color="auto" w:sz="4" w:space="0"/>
              <w:left w:val="single" w:color="auto" w:sz="4" w:space="0"/>
              <w:bottom w:val="nil"/>
              <w:right w:val="single" w:color="auto" w:sz="4" w:space="0"/>
            </w:tcBorders>
            <w:shd w:val="clear" w:color="auto" w:fill="auto"/>
            <w:noWrap w:val="0"/>
            <w:tcMar>
              <w:top w:w="-1" w:type="dxa"/>
              <w:left w:w="-1" w:type="dxa"/>
              <w:bottom w:w="-1" w:type="dxa"/>
              <w:right w:w="-1" w:type="dxa"/>
            </w:tcMar>
            <w:vAlign w:val="center"/>
          </w:tcPr>
          <w:p w14:paraId="761CFDB7">
            <w:pPr>
              <w:keepNext/>
              <w:keepLines w:val="0"/>
              <w:widowControl/>
              <w:suppressLineNumbers w:val="0"/>
              <w:snapToGrid w:val="0"/>
              <w:ind w:left="0" w:leftChars="0" w:right="0" w:rightChars="0" w:firstLine="0" w:firstLineChars="0"/>
              <w:jc w:val="center"/>
              <w:textAlignment w:val="center"/>
              <w:rPr>
                <w:rFonts w:hint="eastAsia" w:ascii="仿宋_GB2312" w:hAnsi="宋体" w:eastAsia="仿宋_GB2312" w:cs="宋体"/>
                <w:i w:val="0"/>
                <w:iCs w:val="0"/>
                <w:color w:val="000000"/>
                <w:kern w:val="2"/>
                <w:sz w:val="28"/>
                <w:szCs w:val="22"/>
                <w:u w:val="none"/>
                <w:lang w:val="en-US" w:eastAsia="zh-CN" w:bidi="ar-SA"/>
              </w:rPr>
            </w:pPr>
            <w:r>
              <w:rPr>
                <w:rFonts w:hint="eastAsia" w:ascii="仿宋_GB2312" w:hAnsi="宋体" w:eastAsia="仿宋_GB2312" w:cs="宋体"/>
                <w:i w:val="0"/>
                <w:iCs w:val="0"/>
                <w:color w:val="000000"/>
                <w:kern w:val="0"/>
                <w:sz w:val="28"/>
                <w:szCs w:val="22"/>
                <w:u w:val="none"/>
                <w:lang w:val="en-US" w:eastAsia="zh-CN" w:bidi="ar"/>
              </w:rPr>
              <w:t>5</w:t>
            </w:r>
          </w:p>
        </w:tc>
      </w:tr>
      <w:tr w14:paraId="688BADA6">
        <w:tblPrEx>
          <w:tblCellMar>
            <w:top w:w="0" w:type="dxa"/>
            <w:left w:w="108" w:type="dxa"/>
            <w:bottom w:w="0" w:type="dxa"/>
            <w:right w:w="108" w:type="dxa"/>
          </w:tblCellMar>
        </w:tblPrEx>
        <w:trPr>
          <w:trHeight w:val="275" w:hRule="atLeast"/>
        </w:trPr>
        <w:tc>
          <w:tcPr>
            <w:tcW w:w="680" w:type="pct"/>
            <w:tcBorders>
              <w:top w:val="single" w:color="auto" w:sz="4" w:space="0"/>
              <w:left w:val="single" w:color="auto" w:sz="4" w:space="0"/>
              <w:bottom w:val="nil"/>
              <w:right w:val="nil"/>
            </w:tcBorders>
            <w:noWrap w:val="0"/>
            <w:tcMar>
              <w:top w:w="-1" w:type="dxa"/>
              <w:left w:w="-1" w:type="dxa"/>
              <w:bottom w:w="-1" w:type="dxa"/>
              <w:right w:w="-1" w:type="dxa"/>
            </w:tcMar>
            <w:vAlign w:val="bottom"/>
          </w:tcPr>
          <w:p w14:paraId="293D185B">
            <w:pPr>
              <w:spacing w:line="520" w:lineRule="exact"/>
              <w:jc w:val="center"/>
              <w:rPr>
                <w:rFonts w:hint="eastAsia" w:ascii="仿宋_GB2312" w:eastAsia="仿宋_GB2312"/>
                <w:sz w:val="28"/>
                <w:szCs w:val="28"/>
              </w:rPr>
            </w:pPr>
            <w:r>
              <w:rPr>
                <w:rFonts w:hint="eastAsia" w:ascii="仿宋_GB2312" w:eastAsia="仿宋_GB2312"/>
                <w:sz w:val="28"/>
                <w:szCs w:val="28"/>
              </w:rPr>
              <w:t>2</w:t>
            </w:r>
          </w:p>
        </w:tc>
        <w:tc>
          <w:tcPr>
            <w:tcW w:w="941" w:type="pct"/>
            <w:tcBorders>
              <w:top w:val="single" w:color="auto" w:sz="4" w:space="0"/>
              <w:left w:val="single" w:color="auto" w:sz="4" w:space="0"/>
              <w:bottom w:val="nil"/>
              <w:right w:val="nil"/>
            </w:tcBorders>
            <w:shd w:val="clear" w:color="auto" w:fill="auto"/>
            <w:noWrap w:val="0"/>
            <w:tcMar>
              <w:top w:w="-1" w:type="dxa"/>
              <w:left w:w="-1" w:type="dxa"/>
              <w:bottom w:w="-1" w:type="dxa"/>
              <w:right w:w="-1" w:type="dxa"/>
            </w:tcMar>
            <w:vAlign w:val="center"/>
          </w:tcPr>
          <w:p w14:paraId="3087E9A2">
            <w:pPr>
              <w:keepNext/>
              <w:keepLines w:val="0"/>
              <w:widowControl/>
              <w:suppressLineNumbers w:val="0"/>
              <w:snapToGrid w:val="0"/>
              <w:ind w:left="0" w:leftChars="0" w:right="0" w:rightChars="0" w:firstLine="0" w:firstLineChars="0"/>
              <w:jc w:val="center"/>
              <w:textAlignment w:val="bottom"/>
              <w:rPr>
                <w:rFonts w:hint="eastAsia" w:ascii="仿宋_GB2312" w:hAnsi="宋体" w:eastAsia="仿宋_GB2312" w:cs="仿宋_GB2312"/>
                <w:i w:val="0"/>
                <w:iCs w:val="0"/>
                <w:color w:val="000000"/>
                <w:kern w:val="2"/>
                <w:sz w:val="28"/>
                <w:szCs w:val="28"/>
                <w:u w:val="none"/>
                <w:lang w:val="en-US" w:eastAsia="zh-CN" w:bidi="ar-SA"/>
              </w:rPr>
            </w:pPr>
            <w:r>
              <w:rPr>
                <w:rFonts w:hint="default" w:ascii="仿宋_GB2312" w:hAnsi="宋体" w:eastAsia="仿宋_GB2312" w:cs="仿宋_GB2312"/>
                <w:i w:val="0"/>
                <w:iCs w:val="0"/>
                <w:color w:val="000000"/>
                <w:kern w:val="0"/>
                <w:sz w:val="28"/>
                <w:szCs w:val="28"/>
                <w:u w:val="none"/>
                <w:lang w:val="en-US" w:eastAsia="zh-CN" w:bidi="ar"/>
              </w:rPr>
              <w:t>提高镇党委自身建设和党的基层组织建设、党员队伍建设以及干部思想政治工作水评</w:t>
            </w:r>
          </w:p>
        </w:tc>
        <w:tc>
          <w:tcPr>
            <w:tcW w:w="853" w:type="pct"/>
            <w:tcBorders>
              <w:top w:val="single" w:color="auto" w:sz="4" w:space="0"/>
              <w:left w:val="single" w:color="auto" w:sz="4" w:space="0"/>
              <w:bottom w:val="nil"/>
              <w:right w:val="nil"/>
            </w:tcBorders>
            <w:shd w:val="clear" w:color="auto" w:fill="auto"/>
            <w:noWrap w:val="0"/>
            <w:tcMar>
              <w:top w:w="-1" w:type="dxa"/>
              <w:left w:w="-1" w:type="dxa"/>
              <w:bottom w:w="-1" w:type="dxa"/>
              <w:right w:w="-1" w:type="dxa"/>
            </w:tcMar>
            <w:vAlign w:val="center"/>
          </w:tcPr>
          <w:p w14:paraId="5EDAC392">
            <w:pPr>
              <w:keepNext/>
              <w:keepLines w:val="0"/>
              <w:widowControl/>
              <w:suppressLineNumbers w:val="0"/>
              <w:snapToGrid w:val="0"/>
              <w:ind w:left="0" w:leftChars="0" w:right="0" w:rightChars="0" w:firstLine="0" w:firstLineChars="0"/>
              <w:jc w:val="left"/>
              <w:textAlignment w:val="bottom"/>
              <w:rPr>
                <w:rFonts w:hint="eastAsia" w:ascii="仿宋_GB2312" w:hAnsi="宋体" w:eastAsia="仿宋_GB2312" w:cs="仿宋_GB2312"/>
                <w:i w:val="0"/>
                <w:iCs w:val="0"/>
                <w:color w:val="000000"/>
                <w:kern w:val="2"/>
                <w:sz w:val="28"/>
                <w:szCs w:val="28"/>
                <w:u w:val="none"/>
                <w:lang w:val="en-US" w:eastAsia="zh-CN" w:bidi="ar-SA"/>
              </w:rPr>
            </w:pPr>
            <w:r>
              <w:rPr>
                <w:rFonts w:hint="default" w:ascii="仿宋_GB2312" w:hAnsi="宋体" w:eastAsia="仿宋_GB2312" w:cs="仿宋_GB2312"/>
                <w:i w:val="0"/>
                <w:iCs w:val="0"/>
                <w:color w:val="000000"/>
                <w:kern w:val="0"/>
                <w:sz w:val="28"/>
                <w:szCs w:val="28"/>
                <w:u w:val="none"/>
                <w:lang w:val="en-US" w:eastAsia="zh-CN" w:bidi="ar"/>
              </w:rPr>
              <w:t>≥</w:t>
            </w:r>
          </w:p>
        </w:tc>
        <w:tc>
          <w:tcPr>
            <w:tcW w:w="683" w:type="pct"/>
            <w:tcBorders>
              <w:top w:val="single" w:color="auto" w:sz="4" w:space="0"/>
              <w:left w:val="single" w:color="auto" w:sz="4" w:space="0"/>
              <w:bottom w:val="nil"/>
              <w:right w:val="nil"/>
            </w:tcBorders>
            <w:shd w:val="clear" w:color="auto" w:fill="auto"/>
            <w:noWrap w:val="0"/>
            <w:tcMar>
              <w:top w:w="-1" w:type="dxa"/>
              <w:left w:w="-1" w:type="dxa"/>
              <w:bottom w:w="-1" w:type="dxa"/>
              <w:right w:w="-1" w:type="dxa"/>
            </w:tcMar>
            <w:vAlign w:val="center"/>
          </w:tcPr>
          <w:p w14:paraId="5AA7A15A">
            <w:pPr>
              <w:keepNext/>
              <w:keepLines w:val="0"/>
              <w:widowControl/>
              <w:suppressLineNumbers w:val="0"/>
              <w:snapToGrid w:val="0"/>
              <w:ind w:left="0" w:leftChars="0" w:right="0" w:rightChars="0" w:firstLine="0" w:firstLineChars="0"/>
              <w:jc w:val="center"/>
              <w:textAlignment w:val="bottom"/>
              <w:rPr>
                <w:rFonts w:hint="eastAsia" w:ascii="仿宋_GB2312" w:hAnsi="宋体" w:eastAsia="仿宋_GB2312" w:cs="仿宋_GB2312"/>
                <w:i w:val="0"/>
                <w:iCs w:val="0"/>
                <w:color w:val="000000"/>
                <w:kern w:val="2"/>
                <w:sz w:val="28"/>
                <w:szCs w:val="28"/>
                <w:u w:val="none"/>
                <w:lang w:val="en-US" w:eastAsia="zh-CN" w:bidi="ar-SA"/>
              </w:rPr>
            </w:pPr>
            <w:r>
              <w:rPr>
                <w:rFonts w:hint="default" w:ascii="仿宋_GB2312" w:hAnsi="宋体" w:eastAsia="仿宋_GB2312" w:cs="仿宋_GB2312"/>
                <w:i w:val="0"/>
                <w:iCs w:val="0"/>
                <w:color w:val="000000"/>
                <w:kern w:val="0"/>
                <w:sz w:val="28"/>
                <w:szCs w:val="28"/>
                <w:u w:val="none"/>
                <w:lang w:val="en-US" w:eastAsia="zh-CN" w:bidi="ar"/>
              </w:rPr>
              <w:t>90</w:t>
            </w:r>
          </w:p>
        </w:tc>
        <w:tc>
          <w:tcPr>
            <w:tcW w:w="855" w:type="pct"/>
            <w:tcBorders>
              <w:top w:val="single" w:color="auto" w:sz="4" w:space="0"/>
              <w:left w:val="single" w:color="auto" w:sz="4" w:space="0"/>
              <w:bottom w:val="nil"/>
              <w:right w:val="nil"/>
            </w:tcBorders>
            <w:shd w:val="clear" w:color="auto" w:fill="auto"/>
            <w:noWrap w:val="0"/>
            <w:tcMar>
              <w:top w:w="-1" w:type="dxa"/>
              <w:left w:w="-1" w:type="dxa"/>
              <w:bottom w:w="-1" w:type="dxa"/>
              <w:right w:w="-1" w:type="dxa"/>
            </w:tcMar>
            <w:vAlign w:val="center"/>
          </w:tcPr>
          <w:p w14:paraId="3CEF64A3">
            <w:pPr>
              <w:keepNext/>
              <w:keepLines w:val="0"/>
              <w:widowControl/>
              <w:suppressLineNumbers w:val="0"/>
              <w:snapToGrid w:val="0"/>
              <w:ind w:left="0" w:leftChars="0" w:right="0" w:rightChars="0" w:firstLine="0" w:firstLineChars="0"/>
              <w:jc w:val="center"/>
              <w:textAlignment w:val="top"/>
              <w:rPr>
                <w:rFonts w:hint="eastAsia" w:ascii="仿宋_GB2312" w:hAnsi="宋体" w:eastAsia="仿宋_GB2312" w:cs="仿宋_GB2312"/>
                <w:i w:val="0"/>
                <w:iCs w:val="0"/>
                <w:color w:val="000000"/>
                <w:kern w:val="2"/>
                <w:sz w:val="28"/>
                <w:szCs w:val="28"/>
                <w:u w:val="none"/>
                <w:lang w:val="en-US" w:eastAsia="zh-CN" w:bidi="ar-SA"/>
              </w:rPr>
            </w:pPr>
            <w:r>
              <w:rPr>
                <w:rFonts w:hint="default" w:ascii="仿宋_GB2312" w:hAnsi="宋体" w:eastAsia="仿宋_GB2312" w:cs="仿宋_GB2312"/>
                <w:i w:val="0"/>
                <w:iCs w:val="0"/>
                <w:color w:val="000000"/>
                <w:kern w:val="0"/>
                <w:sz w:val="28"/>
                <w:szCs w:val="28"/>
                <w:u w:val="none"/>
                <w:lang w:val="en-US" w:eastAsia="zh-CN" w:bidi="ar"/>
              </w:rPr>
              <w:t>%</w:t>
            </w:r>
          </w:p>
        </w:tc>
        <w:tc>
          <w:tcPr>
            <w:tcW w:w="987" w:type="pct"/>
            <w:tcBorders>
              <w:top w:val="single" w:color="auto" w:sz="4" w:space="0"/>
              <w:left w:val="single" w:color="auto" w:sz="4" w:space="0"/>
              <w:bottom w:val="nil"/>
              <w:right w:val="single" w:color="auto" w:sz="4" w:space="0"/>
            </w:tcBorders>
            <w:shd w:val="clear" w:color="auto" w:fill="auto"/>
            <w:noWrap w:val="0"/>
            <w:tcMar>
              <w:top w:w="-1" w:type="dxa"/>
              <w:left w:w="-1" w:type="dxa"/>
              <w:bottom w:w="-1" w:type="dxa"/>
              <w:right w:w="-1" w:type="dxa"/>
            </w:tcMar>
            <w:vAlign w:val="center"/>
          </w:tcPr>
          <w:p w14:paraId="34206035">
            <w:pPr>
              <w:keepNext/>
              <w:keepLines w:val="0"/>
              <w:widowControl/>
              <w:suppressLineNumbers w:val="0"/>
              <w:snapToGrid w:val="0"/>
              <w:ind w:left="0" w:leftChars="0" w:right="0" w:rightChars="0" w:firstLine="0" w:firstLineChars="0"/>
              <w:jc w:val="center"/>
              <w:textAlignment w:val="center"/>
              <w:rPr>
                <w:rFonts w:hint="eastAsia" w:ascii="仿宋_GB2312" w:hAnsi="宋体" w:eastAsia="仿宋_GB2312" w:cs="宋体"/>
                <w:i w:val="0"/>
                <w:iCs w:val="0"/>
                <w:color w:val="000000"/>
                <w:kern w:val="2"/>
                <w:sz w:val="28"/>
                <w:szCs w:val="22"/>
                <w:u w:val="none"/>
                <w:lang w:val="en-US" w:eastAsia="zh-CN" w:bidi="ar-SA"/>
              </w:rPr>
            </w:pPr>
            <w:r>
              <w:rPr>
                <w:rFonts w:hint="eastAsia" w:ascii="仿宋_GB2312" w:hAnsi="宋体" w:eastAsia="仿宋_GB2312" w:cs="宋体"/>
                <w:i w:val="0"/>
                <w:iCs w:val="0"/>
                <w:color w:val="000000"/>
                <w:kern w:val="0"/>
                <w:sz w:val="28"/>
                <w:szCs w:val="22"/>
                <w:u w:val="none"/>
                <w:lang w:val="en-US" w:eastAsia="zh-CN" w:bidi="ar"/>
              </w:rPr>
              <w:t>5</w:t>
            </w:r>
          </w:p>
        </w:tc>
      </w:tr>
      <w:tr w14:paraId="0F20ED4C">
        <w:tblPrEx>
          <w:tblCellMar>
            <w:top w:w="0" w:type="dxa"/>
            <w:left w:w="108" w:type="dxa"/>
            <w:bottom w:w="0" w:type="dxa"/>
            <w:right w:w="108" w:type="dxa"/>
          </w:tblCellMar>
        </w:tblPrEx>
        <w:trPr>
          <w:trHeight w:val="275" w:hRule="atLeast"/>
        </w:trPr>
        <w:tc>
          <w:tcPr>
            <w:tcW w:w="680" w:type="pct"/>
            <w:tcBorders>
              <w:top w:val="single" w:color="auto" w:sz="4" w:space="0"/>
              <w:left w:val="single" w:color="auto" w:sz="4" w:space="0"/>
              <w:bottom w:val="nil"/>
              <w:right w:val="nil"/>
            </w:tcBorders>
            <w:noWrap w:val="0"/>
            <w:tcMar>
              <w:top w:w="-1" w:type="dxa"/>
              <w:left w:w="-1" w:type="dxa"/>
              <w:bottom w:w="-1" w:type="dxa"/>
              <w:right w:w="-1" w:type="dxa"/>
            </w:tcMar>
            <w:vAlign w:val="bottom"/>
          </w:tcPr>
          <w:p w14:paraId="01760DC6">
            <w:pPr>
              <w:spacing w:line="520" w:lineRule="exact"/>
              <w:jc w:val="center"/>
              <w:rPr>
                <w:rFonts w:hint="eastAsia" w:ascii="仿宋_GB2312" w:eastAsia="仿宋_GB2312"/>
                <w:sz w:val="28"/>
                <w:szCs w:val="28"/>
              </w:rPr>
            </w:pPr>
            <w:r>
              <w:rPr>
                <w:rFonts w:hint="eastAsia" w:ascii="仿宋_GB2312" w:eastAsia="仿宋_GB2312"/>
                <w:sz w:val="28"/>
                <w:szCs w:val="28"/>
              </w:rPr>
              <w:t>3</w:t>
            </w:r>
          </w:p>
        </w:tc>
        <w:tc>
          <w:tcPr>
            <w:tcW w:w="941" w:type="pct"/>
            <w:tcBorders>
              <w:top w:val="single" w:color="auto" w:sz="4" w:space="0"/>
              <w:left w:val="single" w:color="auto" w:sz="4" w:space="0"/>
              <w:bottom w:val="nil"/>
              <w:right w:val="nil"/>
            </w:tcBorders>
            <w:shd w:val="clear" w:color="auto" w:fill="auto"/>
            <w:noWrap w:val="0"/>
            <w:tcMar>
              <w:top w:w="-1" w:type="dxa"/>
              <w:left w:w="-1" w:type="dxa"/>
              <w:bottom w:w="-1" w:type="dxa"/>
              <w:right w:w="-1" w:type="dxa"/>
            </w:tcMar>
            <w:vAlign w:val="center"/>
          </w:tcPr>
          <w:p w14:paraId="1A18D897">
            <w:pPr>
              <w:keepNext/>
              <w:keepLines w:val="0"/>
              <w:widowControl/>
              <w:suppressLineNumbers w:val="0"/>
              <w:snapToGrid w:val="0"/>
              <w:ind w:left="0" w:leftChars="0" w:right="0" w:rightChars="0" w:firstLine="0" w:firstLineChars="0"/>
              <w:jc w:val="center"/>
              <w:textAlignment w:val="bottom"/>
              <w:rPr>
                <w:rFonts w:hint="eastAsia" w:ascii="仿宋_GB2312" w:hAnsi="宋体" w:eastAsia="仿宋_GB2312" w:cs="仿宋_GB2312"/>
                <w:i w:val="0"/>
                <w:iCs w:val="0"/>
                <w:color w:val="000000"/>
                <w:kern w:val="2"/>
                <w:sz w:val="28"/>
                <w:szCs w:val="28"/>
                <w:u w:val="none"/>
                <w:lang w:val="en-US" w:eastAsia="zh-CN" w:bidi="ar-SA"/>
              </w:rPr>
            </w:pPr>
            <w:r>
              <w:rPr>
                <w:rFonts w:hint="default" w:ascii="仿宋_GB2312" w:hAnsi="宋体" w:eastAsia="仿宋_GB2312" w:cs="仿宋_GB2312"/>
                <w:i w:val="0"/>
                <w:iCs w:val="0"/>
                <w:color w:val="000000"/>
                <w:kern w:val="0"/>
                <w:sz w:val="28"/>
                <w:szCs w:val="28"/>
                <w:u w:val="none"/>
                <w:lang w:val="en-US" w:eastAsia="zh-CN" w:bidi="ar"/>
              </w:rPr>
              <w:t>党员满意度</w:t>
            </w:r>
          </w:p>
        </w:tc>
        <w:tc>
          <w:tcPr>
            <w:tcW w:w="853" w:type="pct"/>
            <w:tcBorders>
              <w:top w:val="single" w:color="auto" w:sz="4" w:space="0"/>
              <w:left w:val="single" w:color="auto" w:sz="4" w:space="0"/>
              <w:bottom w:val="nil"/>
              <w:right w:val="nil"/>
            </w:tcBorders>
            <w:shd w:val="clear" w:color="auto" w:fill="auto"/>
            <w:noWrap w:val="0"/>
            <w:tcMar>
              <w:top w:w="-1" w:type="dxa"/>
              <w:left w:w="-1" w:type="dxa"/>
              <w:bottom w:w="-1" w:type="dxa"/>
              <w:right w:w="-1" w:type="dxa"/>
            </w:tcMar>
            <w:vAlign w:val="center"/>
          </w:tcPr>
          <w:p w14:paraId="1948F48A">
            <w:pPr>
              <w:keepNext/>
              <w:keepLines w:val="0"/>
              <w:widowControl/>
              <w:suppressLineNumbers w:val="0"/>
              <w:snapToGrid w:val="0"/>
              <w:ind w:left="0" w:leftChars="0" w:right="0" w:rightChars="0" w:firstLine="0" w:firstLineChars="0"/>
              <w:jc w:val="left"/>
              <w:textAlignment w:val="bottom"/>
              <w:rPr>
                <w:rFonts w:hint="eastAsia" w:ascii="仿宋_GB2312" w:hAnsi="宋体" w:eastAsia="仿宋_GB2312" w:cs="仿宋_GB2312"/>
                <w:i w:val="0"/>
                <w:iCs w:val="0"/>
                <w:color w:val="000000"/>
                <w:kern w:val="2"/>
                <w:sz w:val="28"/>
                <w:szCs w:val="28"/>
                <w:u w:val="none"/>
                <w:lang w:val="en-US" w:eastAsia="zh-CN" w:bidi="ar-SA"/>
              </w:rPr>
            </w:pPr>
            <w:r>
              <w:rPr>
                <w:rFonts w:hint="default" w:ascii="仿宋_GB2312" w:hAnsi="宋体" w:eastAsia="仿宋_GB2312" w:cs="仿宋_GB2312"/>
                <w:i w:val="0"/>
                <w:iCs w:val="0"/>
                <w:color w:val="000000"/>
                <w:kern w:val="0"/>
                <w:sz w:val="28"/>
                <w:szCs w:val="28"/>
                <w:u w:val="none"/>
                <w:lang w:val="en-US" w:eastAsia="zh-CN" w:bidi="ar"/>
              </w:rPr>
              <w:t>≥</w:t>
            </w:r>
          </w:p>
        </w:tc>
        <w:tc>
          <w:tcPr>
            <w:tcW w:w="683" w:type="pct"/>
            <w:tcBorders>
              <w:top w:val="single" w:color="auto" w:sz="4" w:space="0"/>
              <w:left w:val="single" w:color="auto" w:sz="4" w:space="0"/>
              <w:bottom w:val="nil"/>
              <w:right w:val="nil"/>
            </w:tcBorders>
            <w:shd w:val="clear" w:color="auto" w:fill="auto"/>
            <w:noWrap w:val="0"/>
            <w:tcMar>
              <w:top w:w="-1" w:type="dxa"/>
              <w:left w:w="-1" w:type="dxa"/>
              <w:bottom w:w="-1" w:type="dxa"/>
              <w:right w:w="-1" w:type="dxa"/>
            </w:tcMar>
            <w:vAlign w:val="center"/>
          </w:tcPr>
          <w:p w14:paraId="241F9234">
            <w:pPr>
              <w:keepNext/>
              <w:keepLines w:val="0"/>
              <w:widowControl/>
              <w:suppressLineNumbers w:val="0"/>
              <w:snapToGrid w:val="0"/>
              <w:ind w:left="0" w:leftChars="0" w:right="0" w:rightChars="0" w:firstLine="0" w:firstLineChars="0"/>
              <w:jc w:val="center"/>
              <w:textAlignment w:val="bottom"/>
              <w:rPr>
                <w:rFonts w:hint="eastAsia" w:ascii="仿宋_GB2312" w:hAnsi="宋体" w:eastAsia="仿宋_GB2312" w:cs="仿宋_GB2312"/>
                <w:i w:val="0"/>
                <w:iCs w:val="0"/>
                <w:color w:val="000000"/>
                <w:kern w:val="2"/>
                <w:sz w:val="28"/>
                <w:szCs w:val="28"/>
                <w:u w:val="none"/>
                <w:lang w:val="en-US" w:eastAsia="zh-CN" w:bidi="ar-SA"/>
              </w:rPr>
            </w:pPr>
            <w:r>
              <w:rPr>
                <w:rFonts w:hint="default" w:ascii="仿宋_GB2312" w:hAnsi="宋体" w:eastAsia="仿宋_GB2312" w:cs="仿宋_GB2312"/>
                <w:i w:val="0"/>
                <w:iCs w:val="0"/>
                <w:color w:val="000000"/>
                <w:kern w:val="0"/>
                <w:sz w:val="28"/>
                <w:szCs w:val="28"/>
                <w:u w:val="none"/>
                <w:lang w:val="en-US" w:eastAsia="zh-CN" w:bidi="ar"/>
              </w:rPr>
              <w:t>90</w:t>
            </w:r>
          </w:p>
        </w:tc>
        <w:tc>
          <w:tcPr>
            <w:tcW w:w="855" w:type="pct"/>
            <w:tcBorders>
              <w:top w:val="single" w:color="auto" w:sz="4" w:space="0"/>
              <w:left w:val="single" w:color="auto" w:sz="4" w:space="0"/>
              <w:bottom w:val="nil"/>
              <w:right w:val="nil"/>
            </w:tcBorders>
            <w:shd w:val="clear" w:color="auto" w:fill="auto"/>
            <w:noWrap w:val="0"/>
            <w:tcMar>
              <w:top w:w="-1" w:type="dxa"/>
              <w:left w:w="-1" w:type="dxa"/>
              <w:bottom w:w="-1" w:type="dxa"/>
              <w:right w:w="-1" w:type="dxa"/>
            </w:tcMar>
            <w:vAlign w:val="center"/>
          </w:tcPr>
          <w:p w14:paraId="42F0473E">
            <w:pPr>
              <w:keepNext/>
              <w:keepLines w:val="0"/>
              <w:widowControl/>
              <w:suppressLineNumbers w:val="0"/>
              <w:snapToGrid w:val="0"/>
              <w:ind w:left="0" w:leftChars="0" w:right="0" w:rightChars="0" w:firstLine="0" w:firstLineChars="0"/>
              <w:jc w:val="center"/>
              <w:textAlignment w:val="top"/>
              <w:rPr>
                <w:rFonts w:hint="eastAsia" w:ascii="仿宋_GB2312" w:hAnsi="宋体" w:eastAsia="仿宋_GB2312" w:cs="仿宋_GB2312"/>
                <w:i w:val="0"/>
                <w:iCs w:val="0"/>
                <w:color w:val="000000"/>
                <w:kern w:val="2"/>
                <w:sz w:val="28"/>
                <w:szCs w:val="28"/>
                <w:u w:val="none"/>
                <w:lang w:val="en-US" w:eastAsia="zh-CN" w:bidi="ar-SA"/>
              </w:rPr>
            </w:pPr>
            <w:r>
              <w:rPr>
                <w:rFonts w:hint="default" w:ascii="仿宋_GB2312" w:hAnsi="宋体" w:eastAsia="仿宋_GB2312" w:cs="仿宋_GB2312"/>
                <w:i w:val="0"/>
                <w:iCs w:val="0"/>
                <w:color w:val="000000"/>
                <w:kern w:val="0"/>
                <w:sz w:val="28"/>
                <w:szCs w:val="28"/>
                <w:u w:val="none"/>
                <w:lang w:val="en-US" w:eastAsia="zh-CN" w:bidi="ar"/>
              </w:rPr>
              <w:t>%</w:t>
            </w:r>
          </w:p>
        </w:tc>
        <w:tc>
          <w:tcPr>
            <w:tcW w:w="987" w:type="pct"/>
            <w:tcBorders>
              <w:top w:val="single" w:color="auto" w:sz="4" w:space="0"/>
              <w:left w:val="single" w:color="auto" w:sz="4" w:space="0"/>
              <w:bottom w:val="nil"/>
              <w:right w:val="single" w:color="auto" w:sz="4" w:space="0"/>
            </w:tcBorders>
            <w:shd w:val="clear" w:color="auto" w:fill="auto"/>
            <w:noWrap w:val="0"/>
            <w:tcMar>
              <w:top w:w="-1" w:type="dxa"/>
              <w:left w:w="-1" w:type="dxa"/>
              <w:bottom w:w="-1" w:type="dxa"/>
              <w:right w:w="-1" w:type="dxa"/>
            </w:tcMar>
            <w:vAlign w:val="center"/>
          </w:tcPr>
          <w:p w14:paraId="549F5479">
            <w:pPr>
              <w:keepNext/>
              <w:keepLines w:val="0"/>
              <w:widowControl/>
              <w:suppressLineNumbers w:val="0"/>
              <w:snapToGrid w:val="0"/>
              <w:ind w:left="0" w:leftChars="0" w:right="0" w:rightChars="0" w:firstLine="0" w:firstLineChars="0"/>
              <w:jc w:val="center"/>
              <w:textAlignment w:val="center"/>
              <w:rPr>
                <w:rFonts w:hint="eastAsia" w:ascii="仿宋_GB2312" w:hAnsi="宋体" w:eastAsia="仿宋_GB2312" w:cs="宋体"/>
                <w:i w:val="0"/>
                <w:iCs w:val="0"/>
                <w:color w:val="000000"/>
                <w:kern w:val="2"/>
                <w:sz w:val="28"/>
                <w:szCs w:val="22"/>
                <w:u w:val="none"/>
                <w:lang w:val="en-US" w:eastAsia="zh-CN" w:bidi="ar-SA"/>
              </w:rPr>
            </w:pPr>
            <w:r>
              <w:rPr>
                <w:rFonts w:hint="eastAsia" w:ascii="仿宋_GB2312" w:hAnsi="宋体" w:eastAsia="仿宋_GB2312" w:cs="宋体"/>
                <w:i w:val="0"/>
                <w:iCs w:val="0"/>
                <w:color w:val="000000"/>
                <w:kern w:val="0"/>
                <w:sz w:val="28"/>
                <w:szCs w:val="22"/>
                <w:u w:val="none"/>
                <w:lang w:val="en-US" w:eastAsia="zh-CN" w:bidi="ar"/>
              </w:rPr>
              <w:t>5</w:t>
            </w:r>
          </w:p>
        </w:tc>
      </w:tr>
      <w:tr w14:paraId="418BD355">
        <w:tblPrEx>
          <w:tblCellMar>
            <w:top w:w="0" w:type="dxa"/>
            <w:left w:w="108" w:type="dxa"/>
            <w:bottom w:w="0" w:type="dxa"/>
            <w:right w:w="108" w:type="dxa"/>
          </w:tblCellMar>
        </w:tblPrEx>
        <w:trPr>
          <w:trHeight w:val="275" w:hRule="atLeast"/>
        </w:trPr>
        <w:tc>
          <w:tcPr>
            <w:tcW w:w="680" w:type="pct"/>
            <w:tcBorders>
              <w:top w:val="single" w:color="auto" w:sz="4" w:space="0"/>
              <w:left w:val="single" w:color="auto" w:sz="4" w:space="0"/>
              <w:bottom w:val="nil"/>
              <w:right w:val="nil"/>
            </w:tcBorders>
            <w:noWrap w:val="0"/>
            <w:tcMar>
              <w:top w:w="-1" w:type="dxa"/>
              <w:left w:w="-1" w:type="dxa"/>
              <w:bottom w:w="-1" w:type="dxa"/>
              <w:right w:w="-1" w:type="dxa"/>
            </w:tcMar>
            <w:vAlign w:val="bottom"/>
          </w:tcPr>
          <w:p w14:paraId="0C63D848">
            <w:pPr>
              <w:spacing w:line="520" w:lineRule="exact"/>
              <w:jc w:val="center"/>
              <w:rPr>
                <w:rFonts w:hint="eastAsia" w:ascii="仿宋_GB2312" w:eastAsia="仿宋_GB2312"/>
                <w:sz w:val="28"/>
                <w:szCs w:val="28"/>
                <w:lang w:eastAsia="zh-CN"/>
              </w:rPr>
            </w:pPr>
            <w:r>
              <w:rPr>
                <w:rFonts w:hint="eastAsia" w:ascii="仿宋_GB2312" w:eastAsia="仿宋_GB2312"/>
                <w:sz w:val="28"/>
                <w:szCs w:val="28"/>
                <w:lang w:val="en-US" w:eastAsia="zh-CN"/>
              </w:rPr>
              <w:t>4</w:t>
            </w:r>
          </w:p>
        </w:tc>
        <w:tc>
          <w:tcPr>
            <w:tcW w:w="941" w:type="pct"/>
            <w:tcBorders>
              <w:top w:val="single" w:color="auto" w:sz="4" w:space="0"/>
              <w:left w:val="single" w:color="auto" w:sz="4" w:space="0"/>
              <w:bottom w:val="nil"/>
              <w:right w:val="nil"/>
            </w:tcBorders>
            <w:shd w:val="clear" w:color="auto" w:fill="auto"/>
            <w:noWrap w:val="0"/>
            <w:tcMar>
              <w:top w:w="-1" w:type="dxa"/>
              <w:left w:w="-1" w:type="dxa"/>
              <w:bottom w:w="-1" w:type="dxa"/>
              <w:right w:w="-1" w:type="dxa"/>
            </w:tcMar>
            <w:vAlign w:val="center"/>
          </w:tcPr>
          <w:p w14:paraId="7606847A">
            <w:pPr>
              <w:keepNext/>
              <w:keepLines w:val="0"/>
              <w:widowControl/>
              <w:suppressLineNumbers w:val="0"/>
              <w:snapToGrid w:val="0"/>
              <w:ind w:left="0" w:leftChars="0" w:right="0" w:rightChars="0" w:firstLine="0" w:firstLineChars="0"/>
              <w:jc w:val="center"/>
              <w:textAlignment w:val="bottom"/>
              <w:rPr>
                <w:rFonts w:hint="eastAsia" w:ascii="仿宋_GB2312" w:hAnsi="宋体" w:eastAsia="仿宋_GB2312" w:cs="仿宋_GB2312"/>
                <w:i w:val="0"/>
                <w:iCs w:val="0"/>
                <w:color w:val="000000"/>
                <w:kern w:val="2"/>
                <w:sz w:val="28"/>
                <w:szCs w:val="28"/>
                <w:u w:val="none"/>
                <w:lang w:val="en-US" w:eastAsia="zh-CN" w:bidi="ar-SA"/>
              </w:rPr>
            </w:pPr>
            <w:r>
              <w:rPr>
                <w:rFonts w:hint="default" w:ascii="仿宋_GB2312" w:hAnsi="宋体" w:eastAsia="仿宋_GB2312" w:cs="仿宋_GB2312"/>
                <w:i w:val="0"/>
                <w:iCs w:val="0"/>
                <w:color w:val="000000"/>
                <w:kern w:val="0"/>
                <w:sz w:val="28"/>
                <w:szCs w:val="28"/>
                <w:u w:val="none"/>
                <w:lang w:val="en-US" w:eastAsia="zh-CN" w:bidi="ar"/>
              </w:rPr>
              <w:t>治安宣传活动次数</w:t>
            </w:r>
          </w:p>
        </w:tc>
        <w:tc>
          <w:tcPr>
            <w:tcW w:w="853" w:type="pct"/>
            <w:tcBorders>
              <w:top w:val="single" w:color="auto" w:sz="4" w:space="0"/>
              <w:left w:val="single" w:color="auto" w:sz="4" w:space="0"/>
              <w:bottom w:val="nil"/>
              <w:right w:val="nil"/>
            </w:tcBorders>
            <w:shd w:val="clear" w:color="auto" w:fill="auto"/>
            <w:noWrap w:val="0"/>
            <w:tcMar>
              <w:top w:w="-1" w:type="dxa"/>
              <w:left w:w="-1" w:type="dxa"/>
              <w:bottom w:w="-1" w:type="dxa"/>
              <w:right w:w="-1" w:type="dxa"/>
            </w:tcMar>
            <w:vAlign w:val="center"/>
          </w:tcPr>
          <w:p w14:paraId="3FBC361C">
            <w:pPr>
              <w:keepNext/>
              <w:keepLines w:val="0"/>
              <w:widowControl/>
              <w:suppressLineNumbers w:val="0"/>
              <w:snapToGrid w:val="0"/>
              <w:ind w:left="0" w:leftChars="0" w:right="0" w:rightChars="0" w:firstLine="0" w:firstLineChars="0"/>
              <w:jc w:val="left"/>
              <w:textAlignment w:val="bottom"/>
              <w:rPr>
                <w:rFonts w:hint="eastAsia" w:ascii="仿宋_GB2312" w:hAnsi="宋体" w:eastAsia="仿宋_GB2312" w:cs="仿宋_GB2312"/>
                <w:i w:val="0"/>
                <w:iCs w:val="0"/>
                <w:color w:val="000000"/>
                <w:kern w:val="2"/>
                <w:sz w:val="28"/>
                <w:szCs w:val="28"/>
                <w:u w:val="none"/>
                <w:lang w:val="en-US" w:eastAsia="zh-CN" w:bidi="ar-SA"/>
              </w:rPr>
            </w:pPr>
            <w:r>
              <w:rPr>
                <w:rFonts w:hint="default" w:ascii="仿宋_GB2312" w:hAnsi="宋体" w:eastAsia="仿宋_GB2312" w:cs="仿宋_GB2312"/>
                <w:i w:val="0"/>
                <w:iCs w:val="0"/>
                <w:color w:val="000000"/>
                <w:kern w:val="0"/>
                <w:sz w:val="28"/>
                <w:szCs w:val="28"/>
                <w:u w:val="none"/>
                <w:lang w:val="en-US" w:eastAsia="zh-CN" w:bidi="ar"/>
              </w:rPr>
              <w:t>≥</w:t>
            </w:r>
          </w:p>
        </w:tc>
        <w:tc>
          <w:tcPr>
            <w:tcW w:w="683" w:type="pct"/>
            <w:tcBorders>
              <w:top w:val="single" w:color="auto" w:sz="4" w:space="0"/>
              <w:left w:val="single" w:color="auto" w:sz="4" w:space="0"/>
              <w:bottom w:val="nil"/>
              <w:right w:val="nil"/>
            </w:tcBorders>
            <w:shd w:val="clear" w:color="auto" w:fill="auto"/>
            <w:noWrap w:val="0"/>
            <w:tcMar>
              <w:top w:w="-1" w:type="dxa"/>
              <w:left w:w="-1" w:type="dxa"/>
              <w:bottom w:w="-1" w:type="dxa"/>
              <w:right w:w="-1" w:type="dxa"/>
            </w:tcMar>
            <w:vAlign w:val="center"/>
          </w:tcPr>
          <w:p w14:paraId="1CE30CEB">
            <w:pPr>
              <w:keepNext/>
              <w:keepLines w:val="0"/>
              <w:widowControl/>
              <w:suppressLineNumbers w:val="0"/>
              <w:snapToGrid w:val="0"/>
              <w:ind w:left="0" w:leftChars="0" w:right="0" w:rightChars="0" w:firstLine="0" w:firstLineChars="0"/>
              <w:jc w:val="center"/>
              <w:textAlignment w:val="bottom"/>
              <w:rPr>
                <w:rFonts w:hint="eastAsia" w:ascii="仿宋_GB2312" w:hAnsi="宋体" w:eastAsia="仿宋_GB2312" w:cs="仿宋_GB2312"/>
                <w:i w:val="0"/>
                <w:iCs w:val="0"/>
                <w:color w:val="000000"/>
                <w:kern w:val="2"/>
                <w:sz w:val="28"/>
                <w:szCs w:val="28"/>
                <w:u w:val="none"/>
                <w:lang w:val="en-US" w:eastAsia="zh-CN" w:bidi="ar-SA"/>
              </w:rPr>
            </w:pPr>
            <w:r>
              <w:rPr>
                <w:rFonts w:hint="default" w:ascii="仿宋_GB2312" w:hAnsi="宋体" w:eastAsia="仿宋_GB2312" w:cs="仿宋_GB2312"/>
                <w:i w:val="0"/>
                <w:iCs w:val="0"/>
                <w:color w:val="000000"/>
                <w:kern w:val="0"/>
                <w:sz w:val="28"/>
                <w:szCs w:val="28"/>
                <w:u w:val="none"/>
                <w:lang w:val="en-US" w:eastAsia="zh-CN" w:bidi="ar"/>
              </w:rPr>
              <w:t>5</w:t>
            </w:r>
          </w:p>
        </w:tc>
        <w:tc>
          <w:tcPr>
            <w:tcW w:w="855" w:type="pct"/>
            <w:tcBorders>
              <w:top w:val="single" w:color="auto" w:sz="4" w:space="0"/>
              <w:left w:val="single" w:color="auto" w:sz="4" w:space="0"/>
              <w:bottom w:val="nil"/>
              <w:right w:val="nil"/>
            </w:tcBorders>
            <w:shd w:val="clear" w:color="auto" w:fill="auto"/>
            <w:noWrap w:val="0"/>
            <w:tcMar>
              <w:top w:w="-1" w:type="dxa"/>
              <w:left w:w="-1" w:type="dxa"/>
              <w:bottom w:w="-1" w:type="dxa"/>
              <w:right w:w="-1" w:type="dxa"/>
            </w:tcMar>
            <w:vAlign w:val="center"/>
          </w:tcPr>
          <w:p w14:paraId="1AB2E414">
            <w:pPr>
              <w:keepNext/>
              <w:keepLines w:val="0"/>
              <w:widowControl/>
              <w:suppressLineNumbers w:val="0"/>
              <w:snapToGrid w:val="0"/>
              <w:ind w:left="0" w:leftChars="0" w:right="0" w:rightChars="0" w:firstLine="0" w:firstLineChars="0"/>
              <w:jc w:val="center"/>
              <w:textAlignment w:val="top"/>
              <w:rPr>
                <w:rFonts w:hint="eastAsia" w:ascii="仿宋_GB2312" w:hAnsi="宋体" w:eastAsia="仿宋_GB2312" w:cs="仿宋_GB2312"/>
                <w:i w:val="0"/>
                <w:iCs w:val="0"/>
                <w:color w:val="000000"/>
                <w:kern w:val="2"/>
                <w:sz w:val="28"/>
                <w:szCs w:val="28"/>
                <w:u w:val="none"/>
                <w:lang w:val="en-US" w:eastAsia="zh-CN" w:bidi="ar-SA"/>
              </w:rPr>
            </w:pPr>
            <w:r>
              <w:rPr>
                <w:rFonts w:hint="default" w:ascii="仿宋_GB2312" w:hAnsi="宋体" w:eastAsia="仿宋_GB2312" w:cs="仿宋_GB2312"/>
                <w:i w:val="0"/>
                <w:iCs w:val="0"/>
                <w:color w:val="000000"/>
                <w:kern w:val="0"/>
                <w:sz w:val="28"/>
                <w:szCs w:val="28"/>
                <w:u w:val="none"/>
                <w:lang w:val="en-US" w:eastAsia="zh-CN" w:bidi="ar"/>
              </w:rPr>
              <w:t>次</w:t>
            </w:r>
          </w:p>
        </w:tc>
        <w:tc>
          <w:tcPr>
            <w:tcW w:w="987" w:type="pct"/>
            <w:tcBorders>
              <w:top w:val="single" w:color="auto" w:sz="4" w:space="0"/>
              <w:left w:val="single" w:color="auto" w:sz="4" w:space="0"/>
              <w:bottom w:val="nil"/>
              <w:right w:val="single" w:color="auto" w:sz="4" w:space="0"/>
            </w:tcBorders>
            <w:shd w:val="clear" w:color="auto" w:fill="auto"/>
            <w:noWrap w:val="0"/>
            <w:tcMar>
              <w:top w:w="-1" w:type="dxa"/>
              <w:left w:w="-1" w:type="dxa"/>
              <w:bottom w:w="-1" w:type="dxa"/>
              <w:right w:w="-1" w:type="dxa"/>
            </w:tcMar>
            <w:vAlign w:val="center"/>
          </w:tcPr>
          <w:p w14:paraId="6B04C504">
            <w:pPr>
              <w:keepNext/>
              <w:keepLines w:val="0"/>
              <w:widowControl/>
              <w:suppressLineNumbers w:val="0"/>
              <w:snapToGrid w:val="0"/>
              <w:ind w:left="0" w:leftChars="0" w:right="0" w:rightChars="0" w:firstLine="0" w:firstLineChars="0"/>
              <w:jc w:val="center"/>
              <w:textAlignment w:val="center"/>
              <w:rPr>
                <w:rFonts w:hint="eastAsia" w:ascii="仿宋_GB2312" w:hAnsi="宋体" w:eastAsia="仿宋_GB2312" w:cs="宋体"/>
                <w:i w:val="0"/>
                <w:iCs w:val="0"/>
                <w:color w:val="000000"/>
                <w:kern w:val="2"/>
                <w:sz w:val="28"/>
                <w:szCs w:val="22"/>
                <w:u w:val="none"/>
                <w:lang w:val="en-US" w:eastAsia="zh-CN" w:bidi="ar-SA"/>
              </w:rPr>
            </w:pPr>
            <w:r>
              <w:rPr>
                <w:rFonts w:hint="eastAsia" w:ascii="仿宋_GB2312" w:hAnsi="宋体" w:eastAsia="仿宋_GB2312" w:cs="宋体"/>
                <w:i w:val="0"/>
                <w:iCs w:val="0"/>
                <w:color w:val="000000"/>
                <w:kern w:val="0"/>
                <w:sz w:val="28"/>
                <w:szCs w:val="22"/>
                <w:u w:val="none"/>
                <w:lang w:val="en-US" w:eastAsia="zh-CN" w:bidi="ar"/>
              </w:rPr>
              <w:t>2</w:t>
            </w:r>
          </w:p>
        </w:tc>
      </w:tr>
      <w:tr w14:paraId="0D27D8AE">
        <w:tblPrEx>
          <w:tblCellMar>
            <w:top w:w="0" w:type="dxa"/>
            <w:left w:w="108" w:type="dxa"/>
            <w:bottom w:w="0" w:type="dxa"/>
            <w:right w:w="108" w:type="dxa"/>
          </w:tblCellMar>
        </w:tblPrEx>
        <w:trPr>
          <w:trHeight w:val="275" w:hRule="atLeast"/>
        </w:trPr>
        <w:tc>
          <w:tcPr>
            <w:tcW w:w="680" w:type="pct"/>
            <w:tcBorders>
              <w:top w:val="single" w:color="auto" w:sz="4" w:space="0"/>
              <w:left w:val="single" w:color="auto" w:sz="4" w:space="0"/>
              <w:bottom w:val="nil"/>
              <w:right w:val="nil"/>
            </w:tcBorders>
            <w:noWrap w:val="0"/>
            <w:tcMar>
              <w:top w:w="-1" w:type="dxa"/>
              <w:left w:w="-1" w:type="dxa"/>
              <w:bottom w:w="-1" w:type="dxa"/>
              <w:right w:w="-1" w:type="dxa"/>
            </w:tcMar>
            <w:vAlign w:val="bottom"/>
          </w:tcPr>
          <w:p w14:paraId="174ECB7B">
            <w:pPr>
              <w:spacing w:line="520" w:lineRule="exact"/>
              <w:jc w:val="center"/>
              <w:rPr>
                <w:rFonts w:hint="eastAsia" w:ascii="仿宋_GB2312" w:eastAsia="仿宋_GB2312"/>
                <w:sz w:val="28"/>
                <w:szCs w:val="28"/>
                <w:lang w:val="en-US" w:eastAsia="zh-CN"/>
              </w:rPr>
            </w:pPr>
            <w:bookmarkStart w:id="3" w:name="_Toc268005761"/>
            <w:r>
              <w:rPr>
                <w:rFonts w:hint="eastAsia" w:ascii="仿宋_GB2312" w:eastAsia="仿宋_GB2312"/>
                <w:sz w:val="28"/>
                <w:szCs w:val="28"/>
                <w:lang w:val="en-US" w:eastAsia="zh-CN"/>
              </w:rPr>
              <w:t>5</w:t>
            </w:r>
          </w:p>
        </w:tc>
        <w:tc>
          <w:tcPr>
            <w:tcW w:w="941" w:type="pct"/>
            <w:tcBorders>
              <w:top w:val="single" w:color="auto" w:sz="4" w:space="0"/>
              <w:left w:val="single" w:color="auto" w:sz="4" w:space="0"/>
              <w:bottom w:val="nil"/>
              <w:right w:val="nil"/>
            </w:tcBorders>
            <w:shd w:val="clear" w:color="auto" w:fill="auto"/>
            <w:noWrap w:val="0"/>
            <w:tcMar>
              <w:top w:w="-1" w:type="dxa"/>
              <w:left w:w="-1" w:type="dxa"/>
              <w:bottom w:w="-1" w:type="dxa"/>
              <w:right w:w="-1" w:type="dxa"/>
            </w:tcMar>
            <w:vAlign w:val="center"/>
          </w:tcPr>
          <w:p w14:paraId="52B663D8">
            <w:pPr>
              <w:keepNext/>
              <w:keepLines w:val="0"/>
              <w:widowControl/>
              <w:suppressLineNumbers w:val="0"/>
              <w:snapToGrid w:val="0"/>
              <w:ind w:left="0" w:leftChars="0" w:right="0" w:rightChars="0" w:firstLine="0" w:firstLineChars="0"/>
              <w:jc w:val="center"/>
              <w:textAlignment w:val="bottom"/>
              <w:rPr>
                <w:rFonts w:hint="eastAsia" w:ascii="仿宋_GB2312" w:hAnsi="宋体" w:eastAsia="仿宋_GB2312" w:cs="仿宋_GB2312"/>
                <w:i w:val="0"/>
                <w:iCs w:val="0"/>
                <w:color w:val="000000"/>
                <w:kern w:val="2"/>
                <w:sz w:val="28"/>
                <w:szCs w:val="28"/>
                <w:u w:val="none"/>
                <w:lang w:val="en-US" w:eastAsia="zh-CN" w:bidi="ar-SA"/>
              </w:rPr>
            </w:pPr>
            <w:r>
              <w:rPr>
                <w:rFonts w:hint="default" w:ascii="仿宋_GB2312" w:hAnsi="宋体" w:eastAsia="仿宋_GB2312" w:cs="仿宋_GB2312"/>
                <w:i w:val="0"/>
                <w:iCs w:val="0"/>
                <w:color w:val="000000"/>
                <w:kern w:val="0"/>
                <w:sz w:val="28"/>
                <w:szCs w:val="28"/>
                <w:u w:val="none"/>
                <w:lang w:val="en-US" w:eastAsia="zh-CN" w:bidi="ar"/>
              </w:rPr>
              <w:t>维稳工作完成率</w:t>
            </w:r>
          </w:p>
        </w:tc>
        <w:tc>
          <w:tcPr>
            <w:tcW w:w="853" w:type="pct"/>
            <w:tcBorders>
              <w:top w:val="single" w:color="auto" w:sz="4" w:space="0"/>
              <w:left w:val="single" w:color="auto" w:sz="4" w:space="0"/>
              <w:bottom w:val="nil"/>
              <w:right w:val="nil"/>
            </w:tcBorders>
            <w:shd w:val="clear" w:color="auto" w:fill="auto"/>
            <w:noWrap w:val="0"/>
            <w:tcMar>
              <w:top w:w="-1" w:type="dxa"/>
              <w:left w:w="-1" w:type="dxa"/>
              <w:bottom w:w="-1" w:type="dxa"/>
              <w:right w:w="-1" w:type="dxa"/>
            </w:tcMar>
            <w:vAlign w:val="center"/>
          </w:tcPr>
          <w:p w14:paraId="545542E7">
            <w:pPr>
              <w:keepNext/>
              <w:keepLines w:val="0"/>
              <w:widowControl/>
              <w:suppressLineNumbers w:val="0"/>
              <w:snapToGrid w:val="0"/>
              <w:ind w:left="0" w:leftChars="0" w:right="0" w:rightChars="0" w:firstLine="0" w:firstLineChars="0"/>
              <w:jc w:val="left"/>
              <w:textAlignment w:val="bottom"/>
              <w:rPr>
                <w:rFonts w:hint="eastAsia" w:ascii="仿宋_GB2312" w:hAnsi="宋体" w:eastAsia="仿宋_GB2312" w:cs="仿宋_GB2312"/>
                <w:i w:val="0"/>
                <w:iCs w:val="0"/>
                <w:color w:val="000000"/>
                <w:kern w:val="2"/>
                <w:sz w:val="28"/>
                <w:szCs w:val="28"/>
                <w:u w:val="none"/>
                <w:lang w:val="en-US" w:eastAsia="zh-CN" w:bidi="ar-SA"/>
              </w:rPr>
            </w:pPr>
            <w:r>
              <w:rPr>
                <w:rFonts w:hint="default" w:ascii="仿宋_GB2312" w:hAnsi="宋体" w:eastAsia="仿宋_GB2312" w:cs="仿宋_GB2312"/>
                <w:i w:val="0"/>
                <w:iCs w:val="0"/>
                <w:color w:val="000000"/>
                <w:kern w:val="0"/>
                <w:sz w:val="28"/>
                <w:szCs w:val="28"/>
                <w:u w:val="none"/>
                <w:lang w:val="en-US" w:eastAsia="zh-CN" w:bidi="ar"/>
              </w:rPr>
              <w:t>＝</w:t>
            </w:r>
          </w:p>
        </w:tc>
        <w:tc>
          <w:tcPr>
            <w:tcW w:w="683" w:type="pct"/>
            <w:tcBorders>
              <w:top w:val="single" w:color="auto" w:sz="4" w:space="0"/>
              <w:left w:val="single" w:color="auto" w:sz="4" w:space="0"/>
              <w:bottom w:val="nil"/>
              <w:right w:val="nil"/>
            </w:tcBorders>
            <w:shd w:val="clear" w:color="auto" w:fill="auto"/>
            <w:noWrap w:val="0"/>
            <w:tcMar>
              <w:top w:w="-1" w:type="dxa"/>
              <w:left w:w="-1" w:type="dxa"/>
              <w:bottom w:w="-1" w:type="dxa"/>
              <w:right w:w="-1" w:type="dxa"/>
            </w:tcMar>
            <w:vAlign w:val="center"/>
          </w:tcPr>
          <w:p w14:paraId="555376B8">
            <w:pPr>
              <w:keepNext/>
              <w:keepLines w:val="0"/>
              <w:widowControl/>
              <w:suppressLineNumbers w:val="0"/>
              <w:snapToGrid w:val="0"/>
              <w:ind w:left="0" w:leftChars="0" w:right="0" w:rightChars="0" w:firstLine="0" w:firstLineChars="0"/>
              <w:jc w:val="center"/>
              <w:textAlignment w:val="bottom"/>
              <w:rPr>
                <w:rFonts w:hint="eastAsia" w:ascii="仿宋_GB2312" w:hAnsi="宋体" w:eastAsia="仿宋_GB2312" w:cs="仿宋_GB2312"/>
                <w:i w:val="0"/>
                <w:iCs w:val="0"/>
                <w:color w:val="000000"/>
                <w:kern w:val="2"/>
                <w:sz w:val="28"/>
                <w:szCs w:val="28"/>
                <w:u w:val="none"/>
                <w:lang w:val="en-US" w:eastAsia="zh-CN" w:bidi="ar-SA"/>
              </w:rPr>
            </w:pPr>
            <w:r>
              <w:rPr>
                <w:rFonts w:hint="default" w:ascii="仿宋_GB2312" w:hAnsi="宋体" w:eastAsia="仿宋_GB2312" w:cs="仿宋_GB2312"/>
                <w:i w:val="0"/>
                <w:iCs w:val="0"/>
                <w:color w:val="000000"/>
                <w:kern w:val="0"/>
                <w:sz w:val="28"/>
                <w:szCs w:val="28"/>
                <w:u w:val="none"/>
                <w:lang w:val="en-US" w:eastAsia="zh-CN" w:bidi="ar"/>
              </w:rPr>
              <w:t>100</w:t>
            </w:r>
          </w:p>
        </w:tc>
        <w:tc>
          <w:tcPr>
            <w:tcW w:w="855" w:type="pct"/>
            <w:tcBorders>
              <w:top w:val="single" w:color="auto" w:sz="4" w:space="0"/>
              <w:left w:val="single" w:color="auto" w:sz="4" w:space="0"/>
              <w:bottom w:val="nil"/>
              <w:right w:val="nil"/>
            </w:tcBorders>
            <w:shd w:val="clear" w:color="auto" w:fill="auto"/>
            <w:noWrap w:val="0"/>
            <w:tcMar>
              <w:top w:w="-1" w:type="dxa"/>
              <w:left w:w="-1" w:type="dxa"/>
              <w:bottom w:w="-1" w:type="dxa"/>
              <w:right w:w="-1" w:type="dxa"/>
            </w:tcMar>
            <w:vAlign w:val="center"/>
          </w:tcPr>
          <w:p w14:paraId="266539D7">
            <w:pPr>
              <w:keepNext/>
              <w:keepLines w:val="0"/>
              <w:widowControl/>
              <w:suppressLineNumbers w:val="0"/>
              <w:snapToGrid w:val="0"/>
              <w:ind w:left="0" w:leftChars="0" w:right="0" w:rightChars="0" w:firstLine="0" w:firstLineChars="0"/>
              <w:jc w:val="center"/>
              <w:textAlignment w:val="top"/>
              <w:rPr>
                <w:rFonts w:hint="eastAsia" w:ascii="仿宋_GB2312" w:hAnsi="宋体" w:eastAsia="仿宋_GB2312" w:cs="仿宋_GB2312"/>
                <w:i w:val="0"/>
                <w:iCs w:val="0"/>
                <w:color w:val="000000"/>
                <w:kern w:val="2"/>
                <w:sz w:val="28"/>
                <w:szCs w:val="28"/>
                <w:u w:val="none"/>
                <w:lang w:val="en-US" w:eastAsia="zh-CN" w:bidi="ar-SA"/>
              </w:rPr>
            </w:pPr>
            <w:r>
              <w:rPr>
                <w:rFonts w:hint="default" w:ascii="仿宋_GB2312" w:hAnsi="宋体" w:eastAsia="仿宋_GB2312" w:cs="仿宋_GB2312"/>
                <w:i w:val="0"/>
                <w:iCs w:val="0"/>
                <w:color w:val="000000"/>
                <w:kern w:val="0"/>
                <w:sz w:val="28"/>
                <w:szCs w:val="28"/>
                <w:u w:val="none"/>
                <w:lang w:val="en-US" w:eastAsia="zh-CN" w:bidi="ar"/>
              </w:rPr>
              <w:t>%</w:t>
            </w:r>
          </w:p>
        </w:tc>
        <w:tc>
          <w:tcPr>
            <w:tcW w:w="987" w:type="pct"/>
            <w:tcBorders>
              <w:top w:val="single" w:color="auto" w:sz="4" w:space="0"/>
              <w:left w:val="single" w:color="auto" w:sz="4" w:space="0"/>
              <w:bottom w:val="nil"/>
              <w:right w:val="single" w:color="auto" w:sz="4" w:space="0"/>
            </w:tcBorders>
            <w:shd w:val="clear" w:color="auto" w:fill="auto"/>
            <w:noWrap w:val="0"/>
            <w:tcMar>
              <w:top w:w="-1" w:type="dxa"/>
              <w:left w:w="-1" w:type="dxa"/>
              <w:bottom w:w="-1" w:type="dxa"/>
              <w:right w:w="-1" w:type="dxa"/>
            </w:tcMar>
            <w:vAlign w:val="center"/>
          </w:tcPr>
          <w:p w14:paraId="21EB8F28">
            <w:pPr>
              <w:keepNext/>
              <w:keepLines w:val="0"/>
              <w:widowControl/>
              <w:suppressLineNumbers w:val="0"/>
              <w:snapToGrid w:val="0"/>
              <w:ind w:left="0" w:leftChars="0" w:right="0" w:rightChars="0" w:firstLine="0" w:firstLineChars="0"/>
              <w:jc w:val="center"/>
              <w:textAlignment w:val="center"/>
              <w:rPr>
                <w:rFonts w:hint="eastAsia" w:ascii="仿宋_GB2312" w:hAnsi="宋体" w:eastAsia="仿宋_GB2312" w:cs="宋体"/>
                <w:i w:val="0"/>
                <w:iCs w:val="0"/>
                <w:color w:val="000000"/>
                <w:kern w:val="2"/>
                <w:sz w:val="28"/>
                <w:szCs w:val="22"/>
                <w:u w:val="none"/>
                <w:lang w:val="en-US" w:eastAsia="zh-CN" w:bidi="ar-SA"/>
              </w:rPr>
            </w:pPr>
            <w:r>
              <w:rPr>
                <w:rFonts w:hint="eastAsia" w:ascii="仿宋_GB2312" w:hAnsi="宋体" w:eastAsia="仿宋_GB2312" w:cs="宋体"/>
                <w:i w:val="0"/>
                <w:iCs w:val="0"/>
                <w:color w:val="000000"/>
                <w:kern w:val="0"/>
                <w:sz w:val="28"/>
                <w:szCs w:val="22"/>
                <w:u w:val="none"/>
                <w:lang w:val="en-US" w:eastAsia="zh-CN" w:bidi="ar"/>
              </w:rPr>
              <w:t>5</w:t>
            </w:r>
          </w:p>
        </w:tc>
      </w:tr>
      <w:tr w14:paraId="0CD67285">
        <w:tblPrEx>
          <w:tblCellMar>
            <w:top w:w="0" w:type="dxa"/>
            <w:left w:w="108" w:type="dxa"/>
            <w:bottom w:w="0" w:type="dxa"/>
            <w:right w:w="108" w:type="dxa"/>
          </w:tblCellMar>
        </w:tblPrEx>
        <w:trPr>
          <w:trHeight w:val="275" w:hRule="atLeast"/>
        </w:trPr>
        <w:tc>
          <w:tcPr>
            <w:tcW w:w="680" w:type="pct"/>
            <w:tcBorders>
              <w:top w:val="single" w:color="auto" w:sz="4" w:space="0"/>
              <w:left w:val="single" w:color="auto" w:sz="4" w:space="0"/>
              <w:bottom w:val="nil"/>
              <w:right w:val="nil"/>
            </w:tcBorders>
            <w:noWrap w:val="0"/>
            <w:tcMar>
              <w:top w:w="-1" w:type="dxa"/>
              <w:left w:w="-1" w:type="dxa"/>
              <w:bottom w:w="-1" w:type="dxa"/>
              <w:right w:w="-1" w:type="dxa"/>
            </w:tcMar>
            <w:vAlign w:val="bottom"/>
          </w:tcPr>
          <w:p w14:paraId="73A8740B">
            <w:pPr>
              <w:spacing w:line="520" w:lineRule="exact"/>
              <w:jc w:val="center"/>
              <w:rPr>
                <w:rFonts w:hint="eastAsia" w:ascii="仿宋_GB2312" w:eastAsia="仿宋_GB2312"/>
                <w:sz w:val="28"/>
                <w:szCs w:val="28"/>
                <w:lang w:val="en-US" w:eastAsia="zh-CN"/>
              </w:rPr>
            </w:pPr>
            <w:r>
              <w:rPr>
                <w:rFonts w:hint="eastAsia" w:ascii="仿宋_GB2312" w:eastAsia="仿宋_GB2312"/>
                <w:sz w:val="28"/>
                <w:szCs w:val="28"/>
                <w:lang w:val="en-US" w:eastAsia="zh-CN"/>
              </w:rPr>
              <w:t>6</w:t>
            </w:r>
          </w:p>
        </w:tc>
        <w:tc>
          <w:tcPr>
            <w:tcW w:w="941" w:type="pct"/>
            <w:tcBorders>
              <w:top w:val="single" w:color="auto" w:sz="4" w:space="0"/>
              <w:left w:val="single" w:color="auto" w:sz="4" w:space="0"/>
              <w:bottom w:val="nil"/>
              <w:right w:val="nil"/>
            </w:tcBorders>
            <w:shd w:val="clear" w:color="auto" w:fill="auto"/>
            <w:noWrap w:val="0"/>
            <w:tcMar>
              <w:top w:w="-1" w:type="dxa"/>
              <w:left w:w="-1" w:type="dxa"/>
              <w:bottom w:w="-1" w:type="dxa"/>
              <w:right w:w="-1" w:type="dxa"/>
            </w:tcMar>
            <w:vAlign w:val="center"/>
          </w:tcPr>
          <w:p w14:paraId="335E58CA">
            <w:pPr>
              <w:keepNext/>
              <w:keepLines w:val="0"/>
              <w:widowControl/>
              <w:suppressLineNumbers w:val="0"/>
              <w:snapToGrid w:val="0"/>
              <w:ind w:left="0" w:leftChars="0" w:right="0" w:rightChars="0" w:firstLine="0" w:firstLineChars="0"/>
              <w:jc w:val="center"/>
              <w:textAlignment w:val="bottom"/>
              <w:rPr>
                <w:rFonts w:hint="eastAsia" w:ascii="仿宋_GB2312" w:hAnsi="宋体" w:eastAsia="仿宋_GB2312" w:cs="仿宋_GB2312"/>
                <w:i w:val="0"/>
                <w:iCs w:val="0"/>
                <w:color w:val="000000"/>
                <w:kern w:val="2"/>
                <w:sz w:val="28"/>
                <w:szCs w:val="28"/>
                <w:u w:val="none"/>
                <w:lang w:val="en-US" w:eastAsia="zh-CN" w:bidi="ar-SA"/>
              </w:rPr>
            </w:pPr>
            <w:r>
              <w:rPr>
                <w:rFonts w:hint="default" w:ascii="仿宋_GB2312" w:hAnsi="宋体" w:eastAsia="仿宋_GB2312" w:cs="仿宋_GB2312"/>
                <w:i w:val="0"/>
                <w:iCs w:val="0"/>
                <w:color w:val="000000"/>
                <w:kern w:val="0"/>
                <w:sz w:val="28"/>
                <w:szCs w:val="28"/>
                <w:u w:val="none"/>
                <w:lang w:val="en-US" w:eastAsia="zh-CN" w:bidi="ar"/>
              </w:rPr>
              <w:t>辖区内村民满意度</w:t>
            </w:r>
          </w:p>
        </w:tc>
        <w:tc>
          <w:tcPr>
            <w:tcW w:w="853" w:type="pct"/>
            <w:tcBorders>
              <w:top w:val="single" w:color="auto" w:sz="4" w:space="0"/>
              <w:left w:val="single" w:color="auto" w:sz="4" w:space="0"/>
              <w:bottom w:val="nil"/>
              <w:right w:val="nil"/>
            </w:tcBorders>
            <w:shd w:val="clear" w:color="auto" w:fill="auto"/>
            <w:noWrap w:val="0"/>
            <w:tcMar>
              <w:top w:w="-1" w:type="dxa"/>
              <w:left w:w="-1" w:type="dxa"/>
              <w:bottom w:w="-1" w:type="dxa"/>
              <w:right w:w="-1" w:type="dxa"/>
            </w:tcMar>
            <w:vAlign w:val="center"/>
          </w:tcPr>
          <w:p w14:paraId="1EF19CC4">
            <w:pPr>
              <w:keepNext/>
              <w:keepLines w:val="0"/>
              <w:widowControl/>
              <w:suppressLineNumbers w:val="0"/>
              <w:snapToGrid w:val="0"/>
              <w:ind w:left="0" w:leftChars="0" w:right="0" w:rightChars="0" w:firstLine="0" w:firstLineChars="0"/>
              <w:jc w:val="left"/>
              <w:textAlignment w:val="bottom"/>
              <w:rPr>
                <w:rFonts w:hint="eastAsia" w:ascii="仿宋_GB2312" w:hAnsi="宋体" w:eastAsia="仿宋_GB2312" w:cs="仿宋_GB2312"/>
                <w:i w:val="0"/>
                <w:iCs w:val="0"/>
                <w:color w:val="000000"/>
                <w:kern w:val="2"/>
                <w:sz w:val="28"/>
                <w:szCs w:val="28"/>
                <w:u w:val="none"/>
                <w:lang w:val="en-US" w:eastAsia="zh-CN" w:bidi="ar-SA"/>
              </w:rPr>
            </w:pPr>
            <w:r>
              <w:rPr>
                <w:rFonts w:hint="default" w:ascii="仿宋_GB2312" w:hAnsi="宋体" w:eastAsia="仿宋_GB2312" w:cs="仿宋_GB2312"/>
                <w:i w:val="0"/>
                <w:iCs w:val="0"/>
                <w:color w:val="000000"/>
                <w:kern w:val="0"/>
                <w:sz w:val="28"/>
                <w:szCs w:val="28"/>
                <w:u w:val="none"/>
                <w:lang w:val="en-US" w:eastAsia="zh-CN" w:bidi="ar"/>
              </w:rPr>
              <w:t>≥</w:t>
            </w:r>
          </w:p>
        </w:tc>
        <w:tc>
          <w:tcPr>
            <w:tcW w:w="683" w:type="pct"/>
            <w:tcBorders>
              <w:top w:val="single" w:color="auto" w:sz="4" w:space="0"/>
              <w:left w:val="single" w:color="auto" w:sz="4" w:space="0"/>
              <w:bottom w:val="nil"/>
              <w:right w:val="nil"/>
            </w:tcBorders>
            <w:shd w:val="clear" w:color="auto" w:fill="auto"/>
            <w:noWrap w:val="0"/>
            <w:tcMar>
              <w:top w:w="-1" w:type="dxa"/>
              <w:left w:w="-1" w:type="dxa"/>
              <w:bottom w:w="-1" w:type="dxa"/>
              <w:right w:w="-1" w:type="dxa"/>
            </w:tcMar>
            <w:vAlign w:val="center"/>
          </w:tcPr>
          <w:p w14:paraId="685328F8">
            <w:pPr>
              <w:keepNext/>
              <w:keepLines w:val="0"/>
              <w:widowControl/>
              <w:suppressLineNumbers w:val="0"/>
              <w:snapToGrid w:val="0"/>
              <w:ind w:left="0" w:leftChars="0" w:right="0" w:rightChars="0" w:firstLine="0" w:firstLineChars="0"/>
              <w:jc w:val="center"/>
              <w:textAlignment w:val="bottom"/>
              <w:rPr>
                <w:rFonts w:hint="eastAsia" w:ascii="仿宋_GB2312" w:hAnsi="宋体" w:eastAsia="仿宋_GB2312" w:cs="仿宋_GB2312"/>
                <w:i w:val="0"/>
                <w:iCs w:val="0"/>
                <w:color w:val="000000"/>
                <w:kern w:val="2"/>
                <w:sz w:val="28"/>
                <w:szCs w:val="28"/>
                <w:u w:val="none"/>
                <w:lang w:val="en-US" w:eastAsia="zh-CN" w:bidi="ar-SA"/>
              </w:rPr>
            </w:pPr>
            <w:r>
              <w:rPr>
                <w:rFonts w:hint="default" w:ascii="仿宋_GB2312" w:hAnsi="宋体" w:eastAsia="仿宋_GB2312" w:cs="仿宋_GB2312"/>
                <w:i w:val="0"/>
                <w:iCs w:val="0"/>
                <w:color w:val="000000"/>
                <w:kern w:val="0"/>
                <w:sz w:val="28"/>
                <w:szCs w:val="28"/>
                <w:u w:val="none"/>
                <w:lang w:val="en-US" w:eastAsia="zh-CN" w:bidi="ar"/>
              </w:rPr>
              <w:t>90</w:t>
            </w:r>
          </w:p>
        </w:tc>
        <w:tc>
          <w:tcPr>
            <w:tcW w:w="855" w:type="pct"/>
            <w:tcBorders>
              <w:top w:val="single" w:color="auto" w:sz="4" w:space="0"/>
              <w:left w:val="single" w:color="auto" w:sz="4" w:space="0"/>
              <w:bottom w:val="nil"/>
              <w:right w:val="nil"/>
            </w:tcBorders>
            <w:shd w:val="clear" w:color="auto" w:fill="auto"/>
            <w:noWrap w:val="0"/>
            <w:tcMar>
              <w:top w:w="-1" w:type="dxa"/>
              <w:left w:w="-1" w:type="dxa"/>
              <w:bottom w:w="-1" w:type="dxa"/>
              <w:right w:w="-1" w:type="dxa"/>
            </w:tcMar>
            <w:vAlign w:val="center"/>
          </w:tcPr>
          <w:p w14:paraId="3AB440A8">
            <w:pPr>
              <w:keepNext/>
              <w:keepLines w:val="0"/>
              <w:widowControl/>
              <w:suppressLineNumbers w:val="0"/>
              <w:snapToGrid w:val="0"/>
              <w:ind w:left="0" w:leftChars="0" w:right="0" w:rightChars="0" w:firstLine="0" w:firstLineChars="0"/>
              <w:jc w:val="center"/>
              <w:textAlignment w:val="top"/>
              <w:rPr>
                <w:rFonts w:hint="eastAsia" w:ascii="仿宋_GB2312" w:hAnsi="宋体" w:eastAsia="仿宋_GB2312" w:cs="仿宋_GB2312"/>
                <w:i w:val="0"/>
                <w:iCs w:val="0"/>
                <w:color w:val="000000"/>
                <w:kern w:val="2"/>
                <w:sz w:val="28"/>
                <w:szCs w:val="28"/>
                <w:u w:val="none"/>
                <w:lang w:val="en-US" w:eastAsia="zh-CN" w:bidi="ar-SA"/>
              </w:rPr>
            </w:pPr>
            <w:r>
              <w:rPr>
                <w:rFonts w:hint="default" w:ascii="仿宋_GB2312" w:hAnsi="宋体" w:eastAsia="仿宋_GB2312" w:cs="仿宋_GB2312"/>
                <w:i w:val="0"/>
                <w:iCs w:val="0"/>
                <w:color w:val="000000"/>
                <w:kern w:val="0"/>
                <w:sz w:val="28"/>
                <w:szCs w:val="28"/>
                <w:u w:val="none"/>
                <w:lang w:val="en-US" w:eastAsia="zh-CN" w:bidi="ar"/>
              </w:rPr>
              <w:t>%</w:t>
            </w:r>
          </w:p>
        </w:tc>
        <w:tc>
          <w:tcPr>
            <w:tcW w:w="987" w:type="pct"/>
            <w:tcBorders>
              <w:top w:val="single" w:color="auto" w:sz="4" w:space="0"/>
              <w:left w:val="single" w:color="auto" w:sz="4" w:space="0"/>
              <w:bottom w:val="nil"/>
              <w:right w:val="single" w:color="auto" w:sz="4" w:space="0"/>
            </w:tcBorders>
            <w:shd w:val="clear" w:color="auto" w:fill="auto"/>
            <w:noWrap w:val="0"/>
            <w:tcMar>
              <w:top w:w="-1" w:type="dxa"/>
              <w:left w:w="-1" w:type="dxa"/>
              <w:bottom w:w="-1" w:type="dxa"/>
              <w:right w:w="-1" w:type="dxa"/>
            </w:tcMar>
            <w:vAlign w:val="center"/>
          </w:tcPr>
          <w:p w14:paraId="3385B80C">
            <w:pPr>
              <w:keepNext/>
              <w:keepLines w:val="0"/>
              <w:widowControl/>
              <w:suppressLineNumbers w:val="0"/>
              <w:snapToGrid w:val="0"/>
              <w:ind w:left="0" w:leftChars="0" w:right="0" w:rightChars="0" w:firstLine="0" w:firstLineChars="0"/>
              <w:jc w:val="center"/>
              <w:textAlignment w:val="center"/>
              <w:rPr>
                <w:rFonts w:hint="eastAsia" w:ascii="仿宋_GB2312" w:hAnsi="宋体" w:eastAsia="仿宋_GB2312" w:cs="宋体"/>
                <w:i w:val="0"/>
                <w:iCs w:val="0"/>
                <w:color w:val="000000"/>
                <w:kern w:val="2"/>
                <w:sz w:val="28"/>
                <w:szCs w:val="22"/>
                <w:u w:val="none"/>
                <w:lang w:val="en-US" w:eastAsia="zh-CN" w:bidi="ar-SA"/>
              </w:rPr>
            </w:pPr>
            <w:r>
              <w:rPr>
                <w:rFonts w:hint="eastAsia" w:ascii="仿宋_GB2312" w:hAnsi="宋体" w:eastAsia="仿宋_GB2312" w:cs="宋体"/>
                <w:i w:val="0"/>
                <w:iCs w:val="0"/>
                <w:color w:val="000000"/>
                <w:kern w:val="0"/>
                <w:sz w:val="28"/>
                <w:szCs w:val="22"/>
                <w:u w:val="none"/>
                <w:lang w:val="en-US" w:eastAsia="zh-CN" w:bidi="ar"/>
              </w:rPr>
              <w:t>5</w:t>
            </w:r>
          </w:p>
        </w:tc>
      </w:tr>
      <w:tr w14:paraId="675083EC">
        <w:tblPrEx>
          <w:tblCellMar>
            <w:top w:w="0" w:type="dxa"/>
            <w:left w:w="108" w:type="dxa"/>
            <w:bottom w:w="0" w:type="dxa"/>
            <w:right w:w="108" w:type="dxa"/>
          </w:tblCellMar>
        </w:tblPrEx>
        <w:trPr>
          <w:trHeight w:val="275" w:hRule="atLeast"/>
        </w:trPr>
        <w:tc>
          <w:tcPr>
            <w:tcW w:w="680" w:type="pct"/>
            <w:tcBorders>
              <w:top w:val="single" w:color="auto" w:sz="4" w:space="0"/>
              <w:left w:val="single" w:color="auto" w:sz="4" w:space="0"/>
              <w:bottom w:val="single" w:color="auto" w:sz="4" w:space="0"/>
              <w:right w:val="nil"/>
            </w:tcBorders>
            <w:noWrap w:val="0"/>
            <w:tcMar>
              <w:top w:w="-1" w:type="dxa"/>
              <w:left w:w="-1" w:type="dxa"/>
              <w:bottom w:w="-1" w:type="dxa"/>
              <w:right w:w="-1" w:type="dxa"/>
            </w:tcMar>
            <w:vAlign w:val="bottom"/>
          </w:tcPr>
          <w:p w14:paraId="149D9C64">
            <w:pPr>
              <w:spacing w:line="520" w:lineRule="exact"/>
              <w:jc w:val="center"/>
              <w:rPr>
                <w:rFonts w:hint="eastAsia" w:ascii="仿宋_GB2312" w:eastAsia="仿宋_GB2312"/>
                <w:sz w:val="28"/>
                <w:szCs w:val="28"/>
                <w:lang w:val="en-US" w:eastAsia="zh-CN"/>
              </w:rPr>
            </w:pPr>
            <w:r>
              <w:rPr>
                <w:rFonts w:hint="eastAsia" w:ascii="仿宋_GB2312" w:eastAsia="仿宋_GB2312"/>
                <w:sz w:val="28"/>
                <w:szCs w:val="28"/>
                <w:lang w:val="en-US" w:eastAsia="zh-CN"/>
              </w:rPr>
              <w:t>7</w:t>
            </w:r>
          </w:p>
        </w:tc>
        <w:tc>
          <w:tcPr>
            <w:tcW w:w="941" w:type="pct"/>
            <w:tcBorders>
              <w:top w:val="single" w:color="auto" w:sz="4" w:space="0"/>
              <w:left w:val="single" w:color="auto" w:sz="4" w:space="0"/>
              <w:bottom w:val="single" w:color="auto" w:sz="4" w:space="0"/>
              <w:right w:val="nil"/>
            </w:tcBorders>
            <w:shd w:val="clear" w:color="auto" w:fill="auto"/>
            <w:noWrap w:val="0"/>
            <w:tcMar>
              <w:top w:w="-1" w:type="dxa"/>
              <w:left w:w="-1" w:type="dxa"/>
              <w:bottom w:w="-1" w:type="dxa"/>
              <w:right w:w="-1" w:type="dxa"/>
            </w:tcMar>
            <w:vAlign w:val="center"/>
          </w:tcPr>
          <w:p w14:paraId="12B293D8">
            <w:pPr>
              <w:keepNext/>
              <w:keepLines w:val="0"/>
              <w:widowControl/>
              <w:suppressLineNumbers w:val="0"/>
              <w:snapToGrid w:val="0"/>
              <w:ind w:left="0" w:leftChars="0" w:right="0" w:rightChars="0" w:firstLine="0" w:firstLineChars="0"/>
              <w:jc w:val="center"/>
              <w:textAlignment w:val="bottom"/>
              <w:rPr>
                <w:rFonts w:hint="eastAsia" w:ascii="仿宋_GB2312" w:hAnsi="宋体" w:eastAsia="仿宋_GB2312" w:cs="仿宋_GB2312"/>
                <w:i w:val="0"/>
                <w:iCs w:val="0"/>
                <w:color w:val="000000"/>
                <w:kern w:val="2"/>
                <w:sz w:val="28"/>
                <w:szCs w:val="28"/>
                <w:u w:val="none"/>
                <w:lang w:val="en-US" w:eastAsia="zh-CN" w:bidi="ar-SA"/>
              </w:rPr>
            </w:pPr>
            <w:r>
              <w:rPr>
                <w:rFonts w:hint="default" w:ascii="仿宋_GB2312" w:hAnsi="宋体" w:eastAsia="仿宋_GB2312" w:cs="仿宋_GB2312"/>
                <w:i w:val="0"/>
                <w:iCs w:val="0"/>
                <w:color w:val="000000"/>
                <w:kern w:val="0"/>
                <w:sz w:val="28"/>
                <w:szCs w:val="28"/>
                <w:u w:val="none"/>
                <w:lang w:val="en-US" w:eastAsia="zh-CN" w:bidi="ar"/>
              </w:rPr>
              <w:t>行政村数</w:t>
            </w:r>
          </w:p>
        </w:tc>
        <w:tc>
          <w:tcPr>
            <w:tcW w:w="853" w:type="pct"/>
            <w:tcBorders>
              <w:top w:val="single" w:color="auto" w:sz="4" w:space="0"/>
              <w:left w:val="single" w:color="auto" w:sz="4" w:space="0"/>
              <w:bottom w:val="single" w:color="auto" w:sz="4" w:space="0"/>
              <w:right w:val="nil"/>
            </w:tcBorders>
            <w:shd w:val="clear" w:color="auto" w:fill="auto"/>
            <w:noWrap w:val="0"/>
            <w:tcMar>
              <w:top w:w="-1" w:type="dxa"/>
              <w:left w:w="-1" w:type="dxa"/>
              <w:bottom w:w="-1" w:type="dxa"/>
              <w:right w:w="-1" w:type="dxa"/>
            </w:tcMar>
            <w:vAlign w:val="center"/>
          </w:tcPr>
          <w:p w14:paraId="5D49987F">
            <w:pPr>
              <w:keepNext/>
              <w:keepLines w:val="0"/>
              <w:widowControl/>
              <w:suppressLineNumbers w:val="0"/>
              <w:snapToGrid w:val="0"/>
              <w:ind w:left="0" w:leftChars="0" w:right="0" w:rightChars="0" w:firstLine="0" w:firstLineChars="0"/>
              <w:jc w:val="left"/>
              <w:textAlignment w:val="bottom"/>
              <w:rPr>
                <w:rFonts w:hint="eastAsia" w:ascii="仿宋_GB2312" w:hAnsi="宋体" w:eastAsia="仿宋_GB2312" w:cs="仿宋_GB2312"/>
                <w:i w:val="0"/>
                <w:iCs w:val="0"/>
                <w:color w:val="000000"/>
                <w:kern w:val="2"/>
                <w:sz w:val="28"/>
                <w:szCs w:val="28"/>
                <w:u w:val="none"/>
                <w:lang w:val="en-US" w:eastAsia="zh-CN" w:bidi="ar-SA"/>
              </w:rPr>
            </w:pPr>
            <w:r>
              <w:rPr>
                <w:rFonts w:hint="default" w:ascii="仿宋_GB2312" w:hAnsi="宋体" w:eastAsia="仿宋_GB2312" w:cs="仿宋_GB2312"/>
                <w:i w:val="0"/>
                <w:iCs w:val="0"/>
                <w:color w:val="000000"/>
                <w:kern w:val="0"/>
                <w:sz w:val="28"/>
                <w:szCs w:val="28"/>
                <w:u w:val="none"/>
                <w:lang w:val="en-US" w:eastAsia="zh-CN" w:bidi="ar"/>
              </w:rPr>
              <w:t>＝</w:t>
            </w:r>
          </w:p>
        </w:tc>
        <w:tc>
          <w:tcPr>
            <w:tcW w:w="683" w:type="pct"/>
            <w:tcBorders>
              <w:top w:val="single" w:color="auto" w:sz="4" w:space="0"/>
              <w:left w:val="single" w:color="auto" w:sz="4" w:space="0"/>
              <w:bottom w:val="single" w:color="auto" w:sz="4" w:space="0"/>
              <w:right w:val="nil"/>
            </w:tcBorders>
            <w:shd w:val="clear" w:color="auto" w:fill="auto"/>
            <w:noWrap w:val="0"/>
            <w:tcMar>
              <w:top w:w="-1" w:type="dxa"/>
              <w:left w:w="-1" w:type="dxa"/>
              <w:bottom w:w="-1" w:type="dxa"/>
              <w:right w:w="-1" w:type="dxa"/>
            </w:tcMar>
            <w:vAlign w:val="center"/>
          </w:tcPr>
          <w:p w14:paraId="1D870ED5">
            <w:pPr>
              <w:keepNext/>
              <w:keepLines w:val="0"/>
              <w:widowControl/>
              <w:suppressLineNumbers w:val="0"/>
              <w:snapToGrid w:val="0"/>
              <w:ind w:left="0" w:leftChars="0" w:right="0" w:rightChars="0" w:firstLine="0" w:firstLineChars="0"/>
              <w:jc w:val="center"/>
              <w:textAlignment w:val="bottom"/>
              <w:rPr>
                <w:rFonts w:hint="eastAsia" w:ascii="仿宋_GB2312" w:hAnsi="宋体" w:eastAsia="仿宋_GB2312" w:cs="仿宋_GB2312"/>
                <w:i w:val="0"/>
                <w:iCs w:val="0"/>
                <w:color w:val="000000"/>
                <w:kern w:val="2"/>
                <w:sz w:val="28"/>
                <w:szCs w:val="28"/>
                <w:u w:val="none"/>
                <w:lang w:val="en-US" w:eastAsia="zh-CN" w:bidi="ar-SA"/>
              </w:rPr>
            </w:pPr>
            <w:r>
              <w:rPr>
                <w:rFonts w:hint="default" w:ascii="仿宋_GB2312" w:hAnsi="宋体" w:eastAsia="仿宋_GB2312" w:cs="仿宋_GB2312"/>
                <w:i w:val="0"/>
                <w:iCs w:val="0"/>
                <w:color w:val="000000"/>
                <w:kern w:val="0"/>
                <w:sz w:val="28"/>
                <w:szCs w:val="28"/>
                <w:u w:val="none"/>
                <w:lang w:val="en-US" w:eastAsia="zh-CN" w:bidi="ar"/>
              </w:rPr>
              <w:t>32</w:t>
            </w:r>
          </w:p>
        </w:tc>
        <w:tc>
          <w:tcPr>
            <w:tcW w:w="855" w:type="pct"/>
            <w:tcBorders>
              <w:top w:val="single" w:color="auto" w:sz="4" w:space="0"/>
              <w:left w:val="single" w:color="auto" w:sz="4" w:space="0"/>
              <w:bottom w:val="single" w:color="auto" w:sz="4" w:space="0"/>
              <w:right w:val="nil"/>
            </w:tcBorders>
            <w:shd w:val="clear" w:color="auto" w:fill="auto"/>
            <w:noWrap w:val="0"/>
            <w:tcMar>
              <w:top w:w="-1" w:type="dxa"/>
              <w:left w:w="-1" w:type="dxa"/>
              <w:bottom w:w="-1" w:type="dxa"/>
              <w:right w:w="-1" w:type="dxa"/>
            </w:tcMar>
            <w:vAlign w:val="center"/>
          </w:tcPr>
          <w:p w14:paraId="68A881FE">
            <w:pPr>
              <w:keepNext/>
              <w:keepLines w:val="0"/>
              <w:widowControl/>
              <w:suppressLineNumbers w:val="0"/>
              <w:snapToGrid w:val="0"/>
              <w:ind w:left="0" w:leftChars="0" w:right="0" w:rightChars="0" w:firstLine="0" w:firstLineChars="0"/>
              <w:jc w:val="center"/>
              <w:textAlignment w:val="top"/>
              <w:rPr>
                <w:rFonts w:hint="eastAsia" w:ascii="仿宋_GB2312" w:hAnsi="宋体" w:eastAsia="仿宋_GB2312" w:cs="仿宋_GB2312"/>
                <w:i w:val="0"/>
                <w:iCs w:val="0"/>
                <w:color w:val="000000"/>
                <w:kern w:val="2"/>
                <w:sz w:val="28"/>
                <w:szCs w:val="28"/>
                <w:u w:val="none"/>
                <w:lang w:val="en-US" w:eastAsia="zh-CN" w:bidi="ar-SA"/>
              </w:rPr>
            </w:pPr>
            <w:r>
              <w:rPr>
                <w:rFonts w:hint="default" w:ascii="仿宋_GB2312" w:hAnsi="宋体" w:eastAsia="仿宋_GB2312" w:cs="仿宋_GB2312"/>
                <w:i w:val="0"/>
                <w:iCs w:val="0"/>
                <w:color w:val="000000"/>
                <w:kern w:val="0"/>
                <w:sz w:val="28"/>
                <w:szCs w:val="28"/>
                <w:u w:val="none"/>
                <w:lang w:val="en-US" w:eastAsia="zh-CN" w:bidi="ar"/>
              </w:rPr>
              <w:t>个</w:t>
            </w:r>
          </w:p>
        </w:tc>
        <w:tc>
          <w:tcPr>
            <w:tcW w:w="987" w:type="pct"/>
            <w:tcBorders>
              <w:top w:val="single" w:color="auto" w:sz="4" w:space="0"/>
              <w:left w:val="single" w:color="auto" w:sz="4" w:space="0"/>
              <w:bottom w:val="single" w:color="auto" w:sz="4" w:space="0"/>
              <w:right w:val="single" w:color="auto" w:sz="4" w:space="0"/>
            </w:tcBorders>
            <w:shd w:val="clear" w:color="auto" w:fill="auto"/>
            <w:noWrap w:val="0"/>
            <w:tcMar>
              <w:top w:w="-1" w:type="dxa"/>
              <w:left w:w="-1" w:type="dxa"/>
              <w:bottom w:w="-1" w:type="dxa"/>
              <w:right w:w="-1" w:type="dxa"/>
            </w:tcMar>
            <w:vAlign w:val="center"/>
          </w:tcPr>
          <w:p w14:paraId="30DFCE9E">
            <w:pPr>
              <w:keepNext/>
              <w:keepLines w:val="0"/>
              <w:widowControl/>
              <w:suppressLineNumbers w:val="0"/>
              <w:snapToGrid w:val="0"/>
              <w:ind w:left="0" w:leftChars="0" w:right="0" w:rightChars="0" w:firstLine="0" w:firstLineChars="0"/>
              <w:jc w:val="center"/>
              <w:textAlignment w:val="center"/>
              <w:rPr>
                <w:rFonts w:hint="eastAsia" w:ascii="仿宋_GB2312" w:hAnsi="宋体" w:eastAsia="仿宋_GB2312" w:cs="宋体"/>
                <w:i w:val="0"/>
                <w:iCs w:val="0"/>
                <w:color w:val="000000"/>
                <w:kern w:val="2"/>
                <w:sz w:val="28"/>
                <w:szCs w:val="22"/>
                <w:u w:val="none"/>
                <w:lang w:val="en-US" w:eastAsia="zh-CN" w:bidi="ar-SA"/>
              </w:rPr>
            </w:pPr>
            <w:r>
              <w:rPr>
                <w:rFonts w:hint="eastAsia" w:ascii="仿宋_GB2312" w:hAnsi="宋体" w:eastAsia="仿宋_GB2312" w:cs="宋体"/>
                <w:i w:val="0"/>
                <w:iCs w:val="0"/>
                <w:color w:val="000000"/>
                <w:kern w:val="0"/>
                <w:sz w:val="28"/>
                <w:szCs w:val="22"/>
                <w:u w:val="none"/>
                <w:lang w:val="en-US" w:eastAsia="zh-CN" w:bidi="ar"/>
              </w:rPr>
              <w:t>5</w:t>
            </w:r>
          </w:p>
        </w:tc>
      </w:tr>
      <w:tr w14:paraId="3EC256CD">
        <w:tblPrEx>
          <w:tblCellMar>
            <w:top w:w="0" w:type="dxa"/>
            <w:left w:w="108" w:type="dxa"/>
            <w:bottom w:w="0" w:type="dxa"/>
            <w:right w:w="108" w:type="dxa"/>
          </w:tblCellMar>
        </w:tblPrEx>
        <w:trPr>
          <w:trHeight w:val="275" w:hRule="atLeast"/>
        </w:trPr>
        <w:tc>
          <w:tcPr>
            <w:tcW w:w="680" w:type="pct"/>
            <w:tcBorders>
              <w:top w:val="single" w:color="auto" w:sz="4" w:space="0"/>
              <w:left w:val="single" w:color="auto" w:sz="4" w:space="0"/>
              <w:bottom w:val="single" w:color="auto" w:sz="4" w:space="0"/>
              <w:right w:val="nil"/>
            </w:tcBorders>
            <w:noWrap w:val="0"/>
            <w:tcMar>
              <w:top w:w="-1" w:type="dxa"/>
              <w:left w:w="-1" w:type="dxa"/>
              <w:bottom w:w="-1" w:type="dxa"/>
              <w:right w:w="-1" w:type="dxa"/>
            </w:tcMar>
            <w:vAlign w:val="bottom"/>
          </w:tcPr>
          <w:p w14:paraId="4EC2D273">
            <w:pPr>
              <w:spacing w:line="520" w:lineRule="exact"/>
              <w:jc w:val="center"/>
              <w:rPr>
                <w:rFonts w:hint="eastAsia" w:ascii="仿宋_GB2312" w:eastAsia="仿宋_GB2312"/>
                <w:sz w:val="28"/>
                <w:szCs w:val="28"/>
                <w:lang w:val="en-US" w:eastAsia="zh-CN"/>
              </w:rPr>
            </w:pPr>
            <w:r>
              <w:rPr>
                <w:rFonts w:hint="eastAsia" w:ascii="仿宋_GB2312" w:eastAsia="仿宋_GB2312"/>
                <w:sz w:val="28"/>
                <w:szCs w:val="28"/>
                <w:lang w:val="en-US" w:eastAsia="zh-CN"/>
              </w:rPr>
              <w:t>8</w:t>
            </w:r>
          </w:p>
        </w:tc>
        <w:tc>
          <w:tcPr>
            <w:tcW w:w="941" w:type="pct"/>
            <w:tcBorders>
              <w:top w:val="single" w:color="auto" w:sz="4" w:space="0"/>
              <w:left w:val="single" w:color="auto" w:sz="4" w:space="0"/>
              <w:bottom w:val="single" w:color="auto" w:sz="4" w:space="0"/>
              <w:right w:val="nil"/>
            </w:tcBorders>
            <w:shd w:val="clear" w:color="auto" w:fill="auto"/>
            <w:noWrap w:val="0"/>
            <w:tcMar>
              <w:top w:w="-1" w:type="dxa"/>
              <w:left w:w="-1" w:type="dxa"/>
              <w:bottom w:w="-1" w:type="dxa"/>
              <w:right w:w="-1" w:type="dxa"/>
            </w:tcMar>
            <w:vAlign w:val="center"/>
          </w:tcPr>
          <w:p w14:paraId="317041BF">
            <w:pPr>
              <w:keepNext/>
              <w:keepLines w:val="0"/>
              <w:widowControl/>
              <w:suppressLineNumbers w:val="0"/>
              <w:snapToGrid w:val="0"/>
              <w:ind w:left="0" w:leftChars="0" w:right="0" w:rightChars="0" w:firstLine="0" w:firstLineChars="0"/>
              <w:jc w:val="center"/>
              <w:textAlignment w:val="bottom"/>
              <w:rPr>
                <w:rFonts w:hint="eastAsia" w:ascii="仿宋_GB2312" w:hAnsi="宋体" w:eastAsia="仿宋_GB2312" w:cs="仿宋_GB2312"/>
                <w:i w:val="0"/>
                <w:iCs w:val="0"/>
                <w:color w:val="000000"/>
                <w:kern w:val="2"/>
                <w:sz w:val="28"/>
                <w:szCs w:val="28"/>
                <w:u w:val="none"/>
                <w:lang w:val="en-US" w:eastAsia="zh-CN" w:bidi="ar-SA"/>
              </w:rPr>
            </w:pPr>
            <w:r>
              <w:rPr>
                <w:rFonts w:hint="default" w:ascii="仿宋_GB2312" w:hAnsi="宋体" w:eastAsia="仿宋_GB2312" w:cs="仿宋_GB2312"/>
                <w:i w:val="0"/>
                <w:iCs w:val="0"/>
                <w:color w:val="000000"/>
                <w:kern w:val="0"/>
                <w:sz w:val="28"/>
                <w:szCs w:val="28"/>
                <w:u w:val="none"/>
                <w:lang w:val="en-US" w:eastAsia="zh-CN" w:bidi="ar"/>
              </w:rPr>
              <w:t>迎检指标任务达标率</w:t>
            </w:r>
          </w:p>
        </w:tc>
        <w:tc>
          <w:tcPr>
            <w:tcW w:w="853" w:type="pct"/>
            <w:tcBorders>
              <w:top w:val="single" w:color="auto" w:sz="4" w:space="0"/>
              <w:left w:val="single" w:color="auto" w:sz="4" w:space="0"/>
              <w:bottom w:val="single" w:color="auto" w:sz="4" w:space="0"/>
              <w:right w:val="nil"/>
            </w:tcBorders>
            <w:shd w:val="clear" w:color="auto" w:fill="auto"/>
            <w:noWrap w:val="0"/>
            <w:tcMar>
              <w:top w:w="-1" w:type="dxa"/>
              <w:left w:w="-1" w:type="dxa"/>
              <w:bottom w:w="-1" w:type="dxa"/>
              <w:right w:w="-1" w:type="dxa"/>
            </w:tcMar>
            <w:vAlign w:val="center"/>
          </w:tcPr>
          <w:p w14:paraId="1A91FF5B">
            <w:pPr>
              <w:keepNext/>
              <w:keepLines w:val="0"/>
              <w:widowControl/>
              <w:suppressLineNumbers w:val="0"/>
              <w:snapToGrid w:val="0"/>
              <w:ind w:left="0" w:leftChars="0" w:right="0" w:rightChars="0" w:firstLine="0" w:firstLineChars="0"/>
              <w:jc w:val="left"/>
              <w:textAlignment w:val="bottom"/>
              <w:rPr>
                <w:rFonts w:hint="eastAsia" w:ascii="仿宋_GB2312" w:hAnsi="宋体" w:eastAsia="仿宋_GB2312" w:cs="仿宋_GB2312"/>
                <w:i w:val="0"/>
                <w:iCs w:val="0"/>
                <w:color w:val="000000"/>
                <w:kern w:val="2"/>
                <w:sz w:val="28"/>
                <w:szCs w:val="28"/>
                <w:u w:val="none"/>
                <w:lang w:val="en-US" w:eastAsia="zh-CN" w:bidi="ar-SA"/>
              </w:rPr>
            </w:pPr>
            <w:r>
              <w:rPr>
                <w:rFonts w:hint="default" w:ascii="仿宋_GB2312" w:hAnsi="宋体" w:eastAsia="仿宋_GB2312" w:cs="仿宋_GB2312"/>
                <w:i w:val="0"/>
                <w:iCs w:val="0"/>
                <w:color w:val="000000"/>
                <w:kern w:val="0"/>
                <w:sz w:val="28"/>
                <w:szCs w:val="28"/>
                <w:u w:val="none"/>
                <w:lang w:val="en-US" w:eastAsia="zh-CN" w:bidi="ar"/>
              </w:rPr>
              <w:t>≥</w:t>
            </w:r>
          </w:p>
        </w:tc>
        <w:tc>
          <w:tcPr>
            <w:tcW w:w="683" w:type="pct"/>
            <w:tcBorders>
              <w:top w:val="single" w:color="auto" w:sz="4" w:space="0"/>
              <w:left w:val="single" w:color="auto" w:sz="4" w:space="0"/>
              <w:bottom w:val="single" w:color="auto" w:sz="4" w:space="0"/>
              <w:right w:val="nil"/>
            </w:tcBorders>
            <w:shd w:val="clear" w:color="auto" w:fill="auto"/>
            <w:noWrap w:val="0"/>
            <w:tcMar>
              <w:top w:w="-1" w:type="dxa"/>
              <w:left w:w="-1" w:type="dxa"/>
              <w:bottom w:w="-1" w:type="dxa"/>
              <w:right w:w="-1" w:type="dxa"/>
            </w:tcMar>
            <w:vAlign w:val="center"/>
          </w:tcPr>
          <w:p w14:paraId="1143BF4E">
            <w:pPr>
              <w:keepNext/>
              <w:keepLines w:val="0"/>
              <w:widowControl/>
              <w:suppressLineNumbers w:val="0"/>
              <w:snapToGrid w:val="0"/>
              <w:ind w:left="0" w:leftChars="0" w:right="0" w:rightChars="0" w:firstLine="0" w:firstLineChars="0"/>
              <w:jc w:val="center"/>
              <w:textAlignment w:val="bottom"/>
              <w:rPr>
                <w:rFonts w:hint="eastAsia" w:ascii="仿宋_GB2312" w:hAnsi="宋体" w:eastAsia="仿宋_GB2312" w:cs="仿宋_GB2312"/>
                <w:i w:val="0"/>
                <w:iCs w:val="0"/>
                <w:color w:val="000000"/>
                <w:kern w:val="2"/>
                <w:sz w:val="28"/>
                <w:szCs w:val="28"/>
                <w:u w:val="none"/>
                <w:lang w:val="en-US" w:eastAsia="zh-CN" w:bidi="ar-SA"/>
              </w:rPr>
            </w:pPr>
            <w:r>
              <w:rPr>
                <w:rFonts w:hint="default" w:ascii="仿宋_GB2312" w:hAnsi="宋体" w:eastAsia="仿宋_GB2312" w:cs="仿宋_GB2312"/>
                <w:i w:val="0"/>
                <w:iCs w:val="0"/>
                <w:color w:val="000000"/>
                <w:kern w:val="0"/>
                <w:sz w:val="28"/>
                <w:szCs w:val="28"/>
                <w:u w:val="none"/>
                <w:lang w:val="en-US" w:eastAsia="zh-CN" w:bidi="ar"/>
              </w:rPr>
              <w:t>90</w:t>
            </w:r>
          </w:p>
        </w:tc>
        <w:tc>
          <w:tcPr>
            <w:tcW w:w="855" w:type="pct"/>
            <w:tcBorders>
              <w:top w:val="single" w:color="auto" w:sz="4" w:space="0"/>
              <w:left w:val="single" w:color="auto" w:sz="4" w:space="0"/>
              <w:bottom w:val="single" w:color="auto" w:sz="4" w:space="0"/>
              <w:right w:val="nil"/>
            </w:tcBorders>
            <w:shd w:val="clear" w:color="auto" w:fill="auto"/>
            <w:noWrap w:val="0"/>
            <w:tcMar>
              <w:top w:w="-1" w:type="dxa"/>
              <w:left w:w="-1" w:type="dxa"/>
              <w:bottom w:w="-1" w:type="dxa"/>
              <w:right w:w="-1" w:type="dxa"/>
            </w:tcMar>
            <w:vAlign w:val="center"/>
          </w:tcPr>
          <w:p w14:paraId="71F094EC">
            <w:pPr>
              <w:keepNext/>
              <w:keepLines w:val="0"/>
              <w:widowControl/>
              <w:suppressLineNumbers w:val="0"/>
              <w:snapToGrid w:val="0"/>
              <w:ind w:left="0" w:leftChars="0" w:right="0" w:rightChars="0" w:firstLine="0" w:firstLineChars="0"/>
              <w:jc w:val="center"/>
              <w:textAlignment w:val="top"/>
              <w:rPr>
                <w:rFonts w:hint="eastAsia" w:ascii="仿宋_GB2312" w:hAnsi="宋体" w:eastAsia="仿宋_GB2312" w:cs="仿宋_GB2312"/>
                <w:i w:val="0"/>
                <w:iCs w:val="0"/>
                <w:color w:val="000000"/>
                <w:kern w:val="2"/>
                <w:sz w:val="28"/>
                <w:szCs w:val="28"/>
                <w:u w:val="none"/>
                <w:lang w:val="en-US" w:eastAsia="zh-CN" w:bidi="ar-SA"/>
              </w:rPr>
            </w:pPr>
            <w:r>
              <w:rPr>
                <w:rFonts w:hint="default" w:ascii="仿宋_GB2312" w:hAnsi="宋体" w:eastAsia="仿宋_GB2312" w:cs="仿宋_GB2312"/>
                <w:i w:val="0"/>
                <w:iCs w:val="0"/>
                <w:color w:val="000000"/>
                <w:kern w:val="0"/>
                <w:sz w:val="28"/>
                <w:szCs w:val="28"/>
                <w:u w:val="none"/>
                <w:lang w:val="en-US" w:eastAsia="zh-CN" w:bidi="ar"/>
              </w:rPr>
              <w:t>%</w:t>
            </w:r>
          </w:p>
        </w:tc>
        <w:tc>
          <w:tcPr>
            <w:tcW w:w="987" w:type="pct"/>
            <w:tcBorders>
              <w:top w:val="single" w:color="auto" w:sz="4" w:space="0"/>
              <w:left w:val="single" w:color="auto" w:sz="4" w:space="0"/>
              <w:bottom w:val="single" w:color="auto" w:sz="4" w:space="0"/>
              <w:right w:val="single" w:color="auto" w:sz="4" w:space="0"/>
            </w:tcBorders>
            <w:shd w:val="clear" w:color="auto" w:fill="auto"/>
            <w:noWrap w:val="0"/>
            <w:tcMar>
              <w:top w:w="-1" w:type="dxa"/>
              <w:left w:w="-1" w:type="dxa"/>
              <w:bottom w:w="-1" w:type="dxa"/>
              <w:right w:w="-1" w:type="dxa"/>
            </w:tcMar>
            <w:vAlign w:val="center"/>
          </w:tcPr>
          <w:p w14:paraId="0D96C70B">
            <w:pPr>
              <w:keepNext/>
              <w:keepLines w:val="0"/>
              <w:widowControl/>
              <w:suppressLineNumbers w:val="0"/>
              <w:snapToGrid w:val="0"/>
              <w:ind w:left="0" w:leftChars="0" w:right="0" w:rightChars="0" w:firstLine="0" w:firstLineChars="0"/>
              <w:jc w:val="center"/>
              <w:textAlignment w:val="center"/>
              <w:rPr>
                <w:rFonts w:hint="eastAsia" w:ascii="仿宋_GB2312" w:hAnsi="宋体" w:eastAsia="仿宋_GB2312" w:cs="宋体"/>
                <w:i w:val="0"/>
                <w:iCs w:val="0"/>
                <w:color w:val="000000"/>
                <w:kern w:val="2"/>
                <w:sz w:val="28"/>
                <w:szCs w:val="22"/>
                <w:u w:val="none"/>
                <w:lang w:val="en-US" w:eastAsia="zh-CN" w:bidi="ar-SA"/>
              </w:rPr>
            </w:pPr>
            <w:r>
              <w:rPr>
                <w:rFonts w:hint="eastAsia" w:ascii="仿宋_GB2312" w:hAnsi="宋体" w:eastAsia="仿宋_GB2312" w:cs="宋体"/>
                <w:i w:val="0"/>
                <w:iCs w:val="0"/>
                <w:color w:val="000000"/>
                <w:kern w:val="0"/>
                <w:sz w:val="28"/>
                <w:szCs w:val="22"/>
                <w:u w:val="none"/>
                <w:lang w:val="en-US" w:eastAsia="zh-CN" w:bidi="ar"/>
              </w:rPr>
              <w:t>5</w:t>
            </w:r>
          </w:p>
        </w:tc>
      </w:tr>
      <w:tr w14:paraId="1ED82710">
        <w:tblPrEx>
          <w:tblCellMar>
            <w:top w:w="0" w:type="dxa"/>
            <w:left w:w="108" w:type="dxa"/>
            <w:bottom w:w="0" w:type="dxa"/>
            <w:right w:w="108" w:type="dxa"/>
          </w:tblCellMar>
        </w:tblPrEx>
        <w:trPr>
          <w:trHeight w:val="275" w:hRule="atLeast"/>
        </w:trPr>
        <w:tc>
          <w:tcPr>
            <w:tcW w:w="680" w:type="pct"/>
            <w:tcBorders>
              <w:top w:val="single" w:color="auto" w:sz="4" w:space="0"/>
              <w:left w:val="single" w:color="auto" w:sz="4" w:space="0"/>
              <w:bottom w:val="single" w:color="auto" w:sz="4" w:space="0"/>
              <w:right w:val="nil"/>
            </w:tcBorders>
            <w:noWrap w:val="0"/>
            <w:tcMar>
              <w:top w:w="-1" w:type="dxa"/>
              <w:left w:w="-1" w:type="dxa"/>
              <w:bottom w:w="-1" w:type="dxa"/>
              <w:right w:w="-1" w:type="dxa"/>
            </w:tcMar>
            <w:vAlign w:val="bottom"/>
          </w:tcPr>
          <w:p w14:paraId="60C917FA">
            <w:pPr>
              <w:spacing w:line="520" w:lineRule="exact"/>
              <w:jc w:val="center"/>
              <w:rPr>
                <w:rFonts w:hint="eastAsia" w:ascii="仿宋_GB2312" w:eastAsia="仿宋_GB2312"/>
                <w:sz w:val="28"/>
                <w:szCs w:val="28"/>
                <w:lang w:val="en-US" w:eastAsia="zh-CN"/>
              </w:rPr>
            </w:pPr>
            <w:r>
              <w:rPr>
                <w:rFonts w:hint="eastAsia" w:ascii="仿宋_GB2312" w:eastAsia="仿宋_GB2312"/>
                <w:sz w:val="28"/>
                <w:szCs w:val="28"/>
                <w:lang w:val="en-US" w:eastAsia="zh-CN"/>
              </w:rPr>
              <w:t>9</w:t>
            </w:r>
          </w:p>
        </w:tc>
        <w:tc>
          <w:tcPr>
            <w:tcW w:w="941" w:type="pct"/>
            <w:tcBorders>
              <w:top w:val="single" w:color="auto" w:sz="4" w:space="0"/>
              <w:left w:val="single" w:color="auto" w:sz="4" w:space="0"/>
              <w:bottom w:val="single" w:color="auto" w:sz="4" w:space="0"/>
              <w:right w:val="nil"/>
            </w:tcBorders>
            <w:shd w:val="clear" w:color="auto" w:fill="auto"/>
            <w:noWrap w:val="0"/>
            <w:tcMar>
              <w:top w:w="-1" w:type="dxa"/>
              <w:left w:w="-1" w:type="dxa"/>
              <w:bottom w:w="-1" w:type="dxa"/>
              <w:right w:w="-1" w:type="dxa"/>
            </w:tcMar>
            <w:vAlign w:val="center"/>
          </w:tcPr>
          <w:p w14:paraId="53422F93">
            <w:pPr>
              <w:keepNext/>
              <w:keepLines w:val="0"/>
              <w:widowControl/>
              <w:suppressLineNumbers w:val="0"/>
              <w:snapToGrid w:val="0"/>
              <w:ind w:left="0" w:leftChars="0" w:right="0" w:rightChars="0" w:firstLine="0" w:firstLineChars="0"/>
              <w:jc w:val="center"/>
              <w:textAlignment w:val="bottom"/>
              <w:rPr>
                <w:rFonts w:hint="eastAsia" w:ascii="仿宋_GB2312" w:hAnsi="宋体" w:eastAsia="仿宋_GB2312" w:cs="仿宋_GB2312"/>
                <w:i w:val="0"/>
                <w:iCs w:val="0"/>
                <w:color w:val="000000"/>
                <w:kern w:val="2"/>
                <w:sz w:val="28"/>
                <w:szCs w:val="28"/>
                <w:u w:val="none"/>
                <w:lang w:val="en-US" w:eastAsia="zh-CN" w:bidi="ar-SA"/>
              </w:rPr>
            </w:pPr>
            <w:r>
              <w:rPr>
                <w:rFonts w:hint="default" w:ascii="仿宋_GB2312" w:hAnsi="宋体" w:eastAsia="仿宋_GB2312" w:cs="仿宋_GB2312"/>
                <w:i w:val="0"/>
                <w:iCs w:val="0"/>
                <w:color w:val="000000"/>
                <w:kern w:val="0"/>
                <w:sz w:val="28"/>
                <w:szCs w:val="28"/>
                <w:u w:val="none"/>
                <w:lang w:val="en-US" w:eastAsia="zh-CN" w:bidi="ar"/>
              </w:rPr>
              <w:t>村民满意度</w:t>
            </w:r>
          </w:p>
        </w:tc>
        <w:tc>
          <w:tcPr>
            <w:tcW w:w="853" w:type="pct"/>
            <w:tcBorders>
              <w:top w:val="single" w:color="auto" w:sz="4" w:space="0"/>
              <w:left w:val="single" w:color="auto" w:sz="4" w:space="0"/>
              <w:bottom w:val="single" w:color="auto" w:sz="4" w:space="0"/>
              <w:right w:val="nil"/>
            </w:tcBorders>
            <w:shd w:val="clear" w:color="auto" w:fill="auto"/>
            <w:noWrap w:val="0"/>
            <w:tcMar>
              <w:top w:w="-1" w:type="dxa"/>
              <w:left w:w="-1" w:type="dxa"/>
              <w:bottom w:w="-1" w:type="dxa"/>
              <w:right w:w="-1" w:type="dxa"/>
            </w:tcMar>
            <w:vAlign w:val="center"/>
          </w:tcPr>
          <w:p w14:paraId="45A26C07">
            <w:pPr>
              <w:keepNext/>
              <w:keepLines w:val="0"/>
              <w:widowControl/>
              <w:suppressLineNumbers w:val="0"/>
              <w:snapToGrid w:val="0"/>
              <w:ind w:left="0" w:leftChars="0" w:right="0" w:rightChars="0" w:firstLine="0" w:firstLineChars="0"/>
              <w:jc w:val="left"/>
              <w:textAlignment w:val="bottom"/>
              <w:rPr>
                <w:rFonts w:hint="eastAsia" w:ascii="仿宋_GB2312" w:hAnsi="宋体" w:eastAsia="仿宋_GB2312" w:cs="仿宋_GB2312"/>
                <w:i w:val="0"/>
                <w:iCs w:val="0"/>
                <w:color w:val="000000"/>
                <w:kern w:val="2"/>
                <w:sz w:val="28"/>
                <w:szCs w:val="28"/>
                <w:u w:val="none"/>
                <w:lang w:val="en-US" w:eastAsia="zh-CN" w:bidi="ar-SA"/>
              </w:rPr>
            </w:pPr>
            <w:r>
              <w:rPr>
                <w:rFonts w:hint="default" w:ascii="仿宋_GB2312" w:hAnsi="宋体" w:eastAsia="仿宋_GB2312" w:cs="仿宋_GB2312"/>
                <w:i w:val="0"/>
                <w:iCs w:val="0"/>
                <w:color w:val="000000"/>
                <w:kern w:val="0"/>
                <w:sz w:val="28"/>
                <w:szCs w:val="28"/>
                <w:u w:val="none"/>
                <w:lang w:val="en-US" w:eastAsia="zh-CN" w:bidi="ar"/>
              </w:rPr>
              <w:t>≥</w:t>
            </w:r>
          </w:p>
        </w:tc>
        <w:tc>
          <w:tcPr>
            <w:tcW w:w="683" w:type="pct"/>
            <w:tcBorders>
              <w:top w:val="single" w:color="auto" w:sz="4" w:space="0"/>
              <w:left w:val="single" w:color="auto" w:sz="4" w:space="0"/>
              <w:bottom w:val="single" w:color="auto" w:sz="4" w:space="0"/>
              <w:right w:val="nil"/>
            </w:tcBorders>
            <w:shd w:val="clear" w:color="auto" w:fill="auto"/>
            <w:noWrap w:val="0"/>
            <w:tcMar>
              <w:top w:w="-1" w:type="dxa"/>
              <w:left w:w="-1" w:type="dxa"/>
              <w:bottom w:w="-1" w:type="dxa"/>
              <w:right w:w="-1" w:type="dxa"/>
            </w:tcMar>
            <w:vAlign w:val="center"/>
          </w:tcPr>
          <w:p w14:paraId="6F5FB4FE">
            <w:pPr>
              <w:keepNext/>
              <w:keepLines w:val="0"/>
              <w:widowControl/>
              <w:suppressLineNumbers w:val="0"/>
              <w:snapToGrid w:val="0"/>
              <w:ind w:left="0" w:leftChars="0" w:right="0" w:rightChars="0" w:firstLine="0" w:firstLineChars="0"/>
              <w:jc w:val="center"/>
              <w:textAlignment w:val="bottom"/>
              <w:rPr>
                <w:rFonts w:hint="eastAsia" w:ascii="仿宋_GB2312" w:hAnsi="宋体" w:eastAsia="仿宋_GB2312" w:cs="仿宋_GB2312"/>
                <w:i w:val="0"/>
                <w:iCs w:val="0"/>
                <w:color w:val="000000"/>
                <w:kern w:val="2"/>
                <w:sz w:val="28"/>
                <w:szCs w:val="28"/>
                <w:u w:val="none"/>
                <w:lang w:val="en-US" w:eastAsia="zh-CN" w:bidi="ar-SA"/>
              </w:rPr>
            </w:pPr>
            <w:r>
              <w:rPr>
                <w:rFonts w:hint="default" w:ascii="仿宋_GB2312" w:hAnsi="宋体" w:eastAsia="仿宋_GB2312" w:cs="仿宋_GB2312"/>
                <w:i w:val="0"/>
                <w:iCs w:val="0"/>
                <w:color w:val="000000"/>
                <w:kern w:val="0"/>
                <w:sz w:val="28"/>
                <w:szCs w:val="28"/>
                <w:u w:val="none"/>
                <w:lang w:val="en-US" w:eastAsia="zh-CN" w:bidi="ar"/>
              </w:rPr>
              <w:t>90</w:t>
            </w:r>
          </w:p>
        </w:tc>
        <w:tc>
          <w:tcPr>
            <w:tcW w:w="855" w:type="pct"/>
            <w:tcBorders>
              <w:top w:val="single" w:color="auto" w:sz="4" w:space="0"/>
              <w:left w:val="single" w:color="auto" w:sz="4" w:space="0"/>
              <w:bottom w:val="single" w:color="auto" w:sz="4" w:space="0"/>
              <w:right w:val="nil"/>
            </w:tcBorders>
            <w:shd w:val="clear" w:color="auto" w:fill="auto"/>
            <w:noWrap w:val="0"/>
            <w:tcMar>
              <w:top w:w="-1" w:type="dxa"/>
              <w:left w:w="-1" w:type="dxa"/>
              <w:bottom w:w="-1" w:type="dxa"/>
              <w:right w:w="-1" w:type="dxa"/>
            </w:tcMar>
            <w:vAlign w:val="center"/>
          </w:tcPr>
          <w:p w14:paraId="114359E3">
            <w:pPr>
              <w:keepNext/>
              <w:keepLines w:val="0"/>
              <w:widowControl/>
              <w:suppressLineNumbers w:val="0"/>
              <w:snapToGrid w:val="0"/>
              <w:ind w:left="0" w:leftChars="0" w:right="0" w:rightChars="0" w:firstLine="0" w:firstLineChars="0"/>
              <w:jc w:val="center"/>
              <w:textAlignment w:val="top"/>
              <w:rPr>
                <w:rFonts w:hint="eastAsia" w:ascii="仿宋_GB2312" w:hAnsi="宋体" w:eastAsia="仿宋_GB2312" w:cs="仿宋_GB2312"/>
                <w:i w:val="0"/>
                <w:iCs w:val="0"/>
                <w:color w:val="000000"/>
                <w:kern w:val="2"/>
                <w:sz w:val="28"/>
                <w:szCs w:val="28"/>
                <w:u w:val="none"/>
                <w:lang w:val="en-US" w:eastAsia="zh-CN" w:bidi="ar-SA"/>
              </w:rPr>
            </w:pPr>
            <w:r>
              <w:rPr>
                <w:rFonts w:hint="default" w:ascii="仿宋_GB2312" w:hAnsi="宋体" w:eastAsia="仿宋_GB2312" w:cs="仿宋_GB2312"/>
                <w:i w:val="0"/>
                <w:iCs w:val="0"/>
                <w:color w:val="000000"/>
                <w:kern w:val="0"/>
                <w:sz w:val="28"/>
                <w:szCs w:val="28"/>
                <w:u w:val="none"/>
                <w:lang w:val="en-US" w:eastAsia="zh-CN" w:bidi="ar"/>
              </w:rPr>
              <w:t>%</w:t>
            </w:r>
          </w:p>
        </w:tc>
        <w:tc>
          <w:tcPr>
            <w:tcW w:w="987" w:type="pct"/>
            <w:tcBorders>
              <w:top w:val="single" w:color="auto" w:sz="4" w:space="0"/>
              <w:left w:val="single" w:color="auto" w:sz="4" w:space="0"/>
              <w:bottom w:val="single" w:color="auto" w:sz="4" w:space="0"/>
              <w:right w:val="single" w:color="auto" w:sz="4" w:space="0"/>
            </w:tcBorders>
            <w:shd w:val="clear" w:color="auto" w:fill="auto"/>
            <w:noWrap w:val="0"/>
            <w:tcMar>
              <w:top w:w="-1" w:type="dxa"/>
              <w:left w:w="-1" w:type="dxa"/>
              <w:bottom w:w="-1" w:type="dxa"/>
              <w:right w:w="-1" w:type="dxa"/>
            </w:tcMar>
            <w:vAlign w:val="center"/>
          </w:tcPr>
          <w:p w14:paraId="6CF7BD3C">
            <w:pPr>
              <w:keepNext/>
              <w:keepLines w:val="0"/>
              <w:widowControl/>
              <w:suppressLineNumbers w:val="0"/>
              <w:snapToGrid w:val="0"/>
              <w:ind w:left="0" w:leftChars="0" w:right="0" w:rightChars="0" w:firstLine="0" w:firstLineChars="0"/>
              <w:jc w:val="center"/>
              <w:textAlignment w:val="center"/>
              <w:rPr>
                <w:rFonts w:hint="eastAsia" w:ascii="仿宋_GB2312" w:hAnsi="宋体" w:eastAsia="仿宋_GB2312" w:cs="宋体"/>
                <w:i w:val="0"/>
                <w:iCs w:val="0"/>
                <w:color w:val="000000"/>
                <w:kern w:val="2"/>
                <w:sz w:val="28"/>
                <w:szCs w:val="22"/>
                <w:u w:val="none"/>
                <w:lang w:val="en-US" w:eastAsia="zh-CN" w:bidi="ar-SA"/>
              </w:rPr>
            </w:pPr>
            <w:r>
              <w:rPr>
                <w:rFonts w:hint="eastAsia" w:ascii="仿宋_GB2312" w:hAnsi="宋体" w:eastAsia="仿宋_GB2312" w:cs="宋体"/>
                <w:i w:val="0"/>
                <w:iCs w:val="0"/>
                <w:color w:val="000000"/>
                <w:kern w:val="0"/>
                <w:sz w:val="28"/>
                <w:szCs w:val="22"/>
                <w:u w:val="none"/>
                <w:lang w:val="en-US" w:eastAsia="zh-CN" w:bidi="ar"/>
              </w:rPr>
              <w:t>5</w:t>
            </w:r>
          </w:p>
        </w:tc>
      </w:tr>
      <w:tr w14:paraId="476DE32A">
        <w:tblPrEx>
          <w:tblCellMar>
            <w:top w:w="0" w:type="dxa"/>
            <w:left w:w="108" w:type="dxa"/>
            <w:bottom w:w="0" w:type="dxa"/>
            <w:right w:w="108" w:type="dxa"/>
          </w:tblCellMar>
        </w:tblPrEx>
        <w:trPr>
          <w:trHeight w:val="275" w:hRule="atLeast"/>
        </w:trPr>
        <w:tc>
          <w:tcPr>
            <w:tcW w:w="680" w:type="pct"/>
            <w:tcBorders>
              <w:top w:val="single" w:color="auto" w:sz="4" w:space="0"/>
              <w:left w:val="single" w:color="auto" w:sz="4" w:space="0"/>
              <w:bottom w:val="single" w:color="auto" w:sz="4" w:space="0"/>
              <w:right w:val="nil"/>
            </w:tcBorders>
            <w:noWrap w:val="0"/>
            <w:tcMar>
              <w:top w:w="-1" w:type="dxa"/>
              <w:left w:w="-1" w:type="dxa"/>
              <w:bottom w:w="-1" w:type="dxa"/>
              <w:right w:w="-1" w:type="dxa"/>
            </w:tcMar>
            <w:vAlign w:val="bottom"/>
          </w:tcPr>
          <w:p w14:paraId="5F471DCA">
            <w:pPr>
              <w:spacing w:line="520" w:lineRule="exact"/>
              <w:jc w:val="center"/>
              <w:rPr>
                <w:rFonts w:hint="default" w:ascii="仿宋_GB2312" w:eastAsia="仿宋_GB2312"/>
                <w:sz w:val="28"/>
                <w:szCs w:val="28"/>
                <w:lang w:val="en-US" w:eastAsia="zh-CN"/>
              </w:rPr>
            </w:pPr>
            <w:r>
              <w:rPr>
                <w:rFonts w:hint="eastAsia" w:ascii="仿宋_GB2312" w:eastAsia="仿宋_GB2312"/>
                <w:sz w:val="28"/>
                <w:szCs w:val="28"/>
                <w:lang w:val="en-US" w:eastAsia="zh-CN"/>
              </w:rPr>
              <w:t>10</w:t>
            </w:r>
          </w:p>
        </w:tc>
        <w:tc>
          <w:tcPr>
            <w:tcW w:w="941" w:type="pct"/>
            <w:tcBorders>
              <w:top w:val="single" w:color="auto" w:sz="4" w:space="0"/>
              <w:left w:val="single" w:color="auto" w:sz="4" w:space="0"/>
              <w:bottom w:val="single" w:color="auto" w:sz="4" w:space="0"/>
              <w:right w:val="nil"/>
            </w:tcBorders>
            <w:shd w:val="clear" w:color="auto" w:fill="auto"/>
            <w:noWrap w:val="0"/>
            <w:tcMar>
              <w:top w:w="-1" w:type="dxa"/>
              <w:left w:w="-1" w:type="dxa"/>
              <w:bottom w:w="-1" w:type="dxa"/>
              <w:right w:w="-1" w:type="dxa"/>
            </w:tcMar>
            <w:vAlign w:val="center"/>
          </w:tcPr>
          <w:p w14:paraId="5D29605D">
            <w:pPr>
              <w:keepNext/>
              <w:keepLines w:val="0"/>
              <w:widowControl/>
              <w:suppressLineNumbers w:val="0"/>
              <w:snapToGrid w:val="0"/>
              <w:ind w:left="0" w:leftChars="0" w:right="0" w:rightChars="0" w:firstLine="0" w:firstLineChars="0"/>
              <w:jc w:val="center"/>
              <w:textAlignment w:val="bottom"/>
              <w:rPr>
                <w:rFonts w:hint="eastAsia" w:ascii="仿宋_GB2312" w:hAnsi="宋体" w:eastAsia="仿宋_GB2312" w:cs="仿宋_GB2312"/>
                <w:i w:val="0"/>
                <w:iCs w:val="0"/>
                <w:color w:val="000000"/>
                <w:kern w:val="2"/>
                <w:sz w:val="28"/>
                <w:szCs w:val="28"/>
                <w:u w:val="none"/>
                <w:lang w:val="en-US" w:eastAsia="zh-CN" w:bidi="ar-SA"/>
              </w:rPr>
            </w:pPr>
            <w:r>
              <w:rPr>
                <w:rFonts w:hint="default" w:ascii="仿宋_GB2312" w:hAnsi="宋体" w:eastAsia="仿宋_GB2312" w:cs="仿宋_GB2312"/>
                <w:i w:val="0"/>
                <w:iCs w:val="0"/>
                <w:color w:val="000000"/>
                <w:kern w:val="0"/>
                <w:sz w:val="28"/>
                <w:szCs w:val="28"/>
                <w:u w:val="none"/>
                <w:lang w:val="en-US" w:eastAsia="zh-CN" w:bidi="ar"/>
              </w:rPr>
              <w:t>严重精神障碍患者管理补贴发放率</w:t>
            </w:r>
          </w:p>
        </w:tc>
        <w:tc>
          <w:tcPr>
            <w:tcW w:w="853" w:type="pct"/>
            <w:tcBorders>
              <w:top w:val="single" w:color="auto" w:sz="4" w:space="0"/>
              <w:left w:val="single" w:color="auto" w:sz="4" w:space="0"/>
              <w:bottom w:val="single" w:color="auto" w:sz="4" w:space="0"/>
              <w:right w:val="nil"/>
            </w:tcBorders>
            <w:shd w:val="clear" w:color="auto" w:fill="auto"/>
            <w:noWrap w:val="0"/>
            <w:tcMar>
              <w:top w:w="-1" w:type="dxa"/>
              <w:left w:w="-1" w:type="dxa"/>
              <w:bottom w:w="-1" w:type="dxa"/>
              <w:right w:w="-1" w:type="dxa"/>
            </w:tcMar>
            <w:vAlign w:val="center"/>
          </w:tcPr>
          <w:p w14:paraId="44DB79B6">
            <w:pPr>
              <w:keepNext/>
              <w:keepLines w:val="0"/>
              <w:widowControl/>
              <w:suppressLineNumbers w:val="0"/>
              <w:snapToGrid w:val="0"/>
              <w:ind w:left="0" w:leftChars="0" w:right="0" w:rightChars="0" w:firstLine="0" w:firstLineChars="0"/>
              <w:jc w:val="left"/>
              <w:textAlignment w:val="bottom"/>
              <w:rPr>
                <w:rFonts w:hint="eastAsia" w:ascii="仿宋_GB2312" w:hAnsi="宋体" w:eastAsia="仿宋_GB2312" w:cs="仿宋_GB2312"/>
                <w:i w:val="0"/>
                <w:iCs w:val="0"/>
                <w:color w:val="000000"/>
                <w:kern w:val="2"/>
                <w:sz w:val="28"/>
                <w:szCs w:val="28"/>
                <w:u w:val="none"/>
                <w:lang w:val="en-US" w:eastAsia="zh-CN" w:bidi="ar-SA"/>
              </w:rPr>
            </w:pPr>
            <w:r>
              <w:rPr>
                <w:rFonts w:hint="default" w:ascii="仿宋_GB2312" w:hAnsi="宋体" w:eastAsia="仿宋_GB2312" w:cs="仿宋_GB2312"/>
                <w:i w:val="0"/>
                <w:iCs w:val="0"/>
                <w:color w:val="000000"/>
                <w:kern w:val="0"/>
                <w:sz w:val="28"/>
                <w:szCs w:val="28"/>
                <w:u w:val="none"/>
                <w:lang w:val="en-US" w:eastAsia="zh-CN" w:bidi="ar"/>
              </w:rPr>
              <w:t>＝</w:t>
            </w:r>
          </w:p>
        </w:tc>
        <w:tc>
          <w:tcPr>
            <w:tcW w:w="683" w:type="pct"/>
            <w:tcBorders>
              <w:top w:val="single" w:color="auto" w:sz="4" w:space="0"/>
              <w:left w:val="single" w:color="auto" w:sz="4" w:space="0"/>
              <w:bottom w:val="single" w:color="auto" w:sz="4" w:space="0"/>
              <w:right w:val="nil"/>
            </w:tcBorders>
            <w:shd w:val="clear" w:color="auto" w:fill="auto"/>
            <w:noWrap w:val="0"/>
            <w:tcMar>
              <w:top w:w="-1" w:type="dxa"/>
              <w:left w:w="-1" w:type="dxa"/>
              <w:bottom w:w="-1" w:type="dxa"/>
              <w:right w:w="-1" w:type="dxa"/>
            </w:tcMar>
            <w:vAlign w:val="center"/>
          </w:tcPr>
          <w:p w14:paraId="65A164BD">
            <w:pPr>
              <w:keepNext/>
              <w:keepLines w:val="0"/>
              <w:widowControl/>
              <w:suppressLineNumbers w:val="0"/>
              <w:snapToGrid w:val="0"/>
              <w:ind w:left="0" w:leftChars="0" w:right="0" w:rightChars="0" w:firstLine="0" w:firstLineChars="0"/>
              <w:jc w:val="center"/>
              <w:textAlignment w:val="bottom"/>
              <w:rPr>
                <w:rFonts w:hint="eastAsia" w:ascii="仿宋_GB2312" w:hAnsi="宋体" w:eastAsia="仿宋_GB2312" w:cs="仿宋_GB2312"/>
                <w:i w:val="0"/>
                <w:iCs w:val="0"/>
                <w:color w:val="000000"/>
                <w:kern w:val="2"/>
                <w:sz w:val="28"/>
                <w:szCs w:val="28"/>
                <w:u w:val="none"/>
                <w:lang w:val="en-US" w:eastAsia="zh-CN" w:bidi="ar-SA"/>
              </w:rPr>
            </w:pPr>
            <w:r>
              <w:rPr>
                <w:rFonts w:hint="default" w:ascii="仿宋_GB2312" w:hAnsi="宋体" w:eastAsia="仿宋_GB2312" w:cs="仿宋_GB2312"/>
                <w:i w:val="0"/>
                <w:iCs w:val="0"/>
                <w:color w:val="000000"/>
                <w:kern w:val="0"/>
                <w:sz w:val="28"/>
                <w:szCs w:val="28"/>
                <w:u w:val="none"/>
                <w:lang w:val="en-US" w:eastAsia="zh-CN" w:bidi="ar"/>
              </w:rPr>
              <w:t>100</w:t>
            </w:r>
          </w:p>
        </w:tc>
        <w:tc>
          <w:tcPr>
            <w:tcW w:w="855" w:type="pct"/>
            <w:tcBorders>
              <w:top w:val="single" w:color="auto" w:sz="4" w:space="0"/>
              <w:left w:val="single" w:color="auto" w:sz="4" w:space="0"/>
              <w:bottom w:val="single" w:color="auto" w:sz="4" w:space="0"/>
              <w:right w:val="nil"/>
            </w:tcBorders>
            <w:shd w:val="clear" w:color="auto" w:fill="auto"/>
            <w:noWrap w:val="0"/>
            <w:tcMar>
              <w:top w:w="-1" w:type="dxa"/>
              <w:left w:w="-1" w:type="dxa"/>
              <w:bottom w:w="-1" w:type="dxa"/>
              <w:right w:w="-1" w:type="dxa"/>
            </w:tcMar>
            <w:vAlign w:val="center"/>
          </w:tcPr>
          <w:p w14:paraId="36D16060">
            <w:pPr>
              <w:keepNext/>
              <w:keepLines w:val="0"/>
              <w:widowControl/>
              <w:suppressLineNumbers w:val="0"/>
              <w:snapToGrid w:val="0"/>
              <w:ind w:left="0" w:leftChars="0" w:right="0" w:rightChars="0" w:firstLine="0" w:firstLineChars="0"/>
              <w:jc w:val="center"/>
              <w:textAlignment w:val="top"/>
              <w:rPr>
                <w:rFonts w:hint="eastAsia" w:ascii="仿宋_GB2312" w:hAnsi="宋体" w:eastAsia="仿宋_GB2312" w:cs="仿宋_GB2312"/>
                <w:i w:val="0"/>
                <w:iCs w:val="0"/>
                <w:color w:val="000000"/>
                <w:kern w:val="2"/>
                <w:sz w:val="28"/>
                <w:szCs w:val="28"/>
                <w:u w:val="none"/>
                <w:lang w:val="en-US" w:eastAsia="zh-CN" w:bidi="ar-SA"/>
              </w:rPr>
            </w:pPr>
            <w:r>
              <w:rPr>
                <w:rFonts w:hint="default" w:ascii="仿宋_GB2312" w:hAnsi="宋体" w:eastAsia="仿宋_GB2312" w:cs="仿宋_GB2312"/>
                <w:i w:val="0"/>
                <w:iCs w:val="0"/>
                <w:color w:val="000000"/>
                <w:kern w:val="0"/>
                <w:sz w:val="28"/>
                <w:szCs w:val="28"/>
                <w:u w:val="none"/>
                <w:lang w:val="en-US" w:eastAsia="zh-CN" w:bidi="ar"/>
              </w:rPr>
              <w:t>%</w:t>
            </w:r>
          </w:p>
        </w:tc>
        <w:tc>
          <w:tcPr>
            <w:tcW w:w="987" w:type="pct"/>
            <w:tcBorders>
              <w:top w:val="single" w:color="auto" w:sz="4" w:space="0"/>
              <w:left w:val="single" w:color="auto" w:sz="4" w:space="0"/>
              <w:bottom w:val="single" w:color="auto" w:sz="4" w:space="0"/>
              <w:right w:val="single" w:color="auto" w:sz="4" w:space="0"/>
            </w:tcBorders>
            <w:shd w:val="clear" w:color="auto" w:fill="auto"/>
            <w:noWrap w:val="0"/>
            <w:tcMar>
              <w:top w:w="-1" w:type="dxa"/>
              <w:left w:w="-1" w:type="dxa"/>
              <w:bottom w:w="-1" w:type="dxa"/>
              <w:right w:w="-1" w:type="dxa"/>
            </w:tcMar>
            <w:vAlign w:val="center"/>
          </w:tcPr>
          <w:p w14:paraId="4506C8E9">
            <w:pPr>
              <w:keepNext/>
              <w:keepLines w:val="0"/>
              <w:widowControl/>
              <w:suppressLineNumbers w:val="0"/>
              <w:snapToGrid w:val="0"/>
              <w:ind w:left="0" w:leftChars="0" w:right="0" w:rightChars="0" w:firstLine="0" w:firstLineChars="0"/>
              <w:jc w:val="center"/>
              <w:textAlignment w:val="center"/>
              <w:rPr>
                <w:rFonts w:hint="eastAsia" w:ascii="仿宋_GB2312" w:hAnsi="宋体" w:eastAsia="仿宋_GB2312" w:cs="宋体"/>
                <w:i w:val="0"/>
                <w:iCs w:val="0"/>
                <w:color w:val="000000"/>
                <w:kern w:val="2"/>
                <w:sz w:val="28"/>
                <w:szCs w:val="22"/>
                <w:u w:val="none"/>
                <w:lang w:val="en-US" w:eastAsia="zh-CN" w:bidi="ar-SA"/>
              </w:rPr>
            </w:pPr>
            <w:r>
              <w:rPr>
                <w:rFonts w:hint="eastAsia" w:ascii="仿宋_GB2312" w:hAnsi="宋体" w:eastAsia="仿宋_GB2312" w:cs="宋体"/>
                <w:i w:val="0"/>
                <w:iCs w:val="0"/>
                <w:color w:val="000000"/>
                <w:kern w:val="0"/>
                <w:sz w:val="28"/>
                <w:szCs w:val="22"/>
                <w:u w:val="none"/>
                <w:lang w:val="en-US" w:eastAsia="zh-CN" w:bidi="ar"/>
              </w:rPr>
              <w:t>5</w:t>
            </w:r>
          </w:p>
        </w:tc>
      </w:tr>
      <w:tr w14:paraId="5169E0A0">
        <w:tblPrEx>
          <w:tblCellMar>
            <w:top w:w="0" w:type="dxa"/>
            <w:left w:w="108" w:type="dxa"/>
            <w:bottom w:w="0" w:type="dxa"/>
            <w:right w:w="108" w:type="dxa"/>
          </w:tblCellMar>
        </w:tblPrEx>
        <w:trPr>
          <w:trHeight w:val="275" w:hRule="atLeast"/>
        </w:trPr>
        <w:tc>
          <w:tcPr>
            <w:tcW w:w="680" w:type="pct"/>
            <w:tcBorders>
              <w:top w:val="single" w:color="auto" w:sz="4" w:space="0"/>
              <w:left w:val="single" w:color="auto" w:sz="4" w:space="0"/>
              <w:bottom w:val="single" w:color="auto" w:sz="4" w:space="0"/>
              <w:right w:val="nil"/>
            </w:tcBorders>
            <w:noWrap w:val="0"/>
            <w:tcMar>
              <w:top w:w="-1" w:type="dxa"/>
              <w:left w:w="-1" w:type="dxa"/>
              <w:bottom w:w="-1" w:type="dxa"/>
              <w:right w:w="-1" w:type="dxa"/>
            </w:tcMar>
            <w:vAlign w:val="bottom"/>
          </w:tcPr>
          <w:p w14:paraId="4567F407">
            <w:pPr>
              <w:spacing w:line="520" w:lineRule="exact"/>
              <w:jc w:val="center"/>
              <w:rPr>
                <w:rFonts w:hint="default" w:ascii="仿宋_GB2312" w:eastAsia="仿宋_GB2312"/>
                <w:sz w:val="28"/>
                <w:szCs w:val="28"/>
                <w:lang w:val="en-US" w:eastAsia="zh-CN"/>
              </w:rPr>
            </w:pPr>
            <w:r>
              <w:rPr>
                <w:rFonts w:hint="eastAsia" w:ascii="仿宋_GB2312" w:eastAsia="仿宋_GB2312"/>
                <w:sz w:val="28"/>
                <w:szCs w:val="28"/>
                <w:lang w:val="en-US" w:eastAsia="zh-CN"/>
              </w:rPr>
              <w:t>11</w:t>
            </w:r>
          </w:p>
        </w:tc>
        <w:tc>
          <w:tcPr>
            <w:tcW w:w="941" w:type="pct"/>
            <w:tcBorders>
              <w:top w:val="single" w:color="auto" w:sz="4" w:space="0"/>
              <w:left w:val="single" w:color="auto" w:sz="4" w:space="0"/>
              <w:bottom w:val="single" w:color="auto" w:sz="4" w:space="0"/>
              <w:right w:val="nil"/>
            </w:tcBorders>
            <w:shd w:val="clear" w:color="auto" w:fill="auto"/>
            <w:noWrap w:val="0"/>
            <w:tcMar>
              <w:top w:w="-1" w:type="dxa"/>
              <w:left w:w="-1" w:type="dxa"/>
              <w:bottom w:w="-1" w:type="dxa"/>
              <w:right w:w="-1" w:type="dxa"/>
            </w:tcMar>
            <w:vAlign w:val="center"/>
          </w:tcPr>
          <w:p w14:paraId="2BAA512F">
            <w:pPr>
              <w:keepNext/>
              <w:keepLines w:val="0"/>
              <w:widowControl/>
              <w:suppressLineNumbers w:val="0"/>
              <w:snapToGrid w:val="0"/>
              <w:ind w:left="0" w:leftChars="0" w:right="0" w:rightChars="0" w:firstLine="0" w:firstLineChars="0"/>
              <w:jc w:val="center"/>
              <w:textAlignment w:val="bottom"/>
              <w:rPr>
                <w:rFonts w:hint="eastAsia" w:ascii="仿宋_GB2312" w:hAnsi="宋体" w:eastAsia="仿宋_GB2312" w:cs="仿宋_GB2312"/>
                <w:i w:val="0"/>
                <w:iCs w:val="0"/>
                <w:color w:val="000000"/>
                <w:kern w:val="2"/>
                <w:sz w:val="28"/>
                <w:szCs w:val="28"/>
                <w:u w:val="none"/>
                <w:lang w:val="en-US" w:eastAsia="zh-CN" w:bidi="ar-SA"/>
              </w:rPr>
            </w:pPr>
            <w:r>
              <w:rPr>
                <w:rFonts w:hint="default" w:ascii="仿宋_GB2312" w:hAnsi="宋体" w:eastAsia="仿宋_GB2312" w:cs="仿宋_GB2312"/>
                <w:i w:val="0"/>
                <w:iCs w:val="0"/>
                <w:color w:val="000000"/>
                <w:kern w:val="0"/>
                <w:sz w:val="28"/>
                <w:szCs w:val="28"/>
                <w:u w:val="none"/>
                <w:lang w:val="en-US" w:eastAsia="zh-CN" w:bidi="ar"/>
              </w:rPr>
              <w:t>通过文体教育建设与公共卫生与计划生育管理，提高辖区居民文体综合素养与基本公共卫生服务水平。</w:t>
            </w:r>
          </w:p>
        </w:tc>
        <w:tc>
          <w:tcPr>
            <w:tcW w:w="853" w:type="pct"/>
            <w:tcBorders>
              <w:top w:val="single" w:color="auto" w:sz="4" w:space="0"/>
              <w:left w:val="single" w:color="auto" w:sz="4" w:space="0"/>
              <w:bottom w:val="single" w:color="auto" w:sz="4" w:space="0"/>
              <w:right w:val="nil"/>
            </w:tcBorders>
            <w:shd w:val="clear" w:color="auto" w:fill="auto"/>
            <w:noWrap w:val="0"/>
            <w:tcMar>
              <w:top w:w="-1" w:type="dxa"/>
              <w:left w:w="-1" w:type="dxa"/>
              <w:bottom w:w="-1" w:type="dxa"/>
              <w:right w:w="-1" w:type="dxa"/>
            </w:tcMar>
            <w:vAlign w:val="center"/>
          </w:tcPr>
          <w:p w14:paraId="06F259B9">
            <w:pPr>
              <w:keepNext/>
              <w:keepLines w:val="0"/>
              <w:widowControl/>
              <w:suppressLineNumbers w:val="0"/>
              <w:snapToGrid w:val="0"/>
              <w:ind w:left="0" w:leftChars="0" w:right="0" w:rightChars="0" w:firstLine="0" w:firstLineChars="0"/>
              <w:jc w:val="left"/>
              <w:textAlignment w:val="bottom"/>
              <w:rPr>
                <w:rFonts w:hint="eastAsia" w:ascii="仿宋_GB2312" w:hAnsi="宋体" w:eastAsia="仿宋_GB2312" w:cs="仿宋_GB2312"/>
                <w:i w:val="0"/>
                <w:iCs w:val="0"/>
                <w:color w:val="000000"/>
                <w:kern w:val="2"/>
                <w:sz w:val="28"/>
                <w:szCs w:val="28"/>
                <w:u w:val="none"/>
                <w:lang w:val="en-US" w:eastAsia="zh-CN" w:bidi="ar-SA"/>
              </w:rPr>
            </w:pPr>
            <w:r>
              <w:rPr>
                <w:rFonts w:hint="default" w:ascii="仿宋_GB2312" w:hAnsi="宋体" w:eastAsia="仿宋_GB2312" w:cs="仿宋_GB2312"/>
                <w:i w:val="0"/>
                <w:iCs w:val="0"/>
                <w:color w:val="000000"/>
                <w:kern w:val="0"/>
                <w:sz w:val="28"/>
                <w:szCs w:val="28"/>
                <w:u w:val="none"/>
                <w:lang w:val="en-US" w:eastAsia="zh-CN" w:bidi="ar"/>
              </w:rPr>
              <w:t>≥</w:t>
            </w:r>
          </w:p>
        </w:tc>
        <w:tc>
          <w:tcPr>
            <w:tcW w:w="683" w:type="pct"/>
            <w:tcBorders>
              <w:top w:val="single" w:color="auto" w:sz="4" w:space="0"/>
              <w:left w:val="single" w:color="auto" w:sz="4" w:space="0"/>
              <w:bottom w:val="single" w:color="auto" w:sz="4" w:space="0"/>
              <w:right w:val="nil"/>
            </w:tcBorders>
            <w:shd w:val="clear" w:color="auto" w:fill="auto"/>
            <w:noWrap w:val="0"/>
            <w:tcMar>
              <w:top w:w="-1" w:type="dxa"/>
              <w:left w:w="-1" w:type="dxa"/>
              <w:bottom w:w="-1" w:type="dxa"/>
              <w:right w:w="-1" w:type="dxa"/>
            </w:tcMar>
            <w:vAlign w:val="center"/>
          </w:tcPr>
          <w:p w14:paraId="7FEA9FC2">
            <w:pPr>
              <w:keepNext/>
              <w:keepLines w:val="0"/>
              <w:widowControl/>
              <w:suppressLineNumbers w:val="0"/>
              <w:snapToGrid w:val="0"/>
              <w:ind w:left="0" w:leftChars="0" w:right="0" w:rightChars="0" w:firstLine="0" w:firstLineChars="0"/>
              <w:jc w:val="center"/>
              <w:textAlignment w:val="bottom"/>
              <w:rPr>
                <w:rFonts w:hint="eastAsia" w:ascii="仿宋_GB2312" w:hAnsi="宋体" w:eastAsia="仿宋_GB2312" w:cs="仿宋_GB2312"/>
                <w:i w:val="0"/>
                <w:iCs w:val="0"/>
                <w:color w:val="000000"/>
                <w:kern w:val="2"/>
                <w:sz w:val="28"/>
                <w:szCs w:val="28"/>
                <w:u w:val="none"/>
                <w:lang w:val="en-US" w:eastAsia="zh-CN" w:bidi="ar-SA"/>
              </w:rPr>
            </w:pPr>
            <w:r>
              <w:rPr>
                <w:rFonts w:hint="default" w:ascii="仿宋_GB2312" w:hAnsi="宋体" w:eastAsia="仿宋_GB2312" w:cs="仿宋_GB2312"/>
                <w:i w:val="0"/>
                <w:iCs w:val="0"/>
                <w:color w:val="000000"/>
                <w:kern w:val="0"/>
                <w:sz w:val="28"/>
                <w:szCs w:val="28"/>
                <w:u w:val="none"/>
                <w:lang w:val="en-US" w:eastAsia="zh-CN" w:bidi="ar"/>
              </w:rPr>
              <w:t>90</w:t>
            </w:r>
          </w:p>
        </w:tc>
        <w:tc>
          <w:tcPr>
            <w:tcW w:w="855" w:type="pct"/>
            <w:tcBorders>
              <w:top w:val="single" w:color="auto" w:sz="4" w:space="0"/>
              <w:left w:val="single" w:color="auto" w:sz="4" w:space="0"/>
              <w:bottom w:val="single" w:color="auto" w:sz="4" w:space="0"/>
              <w:right w:val="nil"/>
            </w:tcBorders>
            <w:shd w:val="clear" w:color="auto" w:fill="auto"/>
            <w:noWrap w:val="0"/>
            <w:tcMar>
              <w:top w:w="-1" w:type="dxa"/>
              <w:left w:w="-1" w:type="dxa"/>
              <w:bottom w:w="-1" w:type="dxa"/>
              <w:right w:w="-1" w:type="dxa"/>
            </w:tcMar>
            <w:vAlign w:val="center"/>
          </w:tcPr>
          <w:p w14:paraId="45A1E1F0">
            <w:pPr>
              <w:keepNext/>
              <w:keepLines w:val="0"/>
              <w:widowControl/>
              <w:suppressLineNumbers w:val="0"/>
              <w:snapToGrid w:val="0"/>
              <w:ind w:left="0" w:leftChars="0" w:right="0" w:rightChars="0" w:firstLine="0" w:firstLineChars="0"/>
              <w:jc w:val="center"/>
              <w:textAlignment w:val="top"/>
              <w:rPr>
                <w:rFonts w:hint="eastAsia" w:ascii="仿宋_GB2312" w:hAnsi="宋体" w:eastAsia="仿宋_GB2312" w:cs="仿宋_GB2312"/>
                <w:i w:val="0"/>
                <w:iCs w:val="0"/>
                <w:color w:val="000000"/>
                <w:kern w:val="2"/>
                <w:sz w:val="28"/>
                <w:szCs w:val="28"/>
                <w:u w:val="none"/>
                <w:lang w:val="en-US" w:eastAsia="zh-CN" w:bidi="ar-SA"/>
              </w:rPr>
            </w:pPr>
            <w:r>
              <w:rPr>
                <w:rFonts w:hint="default" w:ascii="仿宋_GB2312" w:hAnsi="宋体" w:eastAsia="仿宋_GB2312" w:cs="仿宋_GB2312"/>
                <w:i w:val="0"/>
                <w:iCs w:val="0"/>
                <w:color w:val="000000"/>
                <w:kern w:val="0"/>
                <w:sz w:val="28"/>
                <w:szCs w:val="28"/>
                <w:u w:val="none"/>
                <w:lang w:val="en-US" w:eastAsia="zh-CN" w:bidi="ar"/>
              </w:rPr>
              <w:t>%</w:t>
            </w:r>
          </w:p>
        </w:tc>
        <w:tc>
          <w:tcPr>
            <w:tcW w:w="987" w:type="pct"/>
            <w:tcBorders>
              <w:top w:val="single" w:color="auto" w:sz="4" w:space="0"/>
              <w:left w:val="single" w:color="auto" w:sz="4" w:space="0"/>
              <w:bottom w:val="single" w:color="auto" w:sz="4" w:space="0"/>
              <w:right w:val="single" w:color="auto" w:sz="4" w:space="0"/>
            </w:tcBorders>
            <w:shd w:val="clear" w:color="auto" w:fill="auto"/>
            <w:noWrap w:val="0"/>
            <w:tcMar>
              <w:top w:w="-1" w:type="dxa"/>
              <w:left w:w="-1" w:type="dxa"/>
              <w:bottom w:w="-1" w:type="dxa"/>
              <w:right w:w="-1" w:type="dxa"/>
            </w:tcMar>
            <w:vAlign w:val="center"/>
          </w:tcPr>
          <w:p w14:paraId="6A72EC11">
            <w:pPr>
              <w:keepNext/>
              <w:keepLines w:val="0"/>
              <w:widowControl/>
              <w:suppressLineNumbers w:val="0"/>
              <w:snapToGrid w:val="0"/>
              <w:ind w:left="0" w:leftChars="0" w:right="0" w:rightChars="0" w:firstLine="0" w:firstLineChars="0"/>
              <w:jc w:val="center"/>
              <w:textAlignment w:val="center"/>
              <w:rPr>
                <w:rFonts w:hint="eastAsia" w:ascii="仿宋_GB2312" w:hAnsi="宋体" w:eastAsia="仿宋_GB2312" w:cs="宋体"/>
                <w:i w:val="0"/>
                <w:iCs w:val="0"/>
                <w:color w:val="000000"/>
                <w:kern w:val="2"/>
                <w:sz w:val="28"/>
                <w:szCs w:val="22"/>
                <w:u w:val="none"/>
                <w:lang w:val="en-US" w:eastAsia="zh-CN" w:bidi="ar-SA"/>
              </w:rPr>
            </w:pPr>
            <w:r>
              <w:rPr>
                <w:rFonts w:hint="eastAsia" w:ascii="仿宋_GB2312" w:hAnsi="宋体" w:eastAsia="仿宋_GB2312" w:cs="宋体"/>
                <w:i w:val="0"/>
                <w:iCs w:val="0"/>
                <w:color w:val="000000"/>
                <w:kern w:val="0"/>
                <w:sz w:val="28"/>
                <w:szCs w:val="22"/>
                <w:u w:val="none"/>
                <w:lang w:val="en-US" w:eastAsia="zh-CN" w:bidi="ar"/>
              </w:rPr>
              <w:t>5</w:t>
            </w:r>
          </w:p>
        </w:tc>
      </w:tr>
      <w:tr w14:paraId="1BEF7519">
        <w:tblPrEx>
          <w:tblCellMar>
            <w:top w:w="0" w:type="dxa"/>
            <w:left w:w="108" w:type="dxa"/>
            <w:bottom w:w="0" w:type="dxa"/>
            <w:right w:w="108" w:type="dxa"/>
          </w:tblCellMar>
        </w:tblPrEx>
        <w:trPr>
          <w:trHeight w:val="275" w:hRule="atLeast"/>
        </w:trPr>
        <w:tc>
          <w:tcPr>
            <w:tcW w:w="680" w:type="pct"/>
            <w:tcBorders>
              <w:top w:val="single" w:color="auto" w:sz="4" w:space="0"/>
              <w:left w:val="single" w:color="auto" w:sz="4" w:space="0"/>
              <w:bottom w:val="single" w:color="auto" w:sz="4" w:space="0"/>
              <w:right w:val="nil"/>
            </w:tcBorders>
            <w:noWrap w:val="0"/>
            <w:tcMar>
              <w:top w:w="-1" w:type="dxa"/>
              <w:left w:w="-1" w:type="dxa"/>
              <w:bottom w:w="-1" w:type="dxa"/>
              <w:right w:w="-1" w:type="dxa"/>
            </w:tcMar>
            <w:vAlign w:val="bottom"/>
          </w:tcPr>
          <w:p w14:paraId="19E2BA25">
            <w:pPr>
              <w:spacing w:line="520" w:lineRule="exact"/>
              <w:jc w:val="center"/>
              <w:rPr>
                <w:rFonts w:hint="default" w:ascii="仿宋_GB2312" w:eastAsia="仿宋_GB2312"/>
                <w:sz w:val="28"/>
                <w:szCs w:val="28"/>
                <w:lang w:val="en-US" w:eastAsia="zh-CN"/>
              </w:rPr>
            </w:pPr>
            <w:r>
              <w:rPr>
                <w:rFonts w:hint="eastAsia" w:ascii="仿宋_GB2312" w:eastAsia="仿宋_GB2312"/>
                <w:sz w:val="28"/>
                <w:szCs w:val="28"/>
                <w:lang w:val="en-US" w:eastAsia="zh-CN"/>
              </w:rPr>
              <w:t>12</w:t>
            </w:r>
          </w:p>
        </w:tc>
        <w:tc>
          <w:tcPr>
            <w:tcW w:w="941" w:type="pct"/>
            <w:tcBorders>
              <w:top w:val="single" w:color="auto" w:sz="4" w:space="0"/>
              <w:left w:val="single" w:color="auto" w:sz="4" w:space="0"/>
              <w:bottom w:val="single" w:color="auto" w:sz="4" w:space="0"/>
              <w:right w:val="nil"/>
            </w:tcBorders>
            <w:shd w:val="clear" w:color="auto" w:fill="auto"/>
            <w:noWrap w:val="0"/>
            <w:tcMar>
              <w:top w:w="-1" w:type="dxa"/>
              <w:left w:w="-1" w:type="dxa"/>
              <w:bottom w:w="-1" w:type="dxa"/>
              <w:right w:w="-1" w:type="dxa"/>
            </w:tcMar>
            <w:vAlign w:val="center"/>
          </w:tcPr>
          <w:p w14:paraId="0E8A9E85">
            <w:pPr>
              <w:keepNext/>
              <w:keepLines w:val="0"/>
              <w:widowControl/>
              <w:suppressLineNumbers w:val="0"/>
              <w:snapToGrid w:val="0"/>
              <w:ind w:left="0" w:leftChars="0" w:right="0" w:rightChars="0" w:firstLine="0" w:firstLineChars="0"/>
              <w:jc w:val="center"/>
              <w:textAlignment w:val="bottom"/>
              <w:rPr>
                <w:rFonts w:hint="eastAsia" w:ascii="仿宋_GB2312" w:hAnsi="宋体" w:eastAsia="仿宋_GB2312" w:cs="仿宋_GB2312"/>
                <w:i w:val="0"/>
                <w:iCs w:val="0"/>
                <w:color w:val="000000"/>
                <w:kern w:val="2"/>
                <w:sz w:val="28"/>
                <w:szCs w:val="28"/>
                <w:u w:val="none"/>
                <w:lang w:val="en-US" w:eastAsia="zh-CN" w:bidi="ar-SA"/>
              </w:rPr>
            </w:pPr>
            <w:r>
              <w:rPr>
                <w:rFonts w:hint="default" w:ascii="仿宋_GB2312" w:hAnsi="宋体" w:eastAsia="仿宋_GB2312" w:cs="仿宋_GB2312"/>
                <w:i w:val="0"/>
                <w:iCs w:val="0"/>
                <w:color w:val="000000"/>
                <w:kern w:val="0"/>
                <w:sz w:val="28"/>
                <w:szCs w:val="28"/>
                <w:u w:val="none"/>
                <w:lang w:val="en-US" w:eastAsia="zh-CN" w:bidi="ar"/>
              </w:rPr>
              <w:t>群众满意率</w:t>
            </w:r>
          </w:p>
        </w:tc>
        <w:tc>
          <w:tcPr>
            <w:tcW w:w="853" w:type="pct"/>
            <w:tcBorders>
              <w:top w:val="single" w:color="auto" w:sz="4" w:space="0"/>
              <w:left w:val="single" w:color="auto" w:sz="4" w:space="0"/>
              <w:bottom w:val="single" w:color="auto" w:sz="4" w:space="0"/>
              <w:right w:val="nil"/>
            </w:tcBorders>
            <w:shd w:val="clear" w:color="auto" w:fill="auto"/>
            <w:noWrap w:val="0"/>
            <w:tcMar>
              <w:top w:w="-1" w:type="dxa"/>
              <w:left w:w="-1" w:type="dxa"/>
              <w:bottom w:w="-1" w:type="dxa"/>
              <w:right w:w="-1" w:type="dxa"/>
            </w:tcMar>
            <w:vAlign w:val="center"/>
          </w:tcPr>
          <w:p w14:paraId="4D6E9D0A">
            <w:pPr>
              <w:keepNext/>
              <w:keepLines w:val="0"/>
              <w:widowControl/>
              <w:suppressLineNumbers w:val="0"/>
              <w:snapToGrid w:val="0"/>
              <w:ind w:left="0" w:leftChars="0" w:right="0" w:rightChars="0" w:firstLine="0" w:firstLineChars="0"/>
              <w:jc w:val="left"/>
              <w:textAlignment w:val="bottom"/>
              <w:rPr>
                <w:rFonts w:hint="eastAsia" w:ascii="仿宋_GB2312" w:hAnsi="宋体" w:eastAsia="仿宋_GB2312" w:cs="仿宋_GB2312"/>
                <w:i w:val="0"/>
                <w:iCs w:val="0"/>
                <w:color w:val="000000"/>
                <w:kern w:val="2"/>
                <w:sz w:val="28"/>
                <w:szCs w:val="28"/>
                <w:u w:val="none"/>
                <w:lang w:val="en-US" w:eastAsia="zh-CN" w:bidi="ar-SA"/>
              </w:rPr>
            </w:pPr>
            <w:r>
              <w:rPr>
                <w:rFonts w:hint="default" w:ascii="仿宋_GB2312" w:hAnsi="宋体" w:eastAsia="仿宋_GB2312" w:cs="仿宋_GB2312"/>
                <w:i w:val="0"/>
                <w:iCs w:val="0"/>
                <w:color w:val="000000"/>
                <w:kern w:val="0"/>
                <w:sz w:val="28"/>
                <w:szCs w:val="28"/>
                <w:u w:val="none"/>
                <w:lang w:val="en-US" w:eastAsia="zh-CN" w:bidi="ar"/>
              </w:rPr>
              <w:t>≥</w:t>
            </w:r>
          </w:p>
        </w:tc>
        <w:tc>
          <w:tcPr>
            <w:tcW w:w="683" w:type="pct"/>
            <w:tcBorders>
              <w:top w:val="single" w:color="auto" w:sz="4" w:space="0"/>
              <w:left w:val="single" w:color="auto" w:sz="4" w:space="0"/>
              <w:bottom w:val="single" w:color="auto" w:sz="4" w:space="0"/>
              <w:right w:val="nil"/>
            </w:tcBorders>
            <w:shd w:val="clear" w:color="auto" w:fill="auto"/>
            <w:noWrap w:val="0"/>
            <w:tcMar>
              <w:top w:w="-1" w:type="dxa"/>
              <w:left w:w="-1" w:type="dxa"/>
              <w:bottom w:w="-1" w:type="dxa"/>
              <w:right w:w="-1" w:type="dxa"/>
            </w:tcMar>
            <w:vAlign w:val="center"/>
          </w:tcPr>
          <w:p w14:paraId="4317D92A">
            <w:pPr>
              <w:keepNext/>
              <w:keepLines w:val="0"/>
              <w:widowControl/>
              <w:suppressLineNumbers w:val="0"/>
              <w:snapToGrid w:val="0"/>
              <w:ind w:left="0" w:leftChars="0" w:right="0" w:rightChars="0" w:firstLine="0" w:firstLineChars="0"/>
              <w:jc w:val="center"/>
              <w:textAlignment w:val="bottom"/>
              <w:rPr>
                <w:rFonts w:hint="eastAsia" w:ascii="仿宋_GB2312" w:hAnsi="宋体" w:eastAsia="仿宋_GB2312" w:cs="仿宋_GB2312"/>
                <w:i w:val="0"/>
                <w:iCs w:val="0"/>
                <w:color w:val="000000"/>
                <w:kern w:val="2"/>
                <w:sz w:val="28"/>
                <w:szCs w:val="28"/>
                <w:u w:val="none"/>
                <w:lang w:val="en-US" w:eastAsia="zh-CN" w:bidi="ar-SA"/>
              </w:rPr>
            </w:pPr>
            <w:r>
              <w:rPr>
                <w:rFonts w:hint="default" w:ascii="仿宋_GB2312" w:hAnsi="宋体" w:eastAsia="仿宋_GB2312" w:cs="仿宋_GB2312"/>
                <w:i w:val="0"/>
                <w:iCs w:val="0"/>
                <w:color w:val="000000"/>
                <w:kern w:val="0"/>
                <w:sz w:val="28"/>
                <w:szCs w:val="28"/>
                <w:u w:val="none"/>
                <w:lang w:val="en-US" w:eastAsia="zh-CN" w:bidi="ar"/>
              </w:rPr>
              <w:t>90</w:t>
            </w:r>
          </w:p>
        </w:tc>
        <w:tc>
          <w:tcPr>
            <w:tcW w:w="855" w:type="pct"/>
            <w:tcBorders>
              <w:top w:val="single" w:color="auto" w:sz="4" w:space="0"/>
              <w:left w:val="single" w:color="auto" w:sz="4" w:space="0"/>
              <w:bottom w:val="single" w:color="auto" w:sz="4" w:space="0"/>
              <w:right w:val="nil"/>
            </w:tcBorders>
            <w:shd w:val="clear" w:color="auto" w:fill="auto"/>
            <w:noWrap w:val="0"/>
            <w:tcMar>
              <w:top w:w="-1" w:type="dxa"/>
              <w:left w:w="-1" w:type="dxa"/>
              <w:bottom w:w="-1" w:type="dxa"/>
              <w:right w:w="-1" w:type="dxa"/>
            </w:tcMar>
            <w:vAlign w:val="center"/>
          </w:tcPr>
          <w:p w14:paraId="264FFA64">
            <w:pPr>
              <w:keepNext/>
              <w:keepLines w:val="0"/>
              <w:widowControl/>
              <w:suppressLineNumbers w:val="0"/>
              <w:snapToGrid w:val="0"/>
              <w:ind w:left="0" w:leftChars="0" w:right="0" w:rightChars="0" w:firstLine="0" w:firstLineChars="0"/>
              <w:jc w:val="center"/>
              <w:textAlignment w:val="top"/>
              <w:rPr>
                <w:rFonts w:hint="eastAsia" w:ascii="仿宋_GB2312" w:hAnsi="宋体" w:eastAsia="仿宋_GB2312" w:cs="仿宋_GB2312"/>
                <w:i w:val="0"/>
                <w:iCs w:val="0"/>
                <w:color w:val="000000"/>
                <w:kern w:val="2"/>
                <w:sz w:val="28"/>
                <w:szCs w:val="28"/>
                <w:u w:val="none"/>
                <w:lang w:val="en-US" w:eastAsia="zh-CN" w:bidi="ar-SA"/>
              </w:rPr>
            </w:pPr>
            <w:r>
              <w:rPr>
                <w:rFonts w:hint="default" w:ascii="仿宋_GB2312" w:hAnsi="宋体" w:eastAsia="仿宋_GB2312" w:cs="仿宋_GB2312"/>
                <w:i w:val="0"/>
                <w:iCs w:val="0"/>
                <w:color w:val="000000"/>
                <w:kern w:val="0"/>
                <w:sz w:val="28"/>
                <w:szCs w:val="28"/>
                <w:u w:val="none"/>
                <w:lang w:val="en-US" w:eastAsia="zh-CN" w:bidi="ar"/>
              </w:rPr>
              <w:t>%</w:t>
            </w:r>
          </w:p>
        </w:tc>
        <w:tc>
          <w:tcPr>
            <w:tcW w:w="987" w:type="pct"/>
            <w:tcBorders>
              <w:top w:val="single" w:color="auto" w:sz="4" w:space="0"/>
              <w:left w:val="single" w:color="auto" w:sz="4" w:space="0"/>
              <w:bottom w:val="single" w:color="auto" w:sz="4" w:space="0"/>
              <w:right w:val="single" w:color="auto" w:sz="4" w:space="0"/>
            </w:tcBorders>
            <w:shd w:val="clear" w:color="auto" w:fill="auto"/>
            <w:noWrap w:val="0"/>
            <w:tcMar>
              <w:top w:w="-1" w:type="dxa"/>
              <w:left w:w="-1" w:type="dxa"/>
              <w:bottom w:w="-1" w:type="dxa"/>
              <w:right w:w="-1" w:type="dxa"/>
            </w:tcMar>
            <w:vAlign w:val="center"/>
          </w:tcPr>
          <w:p w14:paraId="7865485A">
            <w:pPr>
              <w:keepNext/>
              <w:keepLines w:val="0"/>
              <w:widowControl/>
              <w:suppressLineNumbers w:val="0"/>
              <w:snapToGrid w:val="0"/>
              <w:ind w:left="0" w:leftChars="0" w:right="0" w:rightChars="0" w:firstLine="0" w:firstLineChars="0"/>
              <w:jc w:val="center"/>
              <w:textAlignment w:val="center"/>
              <w:rPr>
                <w:rFonts w:hint="eastAsia" w:ascii="仿宋_GB2312" w:hAnsi="宋体" w:eastAsia="仿宋_GB2312" w:cs="宋体"/>
                <w:i w:val="0"/>
                <w:iCs w:val="0"/>
                <w:color w:val="000000"/>
                <w:kern w:val="2"/>
                <w:sz w:val="28"/>
                <w:szCs w:val="22"/>
                <w:u w:val="none"/>
                <w:lang w:val="en-US" w:eastAsia="zh-CN" w:bidi="ar-SA"/>
              </w:rPr>
            </w:pPr>
            <w:r>
              <w:rPr>
                <w:rFonts w:hint="eastAsia" w:ascii="仿宋_GB2312" w:hAnsi="宋体" w:eastAsia="仿宋_GB2312" w:cs="宋体"/>
                <w:i w:val="0"/>
                <w:iCs w:val="0"/>
                <w:color w:val="000000"/>
                <w:kern w:val="0"/>
                <w:sz w:val="28"/>
                <w:szCs w:val="22"/>
                <w:u w:val="none"/>
                <w:lang w:val="en-US" w:eastAsia="zh-CN" w:bidi="ar"/>
              </w:rPr>
              <w:t>5</w:t>
            </w:r>
          </w:p>
        </w:tc>
      </w:tr>
      <w:tr w14:paraId="35F382FE">
        <w:tblPrEx>
          <w:tblCellMar>
            <w:top w:w="0" w:type="dxa"/>
            <w:left w:w="108" w:type="dxa"/>
            <w:bottom w:w="0" w:type="dxa"/>
            <w:right w:w="108" w:type="dxa"/>
          </w:tblCellMar>
        </w:tblPrEx>
        <w:trPr>
          <w:trHeight w:val="275" w:hRule="atLeast"/>
        </w:trPr>
        <w:tc>
          <w:tcPr>
            <w:tcW w:w="680" w:type="pct"/>
            <w:tcBorders>
              <w:top w:val="single" w:color="auto" w:sz="4" w:space="0"/>
              <w:left w:val="single" w:color="auto" w:sz="4" w:space="0"/>
              <w:bottom w:val="single" w:color="auto" w:sz="4" w:space="0"/>
              <w:right w:val="nil"/>
            </w:tcBorders>
            <w:noWrap w:val="0"/>
            <w:tcMar>
              <w:top w:w="-1" w:type="dxa"/>
              <w:left w:w="-1" w:type="dxa"/>
              <w:bottom w:w="-1" w:type="dxa"/>
              <w:right w:w="-1" w:type="dxa"/>
            </w:tcMar>
            <w:vAlign w:val="bottom"/>
          </w:tcPr>
          <w:p w14:paraId="6344BFCB">
            <w:pPr>
              <w:spacing w:line="520" w:lineRule="exact"/>
              <w:jc w:val="center"/>
              <w:rPr>
                <w:rFonts w:hint="default" w:ascii="仿宋_GB2312" w:eastAsia="仿宋_GB2312"/>
                <w:sz w:val="28"/>
                <w:szCs w:val="28"/>
                <w:lang w:val="en-US" w:eastAsia="zh-CN"/>
              </w:rPr>
            </w:pPr>
            <w:r>
              <w:rPr>
                <w:rFonts w:hint="eastAsia" w:ascii="仿宋_GB2312" w:eastAsia="仿宋_GB2312"/>
                <w:sz w:val="28"/>
                <w:szCs w:val="28"/>
                <w:lang w:val="en-US" w:eastAsia="zh-CN"/>
              </w:rPr>
              <w:t>13</w:t>
            </w:r>
          </w:p>
        </w:tc>
        <w:tc>
          <w:tcPr>
            <w:tcW w:w="941" w:type="pct"/>
            <w:tcBorders>
              <w:top w:val="single" w:color="auto" w:sz="4" w:space="0"/>
              <w:left w:val="single" w:color="auto" w:sz="4" w:space="0"/>
              <w:bottom w:val="single" w:color="auto" w:sz="4" w:space="0"/>
              <w:right w:val="nil"/>
            </w:tcBorders>
            <w:shd w:val="clear" w:color="auto" w:fill="auto"/>
            <w:noWrap w:val="0"/>
            <w:tcMar>
              <w:top w:w="-1" w:type="dxa"/>
              <w:left w:w="-1" w:type="dxa"/>
              <w:bottom w:w="-1" w:type="dxa"/>
              <w:right w:w="-1" w:type="dxa"/>
            </w:tcMar>
            <w:vAlign w:val="center"/>
          </w:tcPr>
          <w:p w14:paraId="093FA3FF">
            <w:pPr>
              <w:keepNext/>
              <w:keepLines w:val="0"/>
              <w:widowControl/>
              <w:suppressLineNumbers w:val="0"/>
              <w:snapToGrid w:val="0"/>
              <w:ind w:left="0" w:leftChars="0" w:right="0" w:rightChars="0" w:firstLine="0" w:firstLineChars="0"/>
              <w:jc w:val="center"/>
              <w:textAlignment w:val="bottom"/>
              <w:rPr>
                <w:rFonts w:hint="eastAsia" w:ascii="仿宋_GB2312" w:hAnsi="宋体" w:eastAsia="仿宋_GB2312" w:cs="仿宋_GB2312"/>
                <w:i w:val="0"/>
                <w:iCs w:val="0"/>
                <w:color w:val="000000"/>
                <w:kern w:val="2"/>
                <w:sz w:val="28"/>
                <w:szCs w:val="28"/>
                <w:u w:val="none"/>
                <w:lang w:val="en-US" w:eastAsia="zh-CN" w:bidi="ar-SA"/>
              </w:rPr>
            </w:pPr>
            <w:r>
              <w:rPr>
                <w:rFonts w:hint="default" w:ascii="仿宋_GB2312" w:hAnsi="宋体" w:eastAsia="仿宋_GB2312" w:cs="仿宋_GB2312"/>
                <w:i w:val="0"/>
                <w:iCs w:val="0"/>
                <w:color w:val="000000"/>
                <w:kern w:val="0"/>
                <w:sz w:val="28"/>
                <w:szCs w:val="28"/>
                <w:u w:val="none"/>
                <w:lang w:val="en-US" w:eastAsia="zh-CN" w:bidi="ar"/>
              </w:rPr>
              <w:t>事件处理有效率</w:t>
            </w:r>
          </w:p>
        </w:tc>
        <w:tc>
          <w:tcPr>
            <w:tcW w:w="853" w:type="pct"/>
            <w:tcBorders>
              <w:top w:val="single" w:color="auto" w:sz="4" w:space="0"/>
              <w:left w:val="single" w:color="auto" w:sz="4" w:space="0"/>
              <w:bottom w:val="single" w:color="auto" w:sz="4" w:space="0"/>
              <w:right w:val="nil"/>
            </w:tcBorders>
            <w:shd w:val="clear" w:color="auto" w:fill="auto"/>
            <w:noWrap w:val="0"/>
            <w:tcMar>
              <w:top w:w="-1" w:type="dxa"/>
              <w:left w:w="-1" w:type="dxa"/>
              <w:bottom w:w="-1" w:type="dxa"/>
              <w:right w:w="-1" w:type="dxa"/>
            </w:tcMar>
            <w:vAlign w:val="center"/>
          </w:tcPr>
          <w:p w14:paraId="3D15C65E">
            <w:pPr>
              <w:keepNext/>
              <w:keepLines w:val="0"/>
              <w:widowControl/>
              <w:suppressLineNumbers w:val="0"/>
              <w:snapToGrid w:val="0"/>
              <w:ind w:left="0" w:leftChars="0" w:right="0" w:rightChars="0" w:firstLine="0" w:firstLineChars="0"/>
              <w:jc w:val="left"/>
              <w:textAlignment w:val="bottom"/>
              <w:rPr>
                <w:rFonts w:hint="eastAsia" w:ascii="仿宋_GB2312" w:hAnsi="宋体" w:eastAsia="仿宋_GB2312" w:cs="仿宋_GB2312"/>
                <w:i w:val="0"/>
                <w:iCs w:val="0"/>
                <w:color w:val="000000"/>
                <w:kern w:val="2"/>
                <w:sz w:val="28"/>
                <w:szCs w:val="28"/>
                <w:u w:val="none"/>
                <w:lang w:val="en-US" w:eastAsia="zh-CN" w:bidi="ar-SA"/>
              </w:rPr>
            </w:pPr>
            <w:r>
              <w:rPr>
                <w:rFonts w:hint="default" w:ascii="仿宋_GB2312" w:hAnsi="宋体" w:eastAsia="仿宋_GB2312" w:cs="仿宋_GB2312"/>
                <w:i w:val="0"/>
                <w:iCs w:val="0"/>
                <w:color w:val="000000"/>
                <w:kern w:val="0"/>
                <w:sz w:val="28"/>
                <w:szCs w:val="28"/>
                <w:u w:val="none"/>
                <w:lang w:val="en-US" w:eastAsia="zh-CN" w:bidi="ar"/>
              </w:rPr>
              <w:t>≥</w:t>
            </w:r>
          </w:p>
        </w:tc>
        <w:tc>
          <w:tcPr>
            <w:tcW w:w="683" w:type="pct"/>
            <w:tcBorders>
              <w:top w:val="single" w:color="auto" w:sz="4" w:space="0"/>
              <w:left w:val="single" w:color="auto" w:sz="4" w:space="0"/>
              <w:bottom w:val="single" w:color="auto" w:sz="4" w:space="0"/>
              <w:right w:val="nil"/>
            </w:tcBorders>
            <w:shd w:val="clear" w:color="auto" w:fill="auto"/>
            <w:noWrap w:val="0"/>
            <w:tcMar>
              <w:top w:w="-1" w:type="dxa"/>
              <w:left w:w="-1" w:type="dxa"/>
              <w:bottom w:w="-1" w:type="dxa"/>
              <w:right w:w="-1" w:type="dxa"/>
            </w:tcMar>
            <w:vAlign w:val="center"/>
          </w:tcPr>
          <w:p w14:paraId="63D0C8DE">
            <w:pPr>
              <w:keepNext/>
              <w:keepLines w:val="0"/>
              <w:widowControl/>
              <w:suppressLineNumbers w:val="0"/>
              <w:snapToGrid w:val="0"/>
              <w:ind w:left="0" w:leftChars="0" w:right="0" w:rightChars="0" w:firstLine="0" w:firstLineChars="0"/>
              <w:jc w:val="center"/>
              <w:textAlignment w:val="bottom"/>
              <w:rPr>
                <w:rFonts w:hint="eastAsia" w:ascii="仿宋_GB2312" w:hAnsi="宋体" w:eastAsia="仿宋_GB2312" w:cs="仿宋_GB2312"/>
                <w:i w:val="0"/>
                <w:iCs w:val="0"/>
                <w:color w:val="000000"/>
                <w:kern w:val="2"/>
                <w:sz w:val="28"/>
                <w:szCs w:val="28"/>
                <w:u w:val="none"/>
                <w:lang w:val="en-US" w:eastAsia="zh-CN" w:bidi="ar-SA"/>
              </w:rPr>
            </w:pPr>
            <w:r>
              <w:rPr>
                <w:rFonts w:hint="default" w:ascii="仿宋_GB2312" w:hAnsi="宋体" w:eastAsia="仿宋_GB2312" w:cs="仿宋_GB2312"/>
                <w:i w:val="0"/>
                <w:iCs w:val="0"/>
                <w:color w:val="000000"/>
                <w:kern w:val="0"/>
                <w:sz w:val="28"/>
                <w:szCs w:val="28"/>
                <w:u w:val="none"/>
                <w:lang w:val="en-US" w:eastAsia="zh-CN" w:bidi="ar"/>
              </w:rPr>
              <w:t>90</w:t>
            </w:r>
          </w:p>
        </w:tc>
        <w:tc>
          <w:tcPr>
            <w:tcW w:w="855" w:type="pct"/>
            <w:tcBorders>
              <w:top w:val="single" w:color="auto" w:sz="4" w:space="0"/>
              <w:left w:val="single" w:color="auto" w:sz="4" w:space="0"/>
              <w:bottom w:val="single" w:color="auto" w:sz="4" w:space="0"/>
              <w:right w:val="nil"/>
            </w:tcBorders>
            <w:shd w:val="clear" w:color="auto" w:fill="auto"/>
            <w:noWrap w:val="0"/>
            <w:tcMar>
              <w:top w:w="-1" w:type="dxa"/>
              <w:left w:w="-1" w:type="dxa"/>
              <w:bottom w:w="-1" w:type="dxa"/>
              <w:right w:w="-1" w:type="dxa"/>
            </w:tcMar>
            <w:vAlign w:val="center"/>
          </w:tcPr>
          <w:p w14:paraId="242F504C">
            <w:pPr>
              <w:keepNext/>
              <w:keepLines w:val="0"/>
              <w:widowControl/>
              <w:suppressLineNumbers w:val="0"/>
              <w:snapToGrid w:val="0"/>
              <w:ind w:left="0" w:leftChars="0" w:right="0" w:rightChars="0" w:firstLine="0" w:firstLineChars="0"/>
              <w:jc w:val="center"/>
              <w:textAlignment w:val="top"/>
              <w:rPr>
                <w:rFonts w:hint="eastAsia" w:ascii="仿宋_GB2312" w:hAnsi="宋体" w:eastAsia="仿宋_GB2312" w:cs="仿宋_GB2312"/>
                <w:i w:val="0"/>
                <w:iCs w:val="0"/>
                <w:color w:val="000000"/>
                <w:kern w:val="2"/>
                <w:sz w:val="28"/>
                <w:szCs w:val="28"/>
                <w:u w:val="none"/>
                <w:lang w:val="en-US" w:eastAsia="zh-CN" w:bidi="ar-SA"/>
              </w:rPr>
            </w:pPr>
            <w:r>
              <w:rPr>
                <w:rFonts w:hint="default" w:ascii="仿宋_GB2312" w:hAnsi="宋体" w:eastAsia="仿宋_GB2312" w:cs="仿宋_GB2312"/>
                <w:i w:val="0"/>
                <w:iCs w:val="0"/>
                <w:color w:val="000000"/>
                <w:kern w:val="0"/>
                <w:sz w:val="28"/>
                <w:szCs w:val="28"/>
                <w:u w:val="none"/>
                <w:lang w:val="en-US" w:eastAsia="zh-CN" w:bidi="ar"/>
              </w:rPr>
              <w:t>%</w:t>
            </w:r>
          </w:p>
        </w:tc>
        <w:tc>
          <w:tcPr>
            <w:tcW w:w="987" w:type="pct"/>
            <w:tcBorders>
              <w:top w:val="single" w:color="auto" w:sz="4" w:space="0"/>
              <w:left w:val="single" w:color="auto" w:sz="4" w:space="0"/>
              <w:bottom w:val="single" w:color="auto" w:sz="4" w:space="0"/>
              <w:right w:val="single" w:color="auto" w:sz="4" w:space="0"/>
            </w:tcBorders>
            <w:shd w:val="clear" w:color="auto" w:fill="auto"/>
            <w:noWrap w:val="0"/>
            <w:tcMar>
              <w:top w:w="-1" w:type="dxa"/>
              <w:left w:w="-1" w:type="dxa"/>
              <w:bottom w:w="-1" w:type="dxa"/>
              <w:right w:w="-1" w:type="dxa"/>
            </w:tcMar>
            <w:vAlign w:val="center"/>
          </w:tcPr>
          <w:p w14:paraId="73253600">
            <w:pPr>
              <w:keepNext/>
              <w:keepLines w:val="0"/>
              <w:widowControl/>
              <w:suppressLineNumbers w:val="0"/>
              <w:snapToGrid w:val="0"/>
              <w:ind w:left="0" w:leftChars="0" w:right="0" w:rightChars="0" w:firstLine="0" w:firstLineChars="0"/>
              <w:jc w:val="center"/>
              <w:textAlignment w:val="center"/>
              <w:rPr>
                <w:rFonts w:hint="eastAsia" w:ascii="仿宋_GB2312" w:hAnsi="宋体" w:eastAsia="仿宋_GB2312" w:cs="宋体"/>
                <w:i w:val="0"/>
                <w:iCs w:val="0"/>
                <w:color w:val="000000"/>
                <w:kern w:val="2"/>
                <w:sz w:val="28"/>
                <w:szCs w:val="22"/>
                <w:u w:val="none"/>
                <w:lang w:val="en-US" w:eastAsia="zh-CN" w:bidi="ar-SA"/>
              </w:rPr>
            </w:pPr>
            <w:r>
              <w:rPr>
                <w:rFonts w:hint="eastAsia" w:ascii="仿宋_GB2312" w:hAnsi="宋体" w:eastAsia="仿宋_GB2312" w:cs="宋体"/>
                <w:i w:val="0"/>
                <w:iCs w:val="0"/>
                <w:color w:val="000000"/>
                <w:kern w:val="0"/>
                <w:sz w:val="28"/>
                <w:szCs w:val="22"/>
                <w:u w:val="none"/>
                <w:lang w:val="en-US" w:eastAsia="zh-CN" w:bidi="ar"/>
              </w:rPr>
              <w:t>5</w:t>
            </w:r>
          </w:p>
        </w:tc>
      </w:tr>
      <w:tr w14:paraId="18A58ACB">
        <w:tblPrEx>
          <w:tblCellMar>
            <w:top w:w="0" w:type="dxa"/>
            <w:left w:w="108" w:type="dxa"/>
            <w:bottom w:w="0" w:type="dxa"/>
            <w:right w:w="108" w:type="dxa"/>
          </w:tblCellMar>
        </w:tblPrEx>
        <w:trPr>
          <w:trHeight w:val="275" w:hRule="atLeast"/>
        </w:trPr>
        <w:tc>
          <w:tcPr>
            <w:tcW w:w="680" w:type="pct"/>
            <w:tcBorders>
              <w:top w:val="single" w:color="auto" w:sz="4" w:space="0"/>
              <w:left w:val="single" w:color="auto" w:sz="4" w:space="0"/>
              <w:bottom w:val="single" w:color="auto" w:sz="4" w:space="0"/>
              <w:right w:val="nil"/>
            </w:tcBorders>
            <w:noWrap w:val="0"/>
            <w:tcMar>
              <w:top w:w="-1" w:type="dxa"/>
              <w:left w:w="-1" w:type="dxa"/>
              <w:bottom w:w="-1" w:type="dxa"/>
              <w:right w:w="-1" w:type="dxa"/>
            </w:tcMar>
            <w:vAlign w:val="bottom"/>
          </w:tcPr>
          <w:p w14:paraId="60AD56A3">
            <w:pPr>
              <w:spacing w:line="520" w:lineRule="exact"/>
              <w:jc w:val="center"/>
              <w:rPr>
                <w:rFonts w:hint="default" w:ascii="仿宋_GB2312" w:eastAsia="仿宋_GB2312"/>
                <w:sz w:val="28"/>
                <w:szCs w:val="28"/>
                <w:lang w:val="en-US" w:eastAsia="zh-CN"/>
              </w:rPr>
            </w:pPr>
            <w:r>
              <w:rPr>
                <w:rFonts w:hint="eastAsia" w:ascii="仿宋_GB2312" w:eastAsia="仿宋_GB2312"/>
                <w:sz w:val="28"/>
                <w:szCs w:val="28"/>
                <w:lang w:val="en-US" w:eastAsia="zh-CN"/>
              </w:rPr>
              <w:t>14</w:t>
            </w:r>
          </w:p>
        </w:tc>
        <w:tc>
          <w:tcPr>
            <w:tcW w:w="941" w:type="pct"/>
            <w:tcBorders>
              <w:top w:val="single" w:color="auto" w:sz="4" w:space="0"/>
              <w:left w:val="single" w:color="auto" w:sz="4" w:space="0"/>
              <w:bottom w:val="single" w:color="auto" w:sz="4" w:space="0"/>
              <w:right w:val="nil"/>
            </w:tcBorders>
            <w:shd w:val="clear" w:color="auto" w:fill="auto"/>
            <w:noWrap w:val="0"/>
            <w:tcMar>
              <w:top w:w="-1" w:type="dxa"/>
              <w:left w:w="-1" w:type="dxa"/>
              <w:bottom w:w="-1" w:type="dxa"/>
              <w:right w:w="-1" w:type="dxa"/>
            </w:tcMar>
            <w:vAlign w:val="center"/>
          </w:tcPr>
          <w:p w14:paraId="1342DC45">
            <w:pPr>
              <w:keepNext/>
              <w:keepLines w:val="0"/>
              <w:widowControl/>
              <w:suppressLineNumbers w:val="0"/>
              <w:snapToGrid w:val="0"/>
              <w:ind w:left="0" w:leftChars="0" w:right="0" w:rightChars="0" w:firstLine="0" w:firstLineChars="0"/>
              <w:jc w:val="center"/>
              <w:textAlignment w:val="bottom"/>
              <w:rPr>
                <w:rFonts w:hint="eastAsia" w:ascii="仿宋_GB2312" w:hAnsi="宋体" w:eastAsia="仿宋_GB2312" w:cs="仿宋_GB2312"/>
                <w:i w:val="0"/>
                <w:iCs w:val="0"/>
                <w:color w:val="000000"/>
                <w:kern w:val="2"/>
                <w:sz w:val="28"/>
                <w:szCs w:val="28"/>
                <w:u w:val="none"/>
                <w:lang w:val="en-US" w:eastAsia="zh-CN" w:bidi="ar-SA"/>
              </w:rPr>
            </w:pPr>
            <w:r>
              <w:rPr>
                <w:rFonts w:hint="default" w:ascii="仿宋_GB2312" w:hAnsi="宋体" w:eastAsia="仿宋_GB2312" w:cs="仿宋_GB2312"/>
                <w:i w:val="0"/>
                <w:iCs w:val="0"/>
                <w:color w:val="000000"/>
                <w:kern w:val="0"/>
                <w:sz w:val="28"/>
                <w:szCs w:val="28"/>
                <w:u w:val="none"/>
                <w:lang w:val="en-US" w:eastAsia="zh-CN" w:bidi="ar"/>
              </w:rPr>
              <w:t>预防工作覆盖率</w:t>
            </w:r>
          </w:p>
        </w:tc>
        <w:tc>
          <w:tcPr>
            <w:tcW w:w="853" w:type="pct"/>
            <w:tcBorders>
              <w:top w:val="single" w:color="auto" w:sz="4" w:space="0"/>
              <w:left w:val="single" w:color="auto" w:sz="4" w:space="0"/>
              <w:bottom w:val="single" w:color="auto" w:sz="4" w:space="0"/>
              <w:right w:val="nil"/>
            </w:tcBorders>
            <w:shd w:val="clear" w:color="auto" w:fill="auto"/>
            <w:noWrap w:val="0"/>
            <w:tcMar>
              <w:top w:w="-1" w:type="dxa"/>
              <w:left w:w="-1" w:type="dxa"/>
              <w:bottom w:w="-1" w:type="dxa"/>
              <w:right w:w="-1" w:type="dxa"/>
            </w:tcMar>
            <w:vAlign w:val="center"/>
          </w:tcPr>
          <w:p w14:paraId="6AB20FB4">
            <w:pPr>
              <w:keepNext/>
              <w:keepLines w:val="0"/>
              <w:widowControl/>
              <w:suppressLineNumbers w:val="0"/>
              <w:snapToGrid w:val="0"/>
              <w:ind w:left="0" w:leftChars="0" w:right="0" w:rightChars="0" w:firstLine="0" w:firstLineChars="0"/>
              <w:jc w:val="left"/>
              <w:textAlignment w:val="bottom"/>
              <w:rPr>
                <w:rFonts w:hint="eastAsia" w:ascii="仿宋_GB2312" w:hAnsi="宋体" w:eastAsia="仿宋_GB2312" w:cs="仿宋_GB2312"/>
                <w:i w:val="0"/>
                <w:iCs w:val="0"/>
                <w:color w:val="000000"/>
                <w:kern w:val="2"/>
                <w:sz w:val="28"/>
                <w:szCs w:val="28"/>
                <w:u w:val="none"/>
                <w:lang w:val="en-US" w:eastAsia="zh-CN" w:bidi="ar-SA"/>
              </w:rPr>
            </w:pPr>
            <w:r>
              <w:rPr>
                <w:rFonts w:hint="default" w:ascii="仿宋_GB2312" w:hAnsi="宋体" w:eastAsia="仿宋_GB2312" w:cs="仿宋_GB2312"/>
                <w:i w:val="0"/>
                <w:iCs w:val="0"/>
                <w:color w:val="000000"/>
                <w:kern w:val="0"/>
                <w:sz w:val="28"/>
                <w:szCs w:val="28"/>
                <w:u w:val="none"/>
                <w:lang w:val="en-US" w:eastAsia="zh-CN" w:bidi="ar"/>
              </w:rPr>
              <w:t>≥</w:t>
            </w:r>
          </w:p>
        </w:tc>
        <w:tc>
          <w:tcPr>
            <w:tcW w:w="683" w:type="pct"/>
            <w:tcBorders>
              <w:top w:val="single" w:color="auto" w:sz="4" w:space="0"/>
              <w:left w:val="single" w:color="auto" w:sz="4" w:space="0"/>
              <w:bottom w:val="single" w:color="auto" w:sz="4" w:space="0"/>
              <w:right w:val="nil"/>
            </w:tcBorders>
            <w:shd w:val="clear" w:color="auto" w:fill="auto"/>
            <w:noWrap w:val="0"/>
            <w:tcMar>
              <w:top w:w="-1" w:type="dxa"/>
              <w:left w:w="-1" w:type="dxa"/>
              <w:bottom w:w="-1" w:type="dxa"/>
              <w:right w:w="-1" w:type="dxa"/>
            </w:tcMar>
            <w:vAlign w:val="center"/>
          </w:tcPr>
          <w:p w14:paraId="522F19F4">
            <w:pPr>
              <w:keepNext/>
              <w:keepLines w:val="0"/>
              <w:widowControl/>
              <w:suppressLineNumbers w:val="0"/>
              <w:snapToGrid w:val="0"/>
              <w:ind w:left="0" w:leftChars="0" w:right="0" w:rightChars="0" w:firstLine="0" w:firstLineChars="0"/>
              <w:jc w:val="center"/>
              <w:textAlignment w:val="bottom"/>
              <w:rPr>
                <w:rFonts w:hint="eastAsia" w:ascii="仿宋_GB2312" w:hAnsi="宋体" w:eastAsia="仿宋_GB2312" w:cs="仿宋_GB2312"/>
                <w:i w:val="0"/>
                <w:iCs w:val="0"/>
                <w:color w:val="000000"/>
                <w:kern w:val="2"/>
                <w:sz w:val="28"/>
                <w:szCs w:val="28"/>
                <w:u w:val="none"/>
                <w:lang w:val="en-US" w:eastAsia="zh-CN" w:bidi="ar-SA"/>
              </w:rPr>
            </w:pPr>
            <w:r>
              <w:rPr>
                <w:rFonts w:hint="default" w:ascii="仿宋_GB2312" w:hAnsi="宋体" w:eastAsia="仿宋_GB2312" w:cs="仿宋_GB2312"/>
                <w:i w:val="0"/>
                <w:iCs w:val="0"/>
                <w:color w:val="000000"/>
                <w:kern w:val="0"/>
                <w:sz w:val="28"/>
                <w:szCs w:val="28"/>
                <w:u w:val="none"/>
                <w:lang w:val="en-US" w:eastAsia="zh-CN" w:bidi="ar"/>
              </w:rPr>
              <w:t>90</w:t>
            </w:r>
          </w:p>
        </w:tc>
        <w:tc>
          <w:tcPr>
            <w:tcW w:w="855" w:type="pct"/>
            <w:tcBorders>
              <w:top w:val="single" w:color="auto" w:sz="4" w:space="0"/>
              <w:left w:val="single" w:color="auto" w:sz="4" w:space="0"/>
              <w:bottom w:val="single" w:color="auto" w:sz="4" w:space="0"/>
              <w:right w:val="nil"/>
            </w:tcBorders>
            <w:shd w:val="clear" w:color="auto" w:fill="auto"/>
            <w:noWrap w:val="0"/>
            <w:tcMar>
              <w:top w:w="-1" w:type="dxa"/>
              <w:left w:w="-1" w:type="dxa"/>
              <w:bottom w:w="-1" w:type="dxa"/>
              <w:right w:w="-1" w:type="dxa"/>
            </w:tcMar>
            <w:vAlign w:val="center"/>
          </w:tcPr>
          <w:p w14:paraId="025AAB15">
            <w:pPr>
              <w:keepNext/>
              <w:keepLines w:val="0"/>
              <w:widowControl/>
              <w:suppressLineNumbers w:val="0"/>
              <w:snapToGrid w:val="0"/>
              <w:ind w:left="0" w:leftChars="0" w:right="0" w:rightChars="0" w:firstLine="0" w:firstLineChars="0"/>
              <w:jc w:val="center"/>
              <w:textAlignment w:val="top"/>
              <w:rPr>
                <w:rFonts w:hint="eastAsia" w:ascii="仿宋_GB2312" w:hAnsi="宋体" w:eastAsia="仿宋_GB2312" w:cs="仿宋_GB2312"/>
                <w:i w:val="0"/>
                <w:iCs w:val="0"/>
                <w:color w:val="000000"/>
                <w:kern w:val="2"/>
                <w:sz w:val="28"/>
                <w:szCs w:val="28"/>
                <w:u w:val="none"/>
                <w:lang w:val="en-US" w:eastAsia="zh-CN" w:bidi="ar-SA"/>
              </w:rPr>
            </w:pPr>
            <w:r>
              <w:rPr>
                <w:rFonts w:hint="default" w:ascii="仿宋_GB2312" w:hAnsi="宋体" w:eastAsia="仿宋_GB2312" w:cs="仿宋_GB2312"/>
                <w:i w:val="0"/>
                <w:iCs w:val="0"/>
                <w:color w:val="000000"/>
                <w:kern w:val="0"/>
                <w:sz w:val="28"/>
                <w:szCs w:val="28"/>
                <w:u w:val="none"/>
                <w:lang w:val="en-US" w:eastAsia="zh-CN" w:bidi="ar"/>
              </w:rPr>
              <w:t>%</w:t>
            </w:r>
          </w:p>
        </w:tc>
        <w:tc>
          <w:tcPr>
            <w:tcW w:w="987" w:type="pct"/>
            <w:tcBorders>
              <w:top w:val="single" w:color="auto" w:sz="4" w:space="0"/>
              <w:left w:val="single" w:color="auto" w:sz="4" w:space="0"/>
              <w:bottom w:val="single" w:color="auto" w:sz="4" w:space="0"/>
              <w:right w:val="single" w:color="auto" w:sz="4" w:space="0"/>
            </w:tcBorders>
            <w:shd w:val="clear" w:color="auto" w:fill="auto"/>
            <w:noWrap w:val="0"/>
            <w:tcMar>
              <w:top w:w="-1" w:type="dxa"/>
              <w:left w:w="-1" w:type="dxa"/>
              <w:bottom w:w="-1" w:type="dxa"/>
              <w:right w:w="-1" w:type="dxa"/>
            </w:tcMar>
            <w:vAlign w:val="center"/>
          </w:tcPr>
          <w:p w14:paraId="152086CB">
            <w:pPr>
              <w:keepNext/>
              <w:keepLines w:val="0"/>
              <w:widowControl/>
              <w:suppressLineNumbers w:val="0"/>
              <w:snapToGrid w:val="0"/>
              <w:ind w:left="0" w:leftChars="0" w:right="0" w:rightChars="0" w:firstLine="0" w:firstLineChars="0"/>
              <w:jc w:val="center"/>
              <w:textAlignment w:val="center"/>
              <w:rPr>
                <w:rFonts w:hint="eastAsia" w:ascii="仿宋_GB2312" w:hAnsi="宋体" w:eastAsia="仿宋_GB2312" w:cs="宋体"/>
                <w:i w:val="0"/>
                <w:iCs w:val="0"/>
                <w:color w:val="000000"/>
                <w:kern w:val="2"/>
                <w:sz w:val="28"/>
                <w:szCs w:val="22"/>
                <w:u w:val="none"/>
                <w:lang w:val="en-US" w:eastAsia="zh-CN" w:bidi="ar-SA"/>
              </w:rPr>
            </w:pPr>
            <w:r>
              <w:rPr>
                <w:rFonts w:hint="eastAsia" w:ascii="仿宋_GB2312" w:hAnsi="宋体" w:eastAsia="仿宋_GB2312" w:cs="宋体"/>
                <w:i w:val="0"/>
                <w:iCs w:val="0"/>
                <w:color w:val="000000"/>
                <w:kern w:val="0"/>
                <w:sz w:val="28"/>
                <w:szCs w:val="22"/>
                <w:u w:val="none"/>
                <w:lang w:val="en-US" w:eastAsia="zh-CN" w:bidi="ar"/>
              </w:rPr>
              <w:t>5</w:t>
            </w:r>
          </w:p>
        </w:tc>
      </w:tr>
      <w:tr w14:paraId="20D9576D">
        <w:tblPrEx>
          <w:tblCellMar>
            <w:top w:w="0" w:type="dxa"/>
            <w:left w:w="108" w:type="dxa"/>
            <w:bottom w:w="0" w:type="dxa"/>
            <w:right w:w="108" w:type="dxa"/>
          </w:tblCellMar>
        </w:tblPrEx>
        <w:trPr>
          <w:trHeight w:val="275" w:hRule="atLeast"/>
        </w:trPr>
        <w:tc>
          <w:tcPr>
            <w:tcW w:w="680" w:type="pct"/>
            <w:tcBorders>
              <w:top w:val="single" w:color="auto" w:sz="4" w:space="0"/>
              <w:left w:val="single" w:color="auto" w:sz="4" w:space="0"/>
              <w:bottom w:val="single" w:color="auto" w:sz="4" w:space="0"/>
              <w:right w:val="nil"/>
            </w:tcBorders>
            <w:noWrap w:val="0"/>
            <w:tcMar>
              <w:top w:w="-1" w:type="dxa"/>
              <w:left w:w="-1" w:type="dxa"/>
              <w:bottom w:w="-1" w:type="dxa"/>
              <w:right w:w="-1" w:type="dxa"/>
            </w:tcMar>
            <w:vAlign w:val="bottom"/>
          </w:tcPr>
          <w:p w14:paraId="7F18A8D0">
            <w:pPr>
              <w:spacing w:line="520" w:lineRule="exact"/>
              <w:jc w:val="center"/>
              <w:rPr>
                <w:rFonts w:hint="default" w:ascii="仿宋_GB2312" w:eastAsia="仿宋_GB2312"/>
                <w:sz w:val="28"/>
                <w:szCs w:val="28"/>
                <w:lang w:val="en-US" w:eastAsia="zh-CN"/>
              </w:rPr>
            </w:pPr>
            <w:r>
              <w:rPr>
                <w:rFonts w:hint="eastAsia" w:ascii="仿宋_GB2312" w:eastAsia="仿宋_GB2312"/>
                <w:sz w:val="28"/>
                <w:szCs w:val="28"/>
                <w:lang w:val="en-US" w:eastAsia="zh-CN"/>
              </w:rPr>
              <w:t>15</w:t>
            </w:r>
          </w:p>
        </w:tc>
        <w:tc>
          <w:tcPr>
            <w:tcW w:w="941" w:type="pct"/>
            <w:tcBorders>
              <w:top w:val="single" w:color="auto" w:sz="4" w:space="0"/>
              <w:left w:val="single" w:color="auto" w:sz="4" w:space="0"/>
              <w:bottom w:val="single" w:color="auto" w:sz="4" w:space="0"/>
              <w:right w:val="nil"/>
            </w:tcBorders>
            <w:shd w:val="clear" w:color="auto" w:fill="auto"/>
            <w:noWrap w:val="0"/>
            <w:tcMar>
              <w:top w:w="-1" w:type="dxa"/>
              <w:left w:w="-1" w:type="dxa"/>
              <w:bottom w:w="-1" w:type="dxa"/>
              <w:right w:w="-1" w:type="dxa"/>
            </w:tcMar>
            <w:vAlign w:val="center"/>
          </w:tcPr>
          <w:p w14:paraId="4877AB38">
            <w:pPr>
              <w:keepNext/>
              <w:keepLines w:val="0"/>
              <w:widowControl/>
              <w:suppressLineNumbers w:val="0"/>
              <w:snapToGrid w:val="0"/>
              <w:ind w:left="0" w:leftChars="0" w:right="0" w:rightChars="0" w:firstLine="0" w:firstLineChars="0"/>
              <w:jc w:val="center"/>
              <w:textAlignment w:val="bottom"/>
              <w:rPr>
                <w:rFonts w:hint="eastAsia" w:ascii="仿宋_GB2312" w:hAnsi="宋体" w:eastAsia="仿宋_GB2312" w:cs="仿宋_GB2312"/>
                <w:i w:val="0"/>
                <w:iCs w:val="0"/>
                <w:color w:val="000000"/>
                <w:kern w:val="2"/>
                <w:sz w:val="28"/>
                <w:szCs w:val="28"/>
                <w:u w:val="none"/>
                <w:lang w:val="en-US" w:eastAsia="zh-CN" w:bidi="ar-SA"/>
              </w:rPr>
            </w:pPr>
            <w:r>
              <w:rPr>
                <w:rFonts w:hint="default" w:ascii="仿宋_GB2312" w:hAnsi="宋体" w:eastAsia="仿宋_GB2312" w:cs="仿宋_GB2312"/>
                <w:i w:val="0"/>
                <w:iCs w:val="0"/>
                <w:color w:val="000000"/>
                <w:kern w:val="0"/>
                <w:sz w:val="28"/>
                <w:szCs w:val="28"/>
                <w:u w:val="none"/>
                <w:lang w:val="en-US" w:eastAsia="zh-CN" w:bidi="ar"/>
              </w:rPr>
              <w:t>统计年定报完成及时率</w:t>
            </w:r>
          </w:p>
        </w:tc>
        <w:tc>
          <w:tcPr>
            <w:tcW w:w="853" w:type="pct"/>
            <w:tcBorders>
              <w:top w:val="single" w:color="auto" w:sz="4" w:space="0"/>
              <w:left w:val="single" w:color="auto" w:sz="4" w:space="0"/>
              <w:bottom w:val="single" w:color="auto" w:sz="4" w:space="0"/>
              <w:right w:val="nil"/>
            </w:tcBorders>
            <w:shd w:val="clear" w:color="auto" w:fill="auto"/>
            <w:noWrap w:val="0"/>
            <w:tcMar>
              <w:top w:w="-1" w:type="dxa"/>
              <w:left w:w="-1" w:type="dxa"/>
              <w:bottom w:w="-1" w:type="dxa"/>
              <w:right w:w="-1" w:type="dxa"/>
            </w:tcMar>
            <w:vAlign w:val="center"/>
          </w:tcPr>
          <w:p w14:paraId="1E94CFEA">
            <w:pPr>
              <w:keepNext/>
              <w:keepLines w:val="0"/>
              <w:widowControl/>
              <w:suppressLineNumbers w:val="0"/>
              <w:snapToGrid w:val="0"/>
              <w:ind w:left="0" w:leftChars="0" w:right="0" w:rightChars="0" w:firstLine="0" w:firstLineChars="0"/>
              <w:jc w:val="left"/>
              <w:textAlignment w:val="bottom"/>
              <w:rPr>
                <w:rFonts w:hint="eastAsia" w:ascii="仿宋_GB2312" w:hAnsi="宋体" w:eastAsia="仿宋_GB2312" w:cs="仿宋_GB2312"/>
                <w:i w:val="0"/>
                <w:iCs w:val="0"/>
                <w:color w:val="000000"/>
                <w:kern w:val="2"/>
                <w:sz w:val="28"/>
                <w:szCs w:val="28"/>
                <w:u w:val="none"/>
                <w:lang w:val="en-US" w:eastAsia="zh-CN" w:bidi="ar-SA"/>
              </w:rPr>
            </w:pPr>
            <w:r>
              <w:rPr>
                <w:rFonts w:hint="default" w:ascii="仿宋_GB2312" w:hAnsi="宋体" w:eastAsia="仿宋_GB2312" w:cs="仿宋_GB2312"/>
                <w:i w:val="0"/>
                <w:iCs w:val="0"/>
                <w:color w:val="000000"/>
                <w:kern w:val="0"/>
                <w:sz w:val="28"/>
                <w:szCs w:val="28"/>
                <w:u w:val="none"/>
                <w:lang w:val="en-US" w:eastAsia="zh-CN" w:bidi="ar"/>
              </w:rPr>
              <w:t>＝</w:t>
            </w:r>
          </w:p>
        </w:tc>
        <w:tc>
          <w:tcPr>
            <w:tcW w:w="683" w:type="pct"/>
            <w:tcBorders>
              <w:top w:val="single" w:color="auto" w:sz="4" w:space="0"/>
              <w:left w:val="single" w:color="auto" w:sz="4" w:space="0"/>
              <w:bottom w:val="single" w:color="auto" w:sz="4" w:space="0"/>
              <w:right w:val="nil"/>
            </w:tcBorders>
            <w:shd w:val="clear" w:color="auto" w:fill="auto"/>
            <w:noWrap w:val="0"/>
            <w:tcMar>
              <w:top w:w="-1" w:type="dxa"/>
              <w:left w:w="-1" w:type="dxa"/>
              <w:bottom w:w="-1" w:type="dxa"/>
              <w:right w:w="-1" w:type="dxa"/>
            </w:tcMar>
            <w:vAlign w:val="center"/>
          </w:tcPr>
          <w:p w14:paraId="601D972E">
            <w:pPr>
              <w:keepNext/>
              <w:keepLines w:val="0"/>
              <w:widowControl/>
              <w:suppressLineNumbers w:val="0"/>
              <w:snapToGrid w:val="0"/>
              <w:ind w:left="0" w:leftChars="0" w:right="0" w:rightChars="0" w:firstLine="0" w:firstLineChars="0"/>
              <w:jc w:val="center"/>
              <w:textAlignment w:val="bottom"/>
              <w:rPr>
                <w:rFonts w:hint="eastAsia" w:ascii="仿宋_GB2312" w:hAnsi="宋体" w:eastAsia="仿宋_GB2312" w:cs="仿宋_GB2312"/>
                <w:i w:val="0"/>
                <w:iCs w:val="0"/>
                <w:color w:val="000000"/>
                <w:kern w:val="2"/>
                <w:sz w:val="28"/>
                <w:szCs w:val="28"/>
                <w:u w:val="none"/>
                <w:lang w:val="en-US" w:eastAsia="zh-CN" w:bidi="ar-SA"/>
              </w:rPr>
            </w:pPr>
            <w:r>
              <w:rPr>
                <w:rFonts w:hint="default" w:ascii="仿宋_GB2312" w:hAnsi="宋体" w:eastAsia="仿宋_GB2312" w:cs="仿宋_GB2312"/>
                <w:i w:val="0"/>
                <w:iCs w:val="0"/>
                <w:color w:val="000000"/>
                <w:kern w:val="0"/>
                <w:sz w:val="28"/>
                <w:szCs w:val="28"/>
                <w:u w:val="none"/>
                <w:lang w:val="en-US" w:eastAsia="zh-CN" w:bidi="ar"/>
              </w:rPr>
              <w:t>100</w:t>
            </w:r>
          </w:p>
        </w:tc>
        <w:tc>
          <w:tcPr>
            <w:tcW w:w="855" w:type="pct"/>
            <w:tcBorders>
              <w:top w:val="single" w:color="auto" w:sz="4" w:space="0"/>
              <w:left w:val="single" w:color="auto" w:sz="4" w:space="0"/>
              <w:bottom w:val="single" w:color="auto" w:sz="4" w:space="0"/>
              <w:right w:val="nil"/>
            </w:tcBorders>
            <w:shd w:val="clear" w:color="auto" w:fill="auto"/>
            <w:noWrap w:val="0"/>
            <w:tcMar>
              <w:top w:w="-1" w:type="dxa"/>
              <w:left w:w="-1" w:type="dxa"/>
              <w:bottom w:w="-1" w:type="dxa"/>
              <w:right w:w="-1" w:type="dxa"/>
            </w:tcMar>
            <w:vAlign w:val="center"/>
          </w:tcPr>
          <w:p w14:paraId="62F4DAD5">
            <w:pPr>
              <w:keepNext/>
              <w:keepLines w:val="0"/>
              <w:widowControl/>
              <w:suppressLineNumbers w:val="0"/>
              <w:snapToGrid w:val="0"/>
              <w:ind w:left="0" w:leftChars="0" w:right="0" w:rightChars="0" w:firstLine="0" w:firstLineChars="0"/>
              <w:jc w:val="center"/>
              <w:textAlignment w:val="top"/>
              <w:rPr>
                <w:rFonts w:hint="eastAsia" w:ascii="仿宋_GB2312" w:hAnsi="宋体" w:eastAsia="仿宋_GB2312" w:cs="仿宋_GB2312"/>
                <w:i w:val="0"/>
                <w:iCs w:val="0"/>
                <w:color w:val="000000"/>
                <w:kern w:val="2"/>
                <w:sz w:val="28"/>
                <w:szCs w:val="28"/>
                <w:u w:val="none"/>
                <w:lang w:val="en-US" w:eastAsia="zh-CN" w:bidi="ar-SA"/>
              </w:rPr>
            </w:pPr>
            <w:r>
              <w:rPr>
                <w:rFonts w:hint="default" w:ascii="仿宋_GB2312" w:hAnsi="宋体" w:eastAsia="仿宋_GB2312" w:cs="仿宋_GB2312"/>
                <w:i w:val="0"/>
                <w:iCs w:val="0"/>
                <w:color w:val="000000"/>
                <w:kern w:val="0"/>
                <w:sz w:val="28"/>
                <w:szCs w:val="28"/>
                <w:u w:val="none"/>
                <w:lang w:val="en-US" w:eastAsia="zh-CN" w:bidi="ar"/>
              </w:rPr>
              <w:t>%</w:t>
            </w:r>
          </w:p>
        </w:tc>
        <w:tc>
          <w:tcPr>
            <w:tcW w:w="987" w:type="pct"/>
            <w:tcBorders>
              <w:top w:val="single" w:color="auto" w:sz="4" w:space="0"/>
              <w:left w:val="single" w:color="auto" w:sz="4" w:space="0"/>
              <w:bottom w:val="single" w:color="auto" w:sz="4" w:space="0"/>
              <w:right w:val="single" w:color="auto" w:sz="4" w:space="0"/>
            </w:tcBorders>
            <w:shd w:val="clear" w:color="auto" w:fill="auto"/>
            <w:noWrap w:val="0"/>
            <w:tcMar>
              <w:top w:w="-1" w:type="dxa"/>
              <w:left w:w="-1" w:type="dxa"/>
              <w:bottom w:w="-1" w:type="dxa"/>
              <w:right w:w="-1" w:type="dxa"/>
            </w:tcMar>
            <w:vAlign w:val="center"/>
          </w:tcPr>
          <w:p w14:paraId="102901B7">
            <w:pPr>
              <w:keepNext/>
              <w:keepLines w:val="0"/>
              <w:widowControl/>
              <w:suppressLineNumbers w:val="0"/>
              <w:snapToGrid w:val="0"/>
              <w:ind w:left="0" w:leftChars="0" w:right="0" w:rightChars="0" w:firstLine="0" w:firstLineChars="0"/>
              <w:jc w:val="center"/>
              <w:textAlignment w:val="center"/>
              <w:rPr>
                <w:rFonts w:hint="eastAsia" w:ascii="仿宋_GB2312" w:hAnsi="宋体" w:eastAsia="仿宋_GB2312" w:cs="宋体"/>
                <w:i w:val="0"/>
                <w:iCs w:val="0"/>
                <w:color w:val="000000"/>
                <w:kern w:val="2"/>
                <w:sz w:val="28"/>
                <w:szCs w:val="22"/>
                <w:u w:val="none"/>
                <w:lang w:val="en-US" w:eastAsia="zh-CN" w:bidi="ar-SA"/>
              </w:rPr>
            </w:pPr>
            <w:r>
              <w:rPr>
                <w:rFonts w:hint="eastAsia" w:ascii="仿宋_GB2312" w:hAnsi="宋体" w:eastAsia="仿宋_GB2312" w:cs="宋体"/>
                <w:i w:val="0"/>
                <w:iCs w:val="0"/>
                <w:color w:val="000000"/>
                <w:kern w:val="0"/>
                <w:sz w:val="28"/>
                <w:szCs w:val="22"/>
                <w:u w:val="none"/>
                <w:lang w:val="en-US" w:eastAsia="zh-CN" w:bidi="ar"/>
              </w:rPr>
              <w:t>5</w:t>
            </w:r>
          </w:p>
        </w:tc>
      </w:tr>
      <w:tr w14:paraId="169B8853">
        <w:tblPrEx>
          <w:tblCellMar>
            <w:top w:w="0" w:type="dxa"/>
            <w:left w:w="108" w:type="dxa"/>
            <w:bottom w:w="0" w:type="dxa"/>
            <w:right w:w="108" w:type="dxa"/>
          </w:tblCellMar>
        </w:tblPrEx>
        <w:trPr>
          <w:trHeight w:val="275" w:hRule="atLeast"/>
        </w:trPr>
        <w:tc>
          <w:tcPr>
            <w:tcW w:w="680" w:type="pct"/>
            <w:tcBorders>
              <w:top w:val="single" w:color="auto" w:sz="4" w:space="0"/>
              <w:left w:val="single" w:color="auto" w:sz="4" w:space="0"/>
              <w:bottom w:val="single" w:color="auto" w:sz="4" w:space="0"/>
              <w:right w:val="nil"/>
            </w:tcBorders>
            <w:noWrap w:val="0"/>
            <w:tcMar>
              <w:top w:w="-1" w:type="dxa"/>
              <w:left w:w="-1" w:type="dxa"/>
              <w:bottom w:w="-1" w:type="dxa"/>
              <w:right w:w="-1" w:type="dxa"/>
            </w:tcMar>
            <w:vAlign w:val="bottom"/>
          </w:tcPr>
          <w:p w14:paraId="3DCE8A48">
            <w:pPr>
              <w:spacing w:line="520" w:lineRule="exact"/>
              <w:jc w:val="center"/>
              <w:rPr>
                <w:rFonts w:hint="default" w:ascii="仿宋_GB2312" w:eastAsia="仿宋_GB2312"/>
                <w:sz w:val="28"/>
                <w:szCs w:val="28"/>
                <w:lang w:val="en-US" w:eastAsia="zh-CN"/>
              </w:rPr>
            </w:pPr>
            <w:r>
              <w:rPr>
                <w:rFonts w:hint="eastAsia" w:ascii="仿宋_GB2312" w:eastAsia="仿宋_GB2312"/>
                <w:sz w:val="28"/>
                <w:szCs w:val="28"/>
                <w:lang w:val="en-US" w:eastAsia="zh-CN"/>
              </w:rPr>
              <w:t>16</w:t>
            </w:r>
          </w:p>
        </w:tc>
        <w:tc>
          <w:tcPr>
            <w:tcW w:w="941" w:type="pct"/>
            <w:tcBorders>
              <w:top w:val="single" w:color="auto" w:sz="4" w:space="0"/>
              <w:left w:val="single" w:color="auto" w:sz="4" w:space="0"/>
              <w:bottom w:val="single" w:color="auto" w:sz="4" w:space="0"/>
              <w:right w:val="nil"/>
            </w:tcBorders>
            <w:shd w:val="clear" w:color="auto" w:fill="auto"/>
            <w:noWrap w:val="0"/>
            <w:tcMar>
              <w:top w:w="-1" w:type="dxa"/>
              <w:left w:w="-1" w:type="dxa"/>
              <w:bottom w:w="-1" w:type="dxa"/>
              <w:right w:w="-1" w:type="dxa"/>
            </w:tcMar>
            <w:vAlign w:val="center"/>
          </w:tcPr>
          <w:p w14:paraId="1F43A197">
            <w:pPr>
              <w:keepNext/>
              <w:keepLines w:val="0"/>
              <w:widowControl/>
              <w:suppressLineNumbers w:val="0"/>
              <w:snapToGrid w:val="0"/>
              <w:ind w:left="0" w:leftChars="0" w:right="0" w:rightChars="0" w:firstLine="0" w:firstLineChars="0"/>
              <w:jc w:val="center"/>
              <w:textAlignment w:val="bottom"/>
              <w:rPr>
                <w:rFonts w:hint="eastAsia" w:ascii="仿宋_GB2312" w:hAnsi="宋体" w:eastAsia="仿宋_GB2312" w:cs="仿宋_GB2312"/>
                <w:i w:val="0"/>
                <w:iCs w:val="0"/>
                <w:color w:val="000000"/>
                <w:kern w:val="2"/>
                <w:sz w:val="28"/>
                <w:szCs w:val="28"/>
                <w:u w:val="none"/>
                <w:lang w:val="en-US" w:eastAsia="zh-CN" w:bidi="ar-SA"/>
              </w:rPr>
            </w:pPr>
            <w:r>
              <w:rPr>
                <w:rFonts w:hint="default" w:ascii="仿宋_GB2312" w:hAnsi="宋体" w:eastAsia="仿宋_GB2312" w:cs="仿宋_GB2312"/>
                <w:i w:val="0"/>
                <w:iCs w:val="0"/>
                <w:color w:val="000000"/>
                <w:kern w:val="0"/>
                <w:sz w:val="28"/>
                <w:szCs w:val="28"/>
                <w:u w:val="none"/>
                <w:lang w:val="en-US" w:eastAsia="zh-CN" w:bidi="ar"/>
              </w:rPr>
              <w:t>农产品质量安全监测任务完成率</w:t>
            </w:r>
          </w:p>
        </w:tc>
        <w:tc>
          <w:tcPr>
            <w:tcW w:w="853" w:type="pct"/>
            <w:tcBorders>
              <w:top w:val="single" w:color="auto" w:sz="4" w:space="0"/>
              <w:left w:val="single" w:color="auto" w:sz="4" w:space="0"/>
              <w:bottom w:val="single" w:color="auto" w:sz="4" w:space="0"/>
              <w:right w:val="nil"/>
            </w:tcBorders>
            <w:shd w:val="clear" w:color="auto" w:fill="auto"/>
            <w:noWrap w:val="0"/>
            <w:tcMar>
              <w:top w:w="-1" w:type="dxa"/>
              <w:left w:w="-1" w:type="dxa"/>
              <w:bottom w:w="-1" w:type="dxa"/>
              <w:right w:w="-1" w:type="dxa"/>
            </w:tcMar>
            <w:vAlign w:val="center"/>
          </w:tcPr>
          <w:p w14:paraId="259589CF">
            <w:pPr>
              <w:keepNext/>
              <w:keepLines w:val="0"/>
              <w:widowControl/>
              <w:suppressLineNumbers w:val="0"/>
              <w:snapToGrid w:val="0"/>
              <w:ind w:left="0" w:leftChars="0" w:right="0" w:rightChars="0" w:firstLine="0" w:firstLineChars="0"/>
              <w:jc w:val="left"/>
              <w:textAlignment w:val="bottom"/>
              <w:rPr>
                <w:rFonts w:hint="eastAsia" w:ascii="仿宋_GB2312" w:hAnsi="宋体" w:eastAsia="仿宋_GB2312" w:cs="仿宋_GB2312"/>
                <w:i w:val="0"/>
                <w:iCs w:val="0"/>
                <w:color w:val="000000"/>
                <w:kern w:val="2"/>
                <w:sz w:val="28"/>
                <w:szCs w:val="28"/>
                <w:u w:val="none"/>
                <w:lang w:val="en-US" w:eastAsia="zh-CN" w:bidi="ar-SA"/>
              </w:rPr>
            </w:pPr>
            <w:r>
              <w:rPr>
                <w:rFonts w:hint="default" w:ascii="仿宋_GB2312" w:hAnsi="宋体" w:eastAsia="仿宋_GB2312" w:cs="仿宋_GB2312"/>
                <w:i w:val="0"/>
                <w:iCs w:val="0"/>
                <w:color w:val="000000"/>
                <w:kern w:val="0"/>
                <w:sz w:val="28"/>
                <w:szCs w:val="28"/>
                <w:u w:val="none"/>
                <w:lang w:val="en-US" w:eastAsia="zh-CN" w:bidi="ar"/>
              </w:rPr>
              <w:t>＝</w:t>
            </w:r>
          </w:p>
        </w:tc>
        <w:tc>
          <w:tcPr>
            <w:tcW w:w="683" w:type="pct"/>
            <w:tcBorders>
              <w:top w:val="single" w:color="auto" w:sz="4" w:space="0"/>
              <w:left w:val="single" w:color="auto" w:sz="4" w:space="0"/>
              <w:bottom w:val="single" w:color="auto" w:sz="4" w:space="0"/>
              <w:right w:val="nil"/>
            </w:tcBorders>
            <w:shd w:val="clear" w:color="auto" w:fill="auto"/>
            <w:noWrap w:val="0"/>
            <w:tcMar>
              <w:top w:w="-1" w:type="dxa"/>
              <w:left w:w="-1" w:type="dxa"/>
              <w:bottom w:w="-1" w:type="dxa"/>
              <w:right w:w="-1" w:type="dxa"/>
            </w:tcMar>
            <w:vAlign w:val="center"/>
          </w:tcPr>
          <w:p w14:paraId="2A8B903B">
            <w:pPr>
              <w:keepNext/>
              <w:keepLines w:val="0"/>
              <w:widowControl/>
              <w:suppressLineNumbers w:val="0"/>
              <w:snapToGrid w:val="0"/>
              <w:ind w:left="0" w:leftChars="0" w:right="0" w:rightChars="0" w:firstLine="0" w:firstLineChars="0"/>
              <w:jc w:val="center"/>
              <w:textAlignment w:val="bottom"/>
              <w:rPr>
                <w:rFonts w:hint="eastAsia" w:ascii="仿宋_GB2312" w:hAnsi="宋体" w:eastAsia="仿宋_GB2312" w:cs="仿宋_GB2312"/>
                <w:i w:val="0"/>
                <w:iCs w:val="0"/>
                <w:color w:val="000000"/>
                <w:kern w:val="2"/>
                <w:sz w:val="28"/>
                <w:szCs w:val="28"/>
                <w:u w:val="none"/>
                <w:lang w:val="en-US" w:eastAsia="zh-CN" w:bidi="ar-SA"/>
              </w:rPr>
            </w:pPr>
            <w:r>
              <w:rPr>
                <w:rFonts w:hint="default" w:ascii="仿宋_GB2312" w:hAnsi="宋体" w:eastAsia="仿宋_GB2312" w:cs="仿宋_GB2312"/>
                <w:i w:val="0"/>
                <w:iCs w:val="0"/>
                <w:color w:val="000000"/>
                <w:kern w:val="0"/>
                <w:sz w:val="28"/>
                <w:szCs w:val="28"/>
                <w:u w:val="none"/>
                <w:lang w:val="en-US" w:eastAsia="zh-CN" w:bidi="ar"/>
              </w:rPr>
              <w:t>100</w:t>
            </w:r>
          </w:p>
        </w:tc>
        <w:tc>
          <w:tcPr>
            <w:tcW w:w="855" w:type="pct"/>
            <w:tcBorders>
              <w:top w:val="single" w:color="auto" w:sz="4" w:space="0"/>
              <w:left w:val="single" w:color="auto" w:sz="4" w:space="0"/>
              <w:bottom w:val="single" w:color="auto" w:sz="4" w:space="0"/>
              <w:right w:val="nil"/>
            </w:tcBorders>
            <w:shd w:val="clear" w:color="auto" w:fill="auto"/>
            <w:noWrap w:val="0"/>
            <w:tcMar>
              <w:top w:w="-1" w:type="dxa"/>
              <w:left w:w="-1" w:type="dxa"/>
              <w:bottom w:w="-1" w:type="dxa"/>
              <w:right w:w="-1" w:type="dxa"/>
            </w:tcMar>
            <w:vAlign w:val="center"/>
          </w:tcPr>
          <w:p w14:paraId="194037B9">
            <w:pPr>
              <w:keepNext/>
              <w:keepLines w:val="0"/>
              <w:widowControl/>
              <w:suppressLineNumbers w:val="0"/>
              <w:snapToGrid w:val="0"/>
              <w:ind w:left="0" w:leftChars="0" w:right="0" w:rightChars="0" w:firstLine="0" w:firstLineChars="0"/>
              <w:jc w:val="center"/>
              <w:textAlignment w:val="top"/>
              <w:rPr>
                <w:rFonts w:hint="eastAsia" w:ascii="仿宋_GB2312" w:hAnsi="宋体" w:eastAsia="仿宋_GB2312" w:cs="仿宋_GB2312"/>
                <w:i w:val="0"/>
                <w:iCs w:val="0"/>
                <w:color w:val="000000"/>
                <w:kern w:val="2"/>
                <w:sz w:val="28"/>
                <w:szCs w:val="28"/>
                <w:u w:val="none"/>
                <w:lang w:val="en-US" w:eastAsia="zh-CN" w:bidi="ar-SA"/>
              </w:rPr>
            </w:pPr>
            <w:r>
              <w:rPr>
                <w:rFonts w:hint="default" w:ascii="仿宋_GB2312" w:hAnsi="宋体" w:eastAsia="仿宋_GB2312" w:cs="仿宋_GB2312"/>
                <w:i w:val="0"/>
                <w:iCs w:val="0"/>
                <w:color w:val="000000"/>
                <w:kern w:val="0"/>
                <w:sz w:val="28"/>
                <w:szCs w:val="28"/>
                <w:u w:val="none"/>
                <w:lang w:val="en-US" w:eastAsia="zh-CN" w:bidi="ar"/>
              </w:rPr>
              <w:t>%</w:t>
            </w:r>
          </w:p>
        </w:tc>
        <w:tc>
          <w:tcPr>
            <w:tcW w:w="987" w:type="pct"/>
            <w:tcBorders>
              <w:top w:val="single" w:color="auto" w:sz="4" w:space="0"/>
              <w:left w:val="single" w:color="auto" w:sz="4" w:space="0"/>
              <w:bottom w:val="single" w:color="auto" w:sz="4" w:space="0"/>
              <w:right w:val="single" w:color="auto" w:sz="4" w:space="0"/>
            </w:tcBorders>
            <w:shd w:val="clear" w:color="auto" w:fill="auto"/>
            <w:noWrap w:val="0"/>
            <w:tcMar>
              <w:top w:w="-1" w:type="dxa"/>
              <w:left w:w="-1" w:type="dxa"/>
              <w:bottom w:w="-1" w:type="dxa"/>
              <w:right w:w="-1" w:type="dxa"/>
            </w:tcMar>
            <w:vAlign w:val="center"/>
          </w:tcPr>
          <w:p w14:paraId="0F75CA7E">
            <w:pPr>
              <w:keepNext/>
              <w:keepLines w:val="0"/>
              <w:widowControl/>
              <w:suppressLineNumbers w:val="0"/>
              <w:snapToGrid w:val="0"/>
              <w:ind w:left="0" w:leftChars="0" w:right="0" w:rightChars="0" w:firstLine="0" w:firstLineChars="0"/>
              <w:jc w:val="center"/>
              <w:textAlignment w:val="center"/>
              <w:rPr>
                <w:rFonts w:hint="eastAsia" w:ascii="仿宋_GB2312" w:hAnsi="宋体" w:eastAsia="仿宋_GB2312" w:cs="宋体"/>
                <w:i w:val="0"/>
                <w:iCs w:val="0"/>
                <w:color w:val="000000"/>
                <w:kern w:val="2"/>
                <w:sz w:val="28"/>
                <w:szCs w:val="22"/>
                <w:u w:val="none"/>
                <w:lang w:val="en-US" w:eastAsia="zh-CN" w:bidi="ar-SA"/>
              </w:rPr>
            </w:pPr>
            <w:r>
              <w:rPr>
                <w:rFonts w:hint="eastAsia" w:ascii="仿宋_GB2312" w:hAnsi="宋体" w:eastAsia="仿宋_GB2312" w:cs="宋体"/>
                <w:i w:val="0"/>
                <w:iCs w:val="0"/>
                <w:color w:val="000000"/>
                <w:kern w:val="0"/>
                <w:sz w:val="28"/>
                <w:szCs w:val="22"/>
                <w:u w:val="none"/>
                <w:lang w:val="en-US" w:eastAsia="zh-CN" w:bidi="ar"/>
              </w:rPr>
              <w:t>5</w:t>
            </w:r>
          </w:p>
        </w:tc>
      </w:tr>
      <w:tr w14:paraId="7527CF0F">
        <w:tblPrEx>
          <w:tblCellMar>
            <w:top w:w="0" w:type="dxa"/>
            <w:left w:w="108" w:type="dxa"/>
            <w:bottom w:w="0" w:type="dxa"/>
            <w:right w:w="108" w:type="dxa"/>
          </w:tblCellMar>
        </w:tblPrEx>
        <w:trPr>
          <w:trHeight w:val="275" w:hRule="atLeast"/>
        </w:trPr>
        <w:tc>
          <w:tcPr>
            <w:tcW w:w="680" w:type="pct"/>
            <w:tcBorders>
              <w:top w:val="single" w:color="auto" w:sz="4" w:space="0"/>
              <w:left w:val="single" w:color="auto" w:sz="4" w:space="0"/>
              <w:bottom w:val="single" w:color="auto" w:sz="4" w:space="0"/>
              <w:right w:val="nil"/>
            </w:tcBorders>
            <w:noWrap w:val="0"/>
            <w:tcMar>
              <w:top w:w="-1" w:type="dxa"/>
              <w:left w:w="-1" w:type="dxa"/>
              <w:bottom w:w="-1" w:type="dxa"/>
              <w:right w:w="-1" w:type="dxa"/>
            </w:tcMar>
            <w:vAlign w:val="bottom"/>
          </w:tcPr>
          <w:p w14:paraId="53661F62">
            <w:pPr>
              <w:spacing w:line="520" w:lineRule="exact"/>
              <w:jc w:val="center"/>
              <w:rPr>
                <w:rFonts w:hint="default" w:ascii="仿宋_GB2312" w:eastAsia="仿宋_GB2312"/>
                <w:sz w:val="28"/>
                <w:szCs w:val="28"/>
                <w:lang w:val="en-US" w:eastAsia="zh-CN"/>
              </w:rPr>
            </w:pPr>
            <w:r>
              <w:rPr>
                <w:rFonts w:hint="eastAsia" w:ascii="仿宋_GB2312" w:eastAsia="仿宋_GB2312"/>
                <w:sz w:val="28"/>
                <w:szCs w:val="28"/>
                <w:lang w:val="en-US" w:eastAsia="zh-CN"/>
              </w:rPr>
              <w:t>17</w:t>
            </w:r>
          </w:p>
        </w:tc>
        <w:tc>
          <w:tcPr>
            <w:tcW w:w="941" w:type="pct"/>
            <w:tcBorders>
              <w:top w:val="single" w:color="auto" w:sz="4" w:space="0"/>
              <w:left w:val="single" w:color="auto" w:sz="4" w:space="0"/>
              <w:bottom w:val="single" w:color="auto" w:sz="4" w:space="0"/>
              <w:right w:val="nil"/>
            </w:tcBorders>
            <w:shd w:val="clear" w:color="auto" w:fill="auto"/>
            <w:noWrap w:val="0"/>
            <w:tcMar>
              <w:top w:w="-1" w:type="dxa"/>
              <w:left w:w="-1" w:type="dxa"/>
              <w:bottom w:w="-1" w:type="dxa"/>
              <w:right w:w="-1" w:type="dxa"/>
            </w:tcMar>
            <w:vAlign w:val="center"/>
          </w:tcPr>
          <w:p w14:paraId="6FC3D68E">
            <w:pPr>
              <w:keepNext/>
              <w:keepLines w:val="0"/>
              <w:widowControl/>
              <w:suppressLineNumbers w:val="0"/>
              <w:snapToGrid w:val="0"/>
              <w:ind w:left="0" w:leftChars="0" w:right="0" w:rightChars="0" w:firstLine="0" w:firstLineChars="0"/>
              <w:jc w:val="center"/>
              <w:textAlignment w:val="bottom"/>
              <w:rPr>
                <w:rFonts w:hint="eastAsia" w:ascii="仿宋_GB2312" w:hAnsi="宋体" w:eastAsia="仿宋_GB2312" w:cs="仿宋_GB2312"/>
                <w:i w:val="0"/>
                <w:iCs w:val="0"/>
                <w:color w:val="000000"/>
                <w:kern w:val="2"/>
                <w:sz w:val="28"/>
                <w:szCs w:val="28"/>
                <w:u w:val="none"/>
                <w:lang w:val="en-US" w:eastAsia="zh-CN" w:bidi="ar-SA"/>
              </w:rPr>
            </w:pPr>
            <w:r>
              <w:rPr>
                <w:rFonts w:hint="default" w:ascii="仿宋_GB2312" w:hAnsi="宋体" w:eastAsia="仿宋_GB2312" w:cs="仿宋_GB2312"/>
                <w:i w:val="0"/>
                <w:iCs w:val="0"/>
                <w:color w:val="000000"/>
                <w:kern w:val="0"/>
                <w:sz w:val="28"/>
                <w:szCs w:val="28"/>
                <w:u w:val="none"/>
                <w:lang w:val="en-US" w:eastAsia="zh-CN" w:bidi="ar"/>
              </w:rPr>
              <w:t>“三资”管理信息化建设覆盖率</w:t>
            </w:r>
          </w:p>
        </w:tc>
        <w:tc>
          <w:tcPr>
            <w:tcW w:w="853" w:type="pct"/>
            <w:tcBorders>
              <w:top w:val="single" w:color="auto" w:sz="4" w:space="0"/>
              <w:left w:val="single" w:color="auto" w:sz="4" w:space="0"/>
              <w:bottom w:val="single" w:color="auto" w:sz="4" w:space="0"/>
              <w:right w:val="nil"/>
            </w:tcBorders>
            <w:shd w:val="clear" w:color="auto" w:fill="auto"/>
            <w:noWrap w:val="0"/>
            <w:tcMar>
              <w:top w:w="-1" w:type="dxa"/>
              <w:left w:w="-1" w:type="dxa"/>
              <w:bottom w:w="-1" w:type="dxa"/>
              <w:right w:w="-1" w:type="dxa"/>
            </w:tcMar>
            <w:vAlign w:val="center"/>
          </w:tcPr>
          <w:p w14:paraId="3B5F1ADB">
            <w:pPr>
              <w:keepNext/>
              <w:keepLines w:val="0"/>
              <w:widowControl/>
              <w:suppressLineNumbers w:val="0"/>
              <w:snapToGrid w:val="0"/>
              <w:ind w:left="0" w:leftChars="0" w:right="0" w:rightChars="0" w:firstLine="0" w:firstLineChars="0"/>
              <w:jc w:val="left"/>
              <w:textAlignment w:val="bottom"/>
              <w:rPr>
                <w:rFonts w:hint="eastAsia" w:ascii="仿宋_GB2312" w:hAnsi="宋体" w:eastAsia="仿宋_GB2312" w:cs="仿宋_GB2312"/>
                <w:i w:val="0"/>
                <w:iCs w:val="0"/>
                <w:color w:val="000000"/>
                <w:kern w:val="2"/>
                <w:sz w:val="28"/>
                <w:szCs w:val="28"/>
                <w:u w:val="none"/>
                <w:lang w:val="en-US" w:eastAsia="zh-CN" w:bidi="ar-SA"/>
              </w:rPr>
            </w:pPr>
            <w:r>
              <w:rPr>
                <w:rFonts w:hint="default" w:ascii="仿宋_GB2312" w:hAnsi="宋体" w:eastAsia="仿宋_GB2312" w:cs="仿宋_GB2312"/>
                <w:i w:val="0"/>
                <w:iCs w:val="0"/>
                <w:color w:val="000000"/>
                <w:kern w:val="0"/>
                <w:sz w:val="28"/>
                <w:szCs w:val="28"/>
                <w:u w:val="none"/>
                <w:lang w:val="en-US" w:eastAsia="zh-CN" w:bidi="ar"/>
              </w:rPr>
              <w:t>＝</w:t>
            </w:r>
          </w:p>
        </w:tc>
        <w:tc>
          <w:tcPr>
            <w:tcW w:w="683" w:type="pct"/>
            <w:tcBorders>
              <w:top w:val="single" w:color="auto" w:sz="4" w:space="0"/>
              <w:left w:val="single" w:color="auto" w:sz="4" w:space="0"/>
              <w:bottom w:val="single" w:color="auto" w:sz="4" w:space="0"/>
              <w:right w:val="nil"/>
            </w:tcBorders>
            <w:shd w:val="clear" w:color="auto" w:fill="auto"/>
            <w:noWrap w:val="0"/>
            <w:tcMar>
              <w:top w:w="-1" w:type="dxa"/>
              <w:left w:w="-1" w:type="dxa"/>
              <w:bottom w:w="-1" w:type="dxa"/>
              <w:right w:w="-1" w:type="dxa"/>
            </w:tcMar>
            <w:vAlign w:val="center"/>
          </w:tcPr>
          <w:p w14:paraId="04788D1F">
            <w:pPr>
              <w:keepNext/>
              <w:keepLines w:val="0"/>
              <w:widowControl/>
              <w:suppressLineNumbers w:val="0"/>
              <w:snapToGrid w:val="0"/>
              <w:ind w:left="0" w:leftChars="0" w:right="0" w:rightChars="0" w:firstLine="0" w:firstLineChars="0"/>
              <w:jc w:val="center"/>
              <w:textAlignment w:val="bottom"/>
              <w:rPr>
                <w:rFonts w:hint="eastAsia" w:ascii="仿宋_GB2312" w:hAnsi="宋体" w:eastAsia="仿宋_GB2312" w:cs="仿宋_GB2312"/>
                <w:i w:val="0"/>
                <w:iCs w:val="0"/>
                <w:color w:val="000000"/>
                <w:kern w:val="2"/>
                <w:sz w:val="28"/>
                <w:szCs w:val="28"/>
                <w:u w:val="none"/>
                <w:lang w:val="en-US" w:eastAsia="zh-CN" w:bidi="ar-SA"/>
              </w:rPr>
            </w:pPr>
            <w:r>
              <w:rPr>
                <w:rFonts w:hint="default" w:ascii="仿宋_GB2312" w:hAnsi="宋体" w:eastAsia="仿宋_GB2312" w:cs="仿宋_GB2312"/>
                <w:i w:val="0"/>
                <w:iCs w:val="0"/>
                <w:color w:val="000000"/>
                <w:kern w:val="0"/>
                <w:sz w:val="28"/>
                <w:szCs w:val="28"/>
                <w:u w:val="none"/>
                <w:lang w:val="en-US" w:eastAsia="zh-CN" w:bidi="ar"/>
              </w:rPr>
              <w:t>100</w:t>
            </w:r>
          </w:p>
        </w:tc>
        <w:tc>
          <w:tcPr>
            <w:tcW w:w="855" w:type="pct"/>
            <w:tcBorders>
              <w:top w:val="single" w:color="auto" w:sz="4" w:space="0"/>
              <w:left w:val="single" w:color="auto" w:sz="4" w:space="0"/>
              <w:bottom w:val="single" w:color="auto" w:sz="4" w:space="0"/>
              <w:right w:val="nil"/>
            </w:tcBorders>
            <w:shd w:val="clear" w:color="auto" w:fill="auto"/>
            <w:noWrap w:val="0"/>
            <w:tcMar>
              <w:top w:w="-1" w:type="dxa"/>
              <w:left w:w="-1" w:type="dxa"/>
              <w:bottom w:w="-1" w:type="dxa"/>
              <w:right w:w="-1" w:type="dxa"/>
            </w:tcMar>
            <w:vAlign w:val="center"/>
          </w:tcPr>
          <w:p w14:paraId="6B3F196E">
            <w:pPr>
              <w:keepNext/>
              <w:keepLines w:val="0"/>
              <w:widowControl/>
              <w:suppressLineNumbers w:val="0"/>
              <w:snapToGrid w:val="0"/>
              <w:ind w:left="0" w:leftChars="0" w:right="0" w:rightChars="0" w:firstLine="0" w:firstLineChars="0"/>
              <w:jc w:val="center"/>
              <w:textAlignment w:val="top"/>
              <w:rPr>
                <w:rFonts w:hint="eastAsia" w:ascii="仿宋_GB2312" w:hAnsi="宋体" w:eastAsia="仿宋_GB2312" w:cs="仿宋_GB2312"/>
                <w:i w:val="0"/>
                <w:iCs w:val="0"/>
                <w:color w:val="000000"/>
                <w:kern w:val="2"/>
                <w:sz w:val="28"/>
                <w:szCs w:val="28"/>
                <w:u w:val="none"/>
                <w:lang w:val="en-US" w:eastAsia="zh-CN" w:bidi="ar-SA"/>
              </w:rPr>
            </w:pPr>
            <w:r>
              <w:rPr>
                <w:rFonts w:hint="default" w:ascii="仿宋_GB2312" w:hAnsi="宋体" w:eastAsia="仿宋_GB2312" w:cs="仿宋_GB2312"/>
                <w:i w:val="0"/>
                <w:iCs w:val="0"/>
                <w:color w:val="000000"/>
                <w:kern w:val="0"/>
                <w:sz w:val="28"/>
                <w:szCs w:val="28"/>
                <w:u w:val="none"/>
                <w:lang w:val="en-US" w:eastAsia="zh-CN" w:bidi="ar"/>
              </w:rPr>
              <w:t>%</w:t>
            </w:r>
          </w:p>
        </w:tc>
        <w:tc>
          <w:tcPr>
            <w:tcW w:w="987" w:type="pct"/>
            <w:tcBorders>
              <w:top w:val="single" w:color="auto" w:sz="4" w:space="0"/>
              <w:left w:val="single" w:color="auto" w:sz="4" w:space="0"/>
              <w:bottom w:val="single" w:color="auto" w:sz="4" w:space="0"/>
              <w:right w:val="single" w:color="auto" w:sz="4" w:space="0"/>
            </w:tcBorders>
            <w:shd w:val="clear" w:color="auto" w:fill="auto"/>
            <w:noWrap w:val="0"/>
            <w:tcMar>
              <w:top w:w="-1" w:type="dxa"/>
              <w:left w:w="-1" w:type="dxa"/>
              <w:bottom w:w="-1" w:type="dxa"/>
              <w:right w:w="-1" w:type="dxa"/>
            </w:tcMar>
            <w:vAlign w:val="center"/>
          </w:tcPr>
          <w:p w14:paraId="1E65DD0C">
            <w:pPr>
              <w:keepNext/>
              <w:keepLines w:val="0"/>
              <w:widowControl/>
              <w:suppressLineNumbers w:val="0"/>
              <w:snapToGrid w:val="0"/>
              <w:ind w:left="0" w:leftChars="0" w:right="0" w:rightChars="0" w:firstLine="0" w:firstLineChars="0"/>
              <w:jc w:val="center"/>
              <w:textAlignment w:val="center"/>
              <w:rPr>
                <w:rFonts w:hint="eastAsia" w:ascii="仿宋_GB2312" w:hAnsi="宋体" w:eastAsia="仿宋_GB2312" w:cs="宋体"/>
                <w:i w:val="0"/>
                <w:iCs w:val="0"/>
                <w:color w:val="000000"/>
                <w:kern w:val="2"/>
                <w:sz w:val="28"/>
                <w:szCs w:val="22"/>
                <w:u w:val="none"/>
                <w:lang w:val="en-US" w:eastAsia="zh-CN" w:bidi="ar-SA"/>
              </w:rPr>
            </w:pPr>
            <w:r>
              <w:rPr>
                <w:rFonts w:hint="eastAsia" w:ascii="仿宋_GB2312" w:hAnsi="宋体" w:eastAsia="仿宋_GB2312" w:cs="宋体"/>
                <w:i w:val="0"/>
                <w:iCs w:val="0"/>
                <w:color w:val="000000"/>
                <w:kern w:val="0"/>
                <w:sz w:val="28"/>
                <w:szCs w:val="22"/>
                <w:u w:val="none"/>
                <w:lang w:val="en-US" w:eastAsia="zh-CN" w:bidi="ar"/>
              </w:rPr>
              <w:t>5</w:t>
            </w:r>
          </w:p>
        </w:tc>
      </w:tr>
      <w:tr w14:paraId="1151883A">
        <w:tblPrEx>
          <w:tblCellMar>
            <w:top w:w="0" w:type="dxa"/>
            <w:left w:w="108" w:type="dxa"/>
            <w:bottom w:w="0" w:type="dxa"/>
            <w:right w:w="108" w:type="dxa"/>
          </w:tblCellMar>
        </w:tblPrEx>
        <w:trPr>
          <w:trHeight w:val="275" w:hRule="atLeast"/>
        </w:trPr>
        <w:tc>
          <w:tcPr>
            <w:tcW w:w="680" w:type="pct"/>
            <w:tcBorders>
              <w:top w:val="single" w:color="auto" w:sz="4" w:space="0"/>
              <w:left w:val="single" w:color="auto" w:sz="4" w:space="0"/>
              <w:bottom w:val="single" w:color="auto" w:sz="4" w:space="0"/>
              <w:right w:val="nil"/>
            </w:tcBorders>
            <w:noWrap w:val="0"/>
            <w:tcMar>
              <w:top w:w="-1" w:type="dxa"/>
              <w:left w:w="-1" w:type="dxa"/>
              <w:bottom w:w="-1" w:type="dxa"/>
              <w:right w:w="-1" w:type="dxa"/>
            </w:tcMar>
            <w:vAlign w:val="bottom"/>
          </w:tcPr>
          <w:p w14:paraId="4E822006">
            <w:pPr>
              <w:spacing w:line="520" w:lineRule="exact"/>
              <w:jc w:val="center"/>
              <w:rPr>
                <w:rFonts w:hint="default" w:ascii="仿宋_GB2312" w:eastAsia="仿宋_GB2312"/>
                <w:sz w:val="28"/>
                <w:szCs w:val="28"/>
                <w:lang w:val="en-US" w:eastAsia="zh-CN"/>
              </w:rPr>
            </w:pPr>
            <w:r>
              <w:rPr>
                <w:rFonts w:hint="eastAsia" w:ascii="仿宋_GB2312" w:eastAsia="仿宋_GB2312"/>
                <w:sz w:val="28"/>
                <w:szCs w:val="28"/>
                <w:lang w:val="en-US" w:eastAsia="zh-CN"/>
              </w:rPr>
              <w:t>18</w:t>
            </w:r>
          </w:p>
        </w:tc>
        <w:tc>
          <w:tcPr>
            <w:tcW w:w="941" w:type="pct"/>
            <w:tcBorders>
              <w:top w:val="single" w:color="auto" w:sz="4" w:space="0"/>
              <w:left w:val="single" w:color="auto" w:sz="4" w:space="0"/>
              <w:bottom w:val="single" w:color="auto" w:sz="4" w:space="0"/>
              <w:right w:val="nil"/>
            </w:tcBorders>
            <w:shd w:val="clear" w:color="auto" w:fill="auto"/>
            <w:noWrap w:val="0"/>
            <w:tcMar>
              <w:top w:w="-1" w:type="dxa"/>
              <w:left w:w="-1" w:type="dxa"/>
              <w:bottom w:w="-1" w:type="dxa"/>
              <w:right w:w="-1" w:type="dxa"/>
            </w:tcMar>
            <w:vAlign w:val="center"/>
          </w:tcPr>
          <w:p w14:paraId="0A4A2183">
            <w:pPr>
              <w:keepNext/>
              <w:keepLines w:val="0"/>
              <w:widowControl/>
              <w:suppressLineNumbers w:val="0"/>
              <w:snapToGrid w:val="0"/>
              <w:ind w:left="0" w:leftChars="0" w:right="0" w:rightChars="0" w:firstLine="0" w:firstLineChars="0"/>
              <w:jc w:val="center"/>
              <w:textAlignment w:val="bottom"/>
              <w:rPr>
                <w:rFonts w:hint="eastAsia" w:ascii="仿宋_GB2312" w:hAnsi="宋体" w:eastAsia="仿宋_GB2312" w:cs="仿宋_GB2312"/>
                <w:i w:val="0"/>
                <w:iCs w:val="0"/>
                <w:color w:val="000000"/>
                <w:kern w:val="2"/>
                <w:sz w:val="28"/>
                <w:szCs w:val="28"/>
                <w:u w:val="none"/>
                <w:lang w:val="en-US" w:eastAsia="zh-CN" w:bidi="ar-SA"/>
              </w:rPr>
            </w:pPr>
            <w:r>
              <w:rPr>
                <w:rFonts w:hint="default" w:ascii="仿宋_GB2312" w:hAnsi="宋体" w:eastAsia="仿宋_GB2312" w:cs="仿宋_GB2312"/>
                <w:i w:val="0"/>
                <w:iCs w:val="0"/>
                <w:color w:val="000000"/>
                <w:kern w:val="0"/>
                <w:sz w:val="28"/>
                <w:szCs w:val="28"/>
                <w:u w:val="none"/>
                <w:lang w:val="en-US" w:eastAsia="zh-CN" w:bidi="ar"/>
              </w:rPr>
              <w:t>资金使用合格率</w:t>
            </w:r>
          </w:p>
        </w:tc>
        <w:tc>
          <w:tcPr>
            <w:tcW w:w="853" w:type="pct"/>
            <w:tcBorders>
              <w:top w:val="single" w:color="auto" w:sz="4" w:space="0"/>
              <w:left w:val="single" w:color="auto" w:sz="4" w:space="0"/>
              <w:bottom w:val="single" w:color="auto" w:sz="4" w:space="0"/>
              <w:right w:val="nil"/>
            </w:tcBorders>
            <w:shd w:val="clear" w:color="auto" w:fill="auto"/>
            <w:noWrap w:val="0"/>
            <w:tcMar>
              <w:top w:w="-1" w:type="dxa"/>
              <w:left w:w="-1" w:type="dxa"/>
              <w:bottom w:w="-1" w:type="dxa"/>
              <w:right w:w="-1" w:type="dxa"/>
            </w:tcMar>
            <w:vAlign w:val="center"/>
          </w:tcPr>
          <w:p w14:paraId="0A596EE5">
            <w:pPr>
              <w:keepNext/>
              <w:keepLines w:val="0"/>
              <w:widowControl/>
              <w:suppressLineNumbers w:val="0"/>
              <w:snapToGrid w:val="0"/>
              <w:ind w:left="0" w:leftChars="0" w:right="0" w:rightChars="0" w:firstLine="0" w:firstLineChars="0"/>
              <w:jc w:val="left"/>
              <w:textAlignment w:val="bottom"/>
              <w:rPr>
                <w:rFonts w:hint="eastAsia" w:ascii="仿宋_GB2312" w:hAnsi="宋体" w:eastAsia="仿宋_GB2312" w:cs="仿宋_GB2312"/>
                <w:i w:val="0"/>
                <w:iCs w:val="0"/>
                <w:color w:val="000000"/>
                <w:kern w:val="2"/>
                <w:sz w:val="28"/>
                <w:szCs w:val="28"/>
                <w:u w:val="none"/>
                <w:lang w:val="en-US" w:eastAsia="zh-CN" w:bidi="ar-SA"/>
              </w:rPr>
            </w:pPr>
            <w:r>
              <w:rPr>
                <w:rFonts w:hint="default" w:ascii="仿宋_GB2312" w:hAnsi="宋体" w:eastAsia="仿宋_GB2312" w:cs="仿宋_GB2312"/>
                <w:i w:val="0"/>
                <w:iCs w:val="0"/>
                <w:color w:val="000000"/>
                <w:kern w:val="0"/>
                <w:sz w:val="28"/>
                <w:szCs w:val="28"/>
                <w:u w:val="none"/>
                <w:lang w:val="en-US" w:eastAsia="zh-CN" w:bidi="ar"/>
              </w:rPr>
              <w:t>＝</w:t>
            </w:r>
          </w:p>
        </w:tc>
        <w:tc>
          <w:tcPr>
            <w:tcW w:w="683" w:type="pct"/>
            <w:tcBorders>
              <w:top w:val="single" w:color="auto" w:sz="4" w:space="0"/>
              <w:left w:val="single" w:color="auto" w:sz="4" w:space="0"/>
              <w:bottom w:val="single" w:color="auto" w:sz="4" w:space="0"/>
              <w:right w:val="nil"/>
            </w:tcBorders>
            <w:shd w:val="clear" w:color="auto" w:fill="auto"/>
            <w:noWrap w:val="0"/>
            <w:tcMar>
              <w:top w:w="-1" w:type="dxa"/>
              <w:left w:w="-1" w:type="dxa"/>
              <w:bottom w:w="-1" w:type="dxa"/>
              <w:right w:w="-1" w:type="dxa"/>
            </w:tcMar>
            <w:vAlign w:val="center"/>
          </w:tcPr>
          <w:p w14:paraId="399BDE88">
            <w:pPr>
              <w:keepNext/>
              <w:keepLines w:val="0"/>
              <w:widowControl/>
              <w:suppressLineNumbers w:val="0"/>
              <w:snapToGrid w:val="0"/>
              <w:ind w:left="0" w:leftChars="0" w:right="0" w:rightChars="0" w:firstLine="0" w:firstLineChars="0"/>
              <w:jc w:val="center"/>
              <w:textAlignment w:val="bottom"/>
              <w:rPr>
                <w:rFonts w:hint="eastAsia" w:ascii="仿宋_GB2312" w:hAnsi="宋体" w:eastAsia="仿宋_GB2312" w:cs="仿宋_GB2312"/>
                <w:i w:val="0"/>
                <w:iCs w:val="0"/>
                <w:color w:val="000000"/>
                <w:kern w:val="2"/>
                <w:sz w:val="28"/>
                <w:szCs w:val="28"/>
                <w:u w:val="none"/>
                <w:lang w:val="en-US" w:eastAsia="zh-CN" w:bidi="ar-SA"/>
              </w:rPr>
            </w:pPr>
            <w:r>
              <w:rPr>
                <w:rFonts w:hint="default" w:ascii="仿宋_GB2312" w:hAnsi="宋体" w:eastAsia="仿宋_GB2312" w:cs="仿宋_GB2312"/>
                <w:i w:val="0"/>
                <w:iCs w:val="0"/>
                <w:color w:val="000000"/>
                <w:kern w:val="0"/>
                <w:sz w:val="28"/>
                <w:szCs w:val="28"/>
                <w:u w:val="none"/>
                <w:lang w:val="en-US" w:eastAsia="zh-CN" w:bidi="ar"/>
              </w:rPr>
              <w:t>100</w:t>
            </w:r>
          </w:p>
        </w:tc>
        <w:tc>
          <w:tcPr>
            <w:tcW w:w="855" w:type="pct"/>
            <w:tcBorders>
              <w:top w:val="single" w:color="auto" w:sz="4" w:space="0"/>
              <w:left w:val="single" w:color="auto" w:sz="4" w:space="0"/>
              <w:bottom w:val="single" w:color="auto" w:sz="4" w:space="0"/>
              <w:right w:val="nil"/>
            </w:tcBorders>
            <w:shd w:val="clear" w:color="auto" w:fill="auto"/>
            <w:noWrap w:val="0"/>
            <w:tcMar>
              <w:top w:w="-1" w:type="dxa"/>
              <w:left w:w="-1" w:type="dxa"/>
              <w:bottom w:w="-1" w:type="dxa"/>
              <w:right w:w="-1" w:type="dxa"/>
            </w:tcMar>
            <w:vAlign w:val="center"/>
          </w:tcPr>
          <w:p w14:paraId="524E6053">
            <w:pPr>
              <w:keepNext/>
              <w:keepLines w:val="0"/>
              <w:widowControl/>
              <w:suppressLineNumbers w:val="0"/>
              <w:snapToGrid w:val="0"/>
              <w:ind w:left="0" w:leftChars="0" w:right="0" w:rightChars="0" w:firstLine="0" w:firstLineChars="0"/>
              <w:jc w:val="center"/>
              <w:textAlignment w:val="top"/>
              <w:rPr>
                <w:rFonts w:hint="eastAsia" w:ascii="仿宋_GB2312" w:hAnsi="宋体" w:eastAsia="仿宋_GB2312" w:cs="仿宋_GB2312"/>
                <w:i w:val="0"/>
                <w:iCs w:val="0"/>
                <w:color w:val="000000"/>
                <w:kern w:val="2"/>
                <w:sz w:val="28"/>
                <w:szCs w:val="28"/>
                <w:u w:val="none"/>
                <w:lang w:val="en-US" w:eastAsia="zh-CN" w:bidi="ar-SA"/>
              </w:rPr>
            </w:pPr>
            <w:r>
              <w:rPr>
                <w:rFonts w:hint="default" w:ascii="仿宋_GB2312" w:hAnsi="宋体" w:eastAsia="仿宋_GB2312" w:cs="仿宋_GB2312"/>
                <w:i w:val="0"/>
                <w:iCs w:val="0"/>
                <w:color w:val="000000"/>
                <w:kern w:val="0"/>
                <w:sz w:val="28"/>
                <w:szCs w:val="28"/>
                <w:u w:val="none"/>
                <w:lang w:val="en-US" w:eastAsia="zh-CN" w:bidi="ar"/>
              </w:rPr>
              <w:t>%</w:t>
            </w:r>
          </w:p>
        </w:tc>
        <w:tc>
          <w:tcPr>
            <w:tcW w:w="987" w:type="pct"/>
            <w:tcBorders>
              <w:top w:val="single" w:color="auto" w:sz="4" w:space="0"/>
              <w:left w:val="single" w:color="auto" w:sz="4" w:space="0"/>
              <w:bottom w:val="single" w:color="auto" w:sz="4" w:space="0"/>
              <w:right w:val="single" w:color="auto" w:sz="4" w:space="0"/>
            </w:tcBorders>
            <w:shd w:val="clear" w:color="auto" w:fill="auto"/>
            <w:noWrap w:val="0"/>
            <w:tcMar>
              <w:top w:w="-1" w:type="dxa"/>
              <w:left w:w="-1" w:type="dxa"/>
              <w:bottom w:w="-1" w:type="dxa"/>
              <w:right w:w="-1" w:type="dxa"/>
            </w:tcMar>
            <w:vAlign w:val="center"/>
          </w:tcPr>
          <w:p w14:paraId="59D3B382">
            <w:pPr>
              <w:keepNext/>
              <w:keepLines w:val="0"/>
              <w:widowControl/>
              <w:suppressLineNumbers w:val="0"/>
              <w:snapToGrid w:val="0"/>
              <w:ind w:left="0" w:leftChars="0" w:right="0" w:rightChars="0" w:firstLine="0" w:firstLineChars="0"/>
              <w:jc w:val="center"/>
              <w:textAlignment w:val="center"/>
              <w:rPr>
                <w:rFonts w:hint="eastAsia" w:ascii="仿宋_GB2312" w:hAnsi="宋体" w:eastAsia="仿宋_GB2312" w:cs="宋体"/>
                <w:i w:val="0"/>
                <w:iCs w:val="0"/>
                <w:color w:val="000000"/>
                <w:kern w:val="2"/>
                <w:sz w:val="28"/>
                <w:szCs w:val="22"/>
                <w:u w:val="none"/>
                <w:lang w:val="en-US" w:eastAsia="zh-CN" w:bidi="ar-SA"/>
              </w:rPr>
            </w:pPr>
            <w:r>
              <w:rPr>
                <w:rFonts w:hint="eastAsia" w:ascii="仿宋_GB2312" w:hAnsi="宋体" w:eastAsia="仿宋_GB2312" w:cs="宋体"/>
                <w:i w:val="0"/>
                <w:iCs w:val="0"/>
                <w:color w:val="000000"/>
                <w:kern w:val="0"/>
                <w:sz w:val="28"/>
                <w:szCs w:val="22"/>
                <w:u w:val="none"/>
                <w:lang w:val="en-US" w:eastAsia="zh-CN" w:bidi="ar"/>
              </w:rPr>
              <w:t>5</w:t>
            </w:r>
          </w:p>
        </w:tc>
      </w:tr>
      <w:tr w14:paraId="38953B16">
        <w:tblPrEx>
          <w:tblCellMar>
            <w:top w:w="0" w:type="dxa"/>
            <w:left w:w="108" w:type="dxa"/>
            <w:bottom w:w="0" w:type="dxa"/>
            <w:right w:w="108" w:type="dxa"/>
          </w:tblCellMar>
        </w:tblPrEx>
        <w:trPr>
          <w:trHeight w:val="275" w:hRule="atLeast"/>
        </w:trPr>
        <w:tc>
          <w:tcPr>
            <w:tcW w:w="680" w:type="pct"/>
            <w:tcBorders>
              <w:top w:val="single" w:color="auto" w:sz="4" w:space="0"/>
              <w:left w:val="single" w:color="auto" w:sz="4" w:space="0"/>
              <w:bottom w:val="single" w:color="auto" w:sz="4" w:space="0"/>
              <w:right w:val="nil"/>
            </w:tcBorders>
            <w:noWrap w:val="0"/>
            <w:tcMar>
              <w:top w:w="-1" w:type="dxa"/>
              <w:left w:w="-1" w:type="dxa"/>
              <w:bottom w:w="-1" w:type="dxa"/>
              <w:right w:w="-1" w:type="dxa"/>
            </w:tcMar>
            <w:vAlign w:val="bottom"/>
          </w:tcPr>
          <w:p w14:paraId="545EE50E">
            <w:pPr>
              <w:spacing w:line="520" w:lineRule="exact"/>
              <w:jc w:val="center"/>
              <w:rPr>
                <w:rFonts w:hint="default" w:ascii="仿宋_GB2312" w:eastAsia="仿宋_GB2312"/>
                <w:sz w:val="28"/>
                <w:szCs w:val="28"/>
                <w:lang w:val="en-US" w:eastAsia="zh-CN"/>
              </w:rPr>
            </w:pPr>
            <w:r>
              <w:rPr>
                <w:rFonts w:hint="eastAsia" w:ascii="仿宋_GB2312" w:eastAsia="仿宋_GB2312"/>
                <w:sz w:val="28"/>
                <w:szCs w:val="28"/>
                <w:lang w:val="en-US" w:eastAsia="zh-CN"/>
              </w:rPr>
              <w:t>19</w:t>
            </w:r>
          </w:p>
        </w:tc>
        <w:tc>
          <w:tcPr>
            <w:tcW w:w="941" w:type="pct"/>
            <w:tcBorders>
              <w:top w:val="single" w:color="auto" w:sz="4" w:space="0"/>
              <w:left w:val="single" w:color="auto" w:sz="4" w:space="0"/>
              <w:bottom w:val="single" w:color="auto" w:sz="4" w:space="0"/>
              <w:right w:val="nil"/>
            </w:tcBorders>
            <w:shd w:val="clear" w:color="auto" w:fill="auto"/>
            <w:noWrap w:val="0"/>
            <w:tcMar>
              <w:top w:w="-1" w:type="dxa"/>
              <w:left w:w="-1" w:type="dxa"/>
              <w:bottom w:w="-1" w:type="dxa"/>
              <w:right w:w="-1" w:type="dxa"/>
            </w:tcMar>
            <w:vAlign w:val="center"/>
          </w:tcPr>
          <w:p w14:paraId="4E8D5169">
            <w:pPr>
              <w:keepNext/>
              <w:keepLines w:val="0"/>
              <w:widowControl/>
              <w:suppressLineNumbers w:val="0"/>
              <w:snapToGrid w:val="0"/>
              <w:ind w:left="0" w:leftChars="0" w:right="0" w:rightChars="0" w:firstLine="0" w:firstLineChars="0"/>
              <w:jc w:val="center"/>
              <w:textAlignment w:val="bottom"/>
              <w:rPr>
                <w:rFonts w:hint="eastAsia" w:ascii="仿宋_GB2312" w:hAnsi="宋体" w:eastAsia="仿宋_GB2312" w:cs="仿宋_GB2312"/>
                <w:i w:val="0"/>
                <w:iCs w:val="0"/>
                <w:color w:val="000000"/>
                <w:kern w:val="2"/>
                <w:sz w:val="28"/>
                <w:szCs w:val="28"/>
                <w:u w:val="none"/>
                <w:lang w:val="en-US" w:eastAsia="zh-CN" w:bidi="ar-SA"/>
              </w:rPr>
            </w:pPr>
            <w:r>
              <w:rPr>
                <w:rFonts w:hint="default" w:ascii="仿宋_GB2312" w:hAnsi="宋体" w:eastAsia="仿宋_GB2312" w:cs="仿宋_GB2312"/>
                <w:i w:val="0"/>
                <w:iCs w:val="0"/>
                <w:color w:val="000000"/>
                <w:kern w:val="0"/>
                <w:sz w:val="28"/>
                <w:szCs w:val="28"/>
                <w:u w:val="none"/>
                <w:lang w:val="en-US" w:eastAsia="zh-CN" w:bidi="ar"/>
              </w:rPr>
              <w:t>机关正常运转率</w:t>
            </w:r>
          </w:p>
        </w:tc>
        <w:tc>
          <w:tcPr>
            <w:tcW w:w="853" w:type="pct"/>
            <w:tcBorders>
              <w:top w:val="single" w:color="auto" w:sz="4" w:space="0"/>
              <w:left w:val="single" w:color="auto" w:sz="4" w:space="0"/>
              <w:bottom w:val="single" w:color="auto" w:sz="4" w:space="0"/>
              <w:right w:val="nil"/>
            </w:tcBorders>
            <w:shd w:val="clear" w:color="auto" w:fill="auto"/>
            <w:noWrap w:val="0"/>
            <w:tcMar>
              <w:top w:w="-1" w:type="dxa"/>
              <w:left w:w="-1" w:type="dxa"/>
              <w:bottom w:w="-1" w:type="dxa"/>
              <w:right w:w="-1" w:type="dxa"/>
            </w:tcMar>
            <w:vAlign w:val="center"/>
          </w:tcPr>
          <w:p w14:paraId="606AC4C7">
            <w:pPr>
              <w:keepNext/>
              <w:keepLines w:val="0"/>
              <w:widowControl/>
              <w:suppressLineNumbers w:val="0"/>
              <w:snapToGrid w:val="0"/>
              <w:ind w:left="0" w:leftChars="0" w:right="0" w:rightChars="0" w:firstLine="0" w:firstLineChars="0"/>
              <w:jc w:val="left"/>
              <w:textAlignment w:val="bottom"/>
              <w:rPr>
                <w:rFonts w:hint="eastAsia" w:ascii="仿宋_GB2312" w:hAnsi="宋体" w:eastAsia="仿宋_GB2312" w:cs="仿宋_GB2312"/>
                <w:i w:val="0"/>
                <w:iCs w:val="0"/>
                <w:color w:val="000000"/>
                <w:kern w:val="2"/>
                <w:sz w:val="28"/>
                <w:szCs w:val="28"/>
                <w:u w:val="none"/>
                <w:lang w:val="en-US" w:eastAsia="zh-CN" w:bidi="ar-SA"/>
              </w:rPr>
            </w:pPr>
            <w:r>
              <w:rPr>
                <w:rFonts w:hint="default" w:ascii="仿宋_GB2312" w:hAnsi="宋体" w:eastAsia="仿宋_GB2312" w:cs="仿宋_GB2312"/>
                <w:i w:val="0"/>
                <w:iCs w:val="0"/>
                <w:color w:val="000000"/>
                <w:kern w:val="0"/>
                <w:sz w:val="28"/>
                <w:szCs w:val="28"/>
                <w:u w:val="none"/>
                <w:lang w:val="en-US" w:eastAsia="zh-CN" w:bidi="ar"/>
              </w:rPr>
              <w:t>＝</w:t>
            </w:r>
          </w:p>
        </w:tc>
        <w:tc>
          <w:tcPr>
            <w:tcW w:w="683" w:type="pct"/>
            <w:tcBorders>
              <w:top w:val="single" w:color="auto" w:sz="4" w:space="0"/>
              <w:left w:val="single" w:color="auto" w:sz="4" w:space="0"/>
              <w:bottom w:val="single" w:color="auto" w:sz="4" w:space="0"/>
              <w:right w:val="nil"/>
            </w:tcBorders>
            <w:shd w:val="clear" w:color="auto" w:fill="auto"/>
            <w:noWrap w:val="0"/>
            <w:tcMar>
              <w:top w:w="-1" w:type="dxa"/>
              <w:left w:w="-1" w:type="dxa"/>
              <w:bottom w:w="-1" w:type="dxa"/>
              <w:right w:w="-1" w:type="dxa"/>
            </w:tcMar>
            <w:vAlign w:val="center"/>
          </w:tcPr>
          <w:p w14:paraId="0B1A4499">
            <w:pPr>
              <w:keepNext/>
              <w:keepLines w:val="0"/>
              <w:widowControl/>
              <w:suppressLineNumbers w:val="0"/>
              <w:snapToGrid w:val="0"/>
              <w:ind w:left="0" w:leftChars="0" w:right="0" w:rightChars="0" w:firstLine="0" w:firstLineChars="0"/>
              <w:jc w:val="center"/>
              <w:textAlignment w:val="bottom"/>
              <w:rPr>
                <w:rFonts w:hint="eastAsia" w:ascii="仿宋_GB2312" w:hAnsi="宋体" w:eastAsia="仿宋_GB2312" w:cs="仿宋_GB2312"/>
                <w:i w:val="0"/>
                <w:iCs w:val="0"/>
                <w:color w:val="000000"/>
                <w:kern w:val="2"/>
                <w:sz w:val="28"/>
                <w:szCs w:val="28"/>
                <w:u w:val="none"/>
                <w:lang w:val="en-US" w:eastAsia="zh-CN" w:bidi="ar-SA"/>
              </w:rPr>
            </w:pPr>
            <w:r>
              <w:rPr>
                <w:rFonts w:hint="default" w:ascii="仿宋_GB2312" w:hAnsi="宋体" w:eastAsia="仿宋_GB2312" w:cs="仿宋_GB2312"/>
                <w:i w:val="0"/>
                <w:iCs w:val="0"/>
                <w:color w:val="000000"/>
                <w:kern w:val="0"/>
                <w:sz w:val="28"/>
                <w:szCs w:val="28"/>
                <w:u w:val="none"/>
                <w:lang w:val="en-US" w:eastAsia="zh-CN" w:bidi="ar"/>
              </w:rPr>
              <w:t>100</w:t>
            </w:r>
          </w:p>
        </w:tc>
        <w:tc>
          <w:tcPr>
            <w:tcW w:w="855" w:type="pct"/>
            <w:tcBorders>
              <w:top w:val="single" w:color="auto" w:sz="4" w:space="0"/>
              <w:left w:val="single" w:color="auto" w:sz="4" w:space="0"/>
              <w:bottom w:val="single" w:color="auto" w:sz="4" w:space="0"/>
              <w:right w:val="nil"/>
            </w:tcBorders>
            <w:shd w:val="clear" w:color="auto" w:fill="auto"/>
            <w:noWrap w:val="0"/>
            <w:tcMar>
              <w:top w:w="-1" w:type="dxa"/>
              <w:left w:w="-1" w:type="dxa"/>
              <w:bottom w:w="-1" w:type="dxa"/>
              <w:right w:w="-1" w:type="dxa"/>
            </w:tcMar>
            <w:vAlign w:val="center"/>
          </w:tcPr>
          <w:p w14:paraId="56025E1B">
            <w:pPr>
              <w:keepNext/>
              <w:keepLines w:val="0"/>
              <w:widowControl/>
              <w:suppressLineNumbers w:val="0"/>
              <w:snapToGrid w:val="0"/>
              <w:ind w:left="0" w:leftChars="0" w:right="0" w:rightChars="0" w:firstLine="0" w:firstLineChars="0"/>
              <w:jc w:val="center"/>
              <w:textAlignment w:val="top"/>
              <w:rPr>
                <w:rFonts w:hint="eastAsia" w:ascii="仿宋_GB2312" w:hAnsi="宋体" w:eastAsia="仿宋_GB2312" w:cs="仿宋_GB2312"/>
                <w:i w:val="0"/>
                <w:iCs w:val="0"/>
                <w:color w:val="000000"/>
                <w:kern w:val="2"/>
                <w:sz w:val="28"/>
                <w:szCs w:val="28"/>
                <w:u w:val="none"/>
                <w:lang w:val="en-US" w:eastAsia="zh-CN" w:bidi="ar-SA"/>
              </w:rPr>
            </w:pPr>
            <w:r>
              <w:rPr>
                <w:rFonts w:hint="default" w:ascii="仿宋_GB2312" w:hAnsi="宋体" w:eastAsia="仿宋_GB2312" w:cs="仿宋_GB2312"/>
                <w:i w:val="0"/>
                <w:iCs w:val="0"/>
                <w:color w:val="000000"/>
                <w:kern w:val="0"/>
                <w:sz w:val="28"/>
                <w:szCs w:val="28"/>
                <w:u w:val="none"/>
                <w:lang w:val="en-US" w:eastAsia="zh-CN" w:bidi="ar"/>
              </w:rPr>
              <w:t>%</w:t>
            </w:r>
          </w:p>
        </w:tc>
        <w:tc>
          <w:tcPr>
            <w:tcW w:w="987" w:type="pct"/>
            <w:tcBorders>
              <w:top w:val="single" w:color="auto" w:sz="4" w:space="0"/>
              <w:left w:val="single" w:color="auto" w:sz="4" w:space="0"/>
              <w:bottom w:val="single" w:color="auto" w:sz="4" w:space="0"/>
              <w:right w:val="single" w:color="auto" w:sz="4" w:space="0"/>
            </w:tcBorders>
            <w:shd w:val="clear" w:color="auto" w:fill="auto"/>
            <w:noWrap w:val="0"/>
            <w:tcMar>
              <w:top w:w="-1" w:type="dxa"/>
              <w:left w:w="-1" w:type="dxa"/>
              <w:bottom w:w="-1" w:type="dxa"/>
              <w:right w:w="-1" w:type="dxa"/>
            </w:tcMar>
            <w:vAlign w:val="center"/>
          </w:tcPr>
          <w:p w14:paraId="5A911EF7">
            <w:pPr>
              <w:keepNext/>
              <w:keepLines w:val="0"/>
              <w:widowControl/>
              <w:suppressLineNumbers w:val="0"/>
              <w:snapToGrid w:val="0"/>
              <w:ind w:left="0" w:leftChars="0" w:right="0" w:rightChars="0" w:firstLine="0" w:firstLineChars="0"/>
              <w:jc w:val="center"/>
              <w:textAlignment w:val="center"/>
              <w:rPr>
                <w:rFonts w:hint="eastAsia" w:ascii="仿宋_GB2312" w:hAnsi="宋体" w:eastAsia="仿宋_GB2312" w:cs="宋体"/>
                <w:i w:val="0"/>
                <w:iCs w:val="0"/>
                <w:color w:val="000000"/>
                <w:kern w:val="2"/>
                <w:sz w:val="28"/>
                <w:szCs w:val="22"/>
                <w:u w:val="none"/>
                <w:lang w:val="en-US" w:eastAsia="zh-CN" w:bidi="ar-SA"/>
              </w:rPr>
            </w:pPr>
            <w:r>
              <w:rPr>
                <w:rFonts w:hint="eastAsia" w:ascii="仿宋_GB2312" w:hAnsi="宋体" w:eastAsia="仿宋_GB2312" w:cs="宋体"/>
                <w:i w:val="0"/>
                <w:iCs w:val="0"/>
                <w:color w:val="000000"/>
                <w:kern w:val="0"/>
                <w:sz w:val="28"/>
                <w:szCs w:val="22"/>
                <w:u w:val="none"/>
                <w:lang w:val="en-US" w:eastAsia="zh-CN" w:bidi="ar"/>
              </w:rPr>
              <w:t>5</w:t>
            </w:r>
          </w:p>
        </w:tc>
      </w:tr>
      <w:tr w14:paraId="30316F81">
        <w:tblPrEx>
          <w:tblCellMar>
            <w:top w:w="0" w:type="dxa"/>
            <w:left w:w="108" w:type="dxa"/>
            <w:bottom w:w="0" w:type="dxa"/>
            <w:right w:w="108" w:type="dxa"/>
          </w:tblCellMar>
        </w:tblPrEx>
        <w:trPr>
          <w:trHeight w:val="275" w:hRule="atLeast"/>
        </w:trPr>
        <w:tc>
          <w:tcPr>
            <w:tcW w:w="680" w:type="pct"/>
            <w:tcBorders>
              <w:top w:val="single" w:color="auto" w:sz="4" w:space="0"/>
              <w:left w:val="single" w:color="auto" w:sz="4" w:space="0"/>
              <w:bottom w:val="single" w:color="auto" w:sz="4" w:space="0"/>
              <w:right w:val="nil"/>
            </w:tcBorders>
            <w:noWrap w:val="0"/>
            <w:tcMar>
              <w:top w:w="-1" w:type="dxa"/>
              <w:left w:w="-1" w:type="dxa"/>
              <w:bottom w:w="-1" w:type="dxa"/>
              <w:right w:w="-1" w:type="dxa"/>
            </w:tcMar>
            <w:vAlign w:val="bottom"/>
          </w:tcPr>
          <w:p w14:paraId="750E5A60">
            <w:pPr>
              <w:spacing w:line="520" w:lineRule="exact"/>
              <w:jc w:val="center"/>
              <w:rPr>
                <w:rFonts w:hint="default" w:ascii="仿宋_GB2312" w:eastAsia="仿宋_GB2312"/>
                <w:sz w:val="28"/>
                <w:szCs w:val="28"/>
                <w:lang w:val="en-US" w:eastAsia="zh-CN"/>
              </w:rPr>
            </w:pPr>
            <w:r>
              <w:rPr>
                <w:rFonts w:hint="eastAsia" w:ascii="仿宋_GB2312" w:eastAsia="仿宋_GB2312"/>
                <w:sz w:val="28"/>
                <w:szCs w:val="28"/>
                <w:lang w:val="en-US" w:eastAsia="zh-CN"/>
              </w:rPr>
              <w:t>20</w:t>
            </w:r>
          </w:p>
        </w:tc>
        <w:tc>
          <w:tcPr>
            <w:tcW w:w="941" w:type="pct"/>
            <w:tcBorders>
              <w:top w:val="single" w:color="auto" w:sz="4" w:space="0"/>
              <w:left w:val="single" w:color="auto" w:sz="4" w:space="0"/>
              <w:bottom w:val="single" w:color="auto" w:sz="4" w:space="0"/>
              <w:right w:val="nil"/>
            </w:tcBorders>
            <w:shd w:val="clear" w:color="auto" w:fill="auto"/>
            <w:noWrap w:val="0"/>
            <w:tcMar>
              <w:top w:w="-1" w:type="dxa"/>
              <w:left w:w="-1" w:type="dxa"/>
              <w:bottom w:w="-1" w:type="dxa"/>
              <w:right w:w="-1" w:type="dxa"/>
            </w:tcMar>
            <w:vAlign w:val="center"/>
          </w:tcPr>
          <w:p w14:paraId="39C301B2">
            <w:pPr>
              <w:keepNext/>
              <w:keepLines w:val="0"/>
              <w:widowControl/>
              <w:suppressLineNumbers w:val="0"/>
              <w:snapToGrid w:val="0"/>
              <w:ind w:left="0" w:leftChars="0" w:right="0" w:rightChars="0" w:firstLine="0" w:firstLineChars="0"/>
              <w:jc w:val="center"/>
              <w:textAlignment w:val="bottom"/>
              <w:rPr>
                <w:rFonts w:hint="eastAsia" w:ascii="仿宋_GB2312" w:hAnsi="宋体" w:eastAsia="仿宋_GB2312" w:cs="仿宋_GB2312"/>
                <w:i w:val="0"/>
                <w:iCs w:val="0"/>
                <w:color w:val="000000"/>
                <w:kern w:val="2"/>
                <w:sz w:val="28"/>
                <w:szCs w:val="28"/>
                <w:u w:val="none"/>
                <w:lang w:val="en-US" w:eastAsia="zh-CN" w:bidi="ar-SA"/>
              </w:rPr>
            </w:pPr>
            <w:r>
              <w:rPr>
                <w:rFonts w:hint="default" w:ascii="仿宋_GB2312" w:hAnsi="宋体" w:eastAsia="仿宋_GB2312" w:cs="仿宋_GB2312"/>
                <w:i w:val="0"/>
                <w:iCs w:val="0"/>
                <w:color w:val="000000"/>
                <w:kern w:val="0"/>
                <w:sz w:val="28"/>
                <w:szCs w:val="28"/>
                <w:u w:val="none"/>
                <w:lang w:val="en-US" w:eastAsia="zh-CN" w:bidi="ar"/>
              </w:rPr>
              <w:t>机关人员满意度</w:t>
            </w:r>
          </w:p>
        </w:tc>
        <w:tc>
          <w:tcPr>
            <w:tcW w:w="853" w:type="pct"/>
            <w:tcBorders>
              <w:top w:val="single" w:color="auto" w:sz="4" w:space="0"/>
              <w:left w:val="single" w:color="auto" w:sz="4" w:space="0"/>
              <w:bottom w:val="single" w:color="auto" w:sz="4" w:space="0"/>
              <w:right w:val="nil"/>
            </w:tcBorders>
            <w:shd w:val="clear" w:color="auto" w:fill="auto"/>
            <w:noWrap w:val="0"/>
            <w:tcMar>
              <w:top w:w="-1" w:type="dxa"/>
              <w:left w:w="-1" w:type="dxa"/>
              <w:bottom w:w="-1" w:type="dxa"/>
              <w:right w:w="-1" w:type="dxa"/>
            </w:tcMar>
            <w:vAlign w:val="center"/>
          </w:tcPr>
          <w:p w14:paraId="09653924">
            <w:pPr>
              <w:keepNext/>
              <w:keepLines w:val="0"/>
              <w:widowControl/>
              <w:suppressLineNumbers w:val="0"/>
              <w:snapToGrid w:val="0"/>
              <w:ind w:left="0" w:leftChars="0" w:right="0" w:rightChars="0" w:firstLine="0" w:firstLineChars="0"/>
              <w:jc w:val="left"/>
              <w:textAlignment w:val="bottom"/>
              <w:rPr>
                <w:rFonts w:hint="eastAsia" w:ascii="仿宋_GB2312" w:hAnsi="宋体" w:eastAsia="仿宋_GB2312" w:cs="仿宋_GB2312"/>
                <w:i w:val="0"/>
                <w:iCs w:val="0"/>
                <w:color w:val="000000"/>
                <w:kern w:val="2"/>
                <w:sz w:val="28"/>
                <w:szCs w:val="28"/>
                <w:u w:val="none"/>
                <w:lang w:val="en-US" w:eastAsia="zh-CN" w:bidi="ar-SA"/>
              </w:rPr>
            </w:pPr>
            <w:r>
              <w:rPr>
                <w:rFonts w:hint="default" w:ascii="仿宋_GB2312" w:hAnsi="宋体" w:eastAsia="仿宋_GB2312" w:cs="仿宋_GB2312"/>
                <w:i w:val="0"/>
                <w:iCs w:val="0"/>
                <w:color w:val="000000"/>
                <w:kern w:val="0"/>
                <w:sz w:val="28"/>
                <w:szCs w:val="28"/>
                <w:u w:val="none"/>
                <w:lang w:val="en-US" w:eastAsia="zh-CN" w:bidi="ar"/>
              </w:rPr>
              <w:t>≥</w:t>
            </w:r>
          </w:p>
        </w:tc>
        <w:tc>
          <w:tcPr>
            <w:tcW w:w="683" w:type="pct"/>
            <w:tcBorders>
              <w:top w:val="single" w:color="auto" w:sz="4" w:space="0"/>
              <w:left w:val="single" w:color="auto" w:sz="4" w:space="0"/>
              <w:bottom w:val="single" w:color="auto" w:sz="4" w:space="0"/>
              <w:right w:val="nil"/>
            </w:tcBorders>
            <w:shd w:val="clear" w:color="auto" w:fill="auto"/>
            <w:noWrap w:val="0"/>
            <w:tcMar>
              <w:top w:w="-1" w:type="dxa"/>
              <w:left w:w="-1" w:type="dxa"/>
              <w:bottom w:w="-1" w:type="dxa"/>
              <w:right w:w="-1" w:type="dxa"/>
            </w:tcMar>
            <w:vAlign w:val="center"/>
          </w:tcPr>
          <w:p w14:paraId="0C5C336C">
            <w:pPr>
              <w:keepNext/>
              <w:keepLines w:val="0"/>
              <w:widowControl/>
              <w:suppressLineNumbers w:val="0"/>
              <w:snapToGrid w:val="0"/>
              <w:ind w:left="0" w:leftChars="0" w:right="0" w:rightChars="0" w:firstLine="0" w:firstLineChars="0"/>
              <w:jc w:val="center"/>
              <w:textAlignment w:val="bottom"/>
              <w:rPr>
                <w:rFonts w:hint="eastAsia" w:ascii="仿宋_GB2312" w:hAnsi="宋体" w:eastAsia="仿宋_GB2312" w:cs="仿宋_GB2312"/>
                <w:i w:val="0"/>
                <w:iCs w:val="0"/>
                <w:color w:val="000000"/>
                <w:kern w:val="2"/>
                <w:sz w:val="28"/>
                <w:szCs w:val="28"/>
                <w:u w:val="none"/>
                <w:lang w:val="en-US" w:eastAsia="zh-CN" w:bidi="ar-SA"/>
              </w:rPr>
            </w:pPr>
            <w:r>
              <w:rPr>
                <w:rFonts w:hint="default" w:ascii="仿宋_GB2312" w:hAnsi="宋体" w:eastAsia="仿宋_GB2312" w:cs="仿宋_GB2312"/>
                <w:i w:val="0"/>
                <w:iCs w:val="0"/>
                <w:color w:val="000000"/>
                <w:kern w:val="0"/>
                <w:sz w:val="28"/>
                <w:szCs w:val="28"/>
                <w:u w:val="none"/>
                <w:lang w:val="en-US" w:eastAsia="zh-CN" w:bidi="ar"/>
              </w:rPr>
              <w:t>90</w:t>
            </w:r>
          </w:p>
        </w:tc>
        <w:tc>
          <w:tcPr>
            <w:tcW w:w="855" w:type="pct"/>
            <w:tcBorders>
              <w:top w:val="single" w:color="auto" w:sz="4" w:space="0"/>
              <w:left w:val="single" w:color="auto" w:sz="4" w:space="0"/>
              <w:bottom w:val="single" w:color="auto" w:sz="4" w:space="0"/>
              <w:right w:val="nil"/>
            </w:tcBorders>
            <w:shd w:val="clear" w:color="auto" w:fill="auto"/>
            <w:noWrap w:val="0"/>
            <w:tcMar>
              <w:top w:w="-1" w:type="dxa"/>
              <w:left w:w="-1" w:type="dxa"/>
              <w:bottom w:w="-1" w:type="dxa"/>
              <w:right w:w="-1" w:type="dxa"/>
            </w:tcMar>
            <w:vAlign w:val="center"/>
          </w:tcPr>
          <w:p w14:paraId="4063EA10">
            <w:pPr>
              <w:keepNext/>
              <w:keepLines w:val="0"/>
              <w:widowControl/>
              <w:suppressLineNumbers w:val="0"/>
              <w:snapToGrid w:val="0"/>
              <w:ind w:left="0" w:leftChars="0" w:right="0" w:rightChars="0" w:firstLine="0" w:firstLineChars="0"/>
              <w:jc w:val="center"/>
              <w:textAlignment w:val="top"/>
              <w:rPr>
                <w:rFonts w:hint="eastAsia" w:ascii="仿宋_GB2312" w:hAnsi="宋体" w:eastAsia="仿宋_GB2312" w:cs="仿宋_GB2312"/>
                <w:i w:val="0"/>
                <w:iCs w:val="0"/>
                <w:color w:val="000000"/>
                <w:kern w:val="2"/>
                <w:sz w:val="28"/>
                <w:szCs w:val="28"/>
                <w:u w:val="none"/>
                <w:lang w:val="en-US" w:eastAsia="zh-CN" w:bidi="ar-SA"/>
              </w:rPr>
            </w:pPr>
            <w:r>
              <w:rPr>
                <w:rFonts w:hint="default" w:ascii="仿宋_GB2312" w:hAnsi="宋体" w:eastAsia="仿宋_GB2312" w:cs="仿宋_GB2312"/>
                <w:i w:val="0"/>
                <w:iCs w:val="0"/>
                <w:color w:val="000000"/>
                <w:kern w:val="0"/>
                <w:sz w:val="28"/>
                <w:szCs w:val="28"/>
                <w:u w:val="none"/>
                <w:lang w:val="en-US" w:eastAsia="zh-CN" w:bidi="ar"/>
              </w:rPr>
              <w:t>%</w:t>
            </w:r>
          </w:p>
        </w:tc>
        <w:tc>
          <w:tcPr>
            <w:tcW w:w="987" w:type="pct"/>
            <w:tcBorders>
              <w:top w:val="single" w:color="auto" w:sz="4" w:space="0"/>
              <w:left w:val="single" w:color="auto" w:sz="4" w:space="0"/>
              <w:bottom w:val="single" w:color="auto" w:sz="4" w:space="0"/>
              <w:right w:val="single" w:color="auto" w:sz="4" w:space="0"/>
            </w:tcBorders>
            <w:shd w:val="clear" w:color="auto" w:fill="auto"/>
            <w:noWrap w:val="0"/>
            <w:tcMar>
              <w:top w:w="-1" w:type="dxa"/>
              <w:left w:w="-1" w:type="dxa"/>
              <w:bottom w:w="-1" w:type="dxa"/>
              <w:right w:w="-1" w:type="dxa"/>
            </w:tcMar>
            <w:vAlign w:val="center"/>
          </w:tcPr>
          <w:p w14:paraId="0EE89118">
            <w:pPr>
              <w:keepNext/>
              <w:keepLines w:val="0"/>
              <w:widowControl/>
              <w:suppressLineNumbers w:val="0"/>
              <w:snapToGrid w:val="0"/>
              <w:ind w:left="0" w:leftChars="0" w:right="0" w:rightChars="0" w:firstLine="0" w:firstLineChars="0"/>
              <w:jc w:val="center"/>
              <w:textAlignment w:val="center"/>
              <w:rPr>
                <w:rFonts w:hint="eastAsia" w:ascii="仿宋_GB2312" w:hAnsi="宋体" w:eastAsia="仿宋_GB2312" w:cs="宋体"/>
                <w:i w:val="0"/>
                <w:iCs w:val="0"/>
                <w:color w:val="000000"/>
                <w:kern w:val="2"/>
                <w:sz w:val="28"/>
                <w:szCs w:val="22"/>
                <w:u w:val="none"/>
                <w:lang w:val="en-US" w:eastAsia="zh-CN" w:bidi="ar-SA"/>
              </w:rPr>
            </w:pPr>
            <w:r>
              <w:rPr>
                <w:rFonts w:hint="eastAsia" w:ascii="仿宋_GB2312" w:hAnsi="宋体" w:eastAsia="仿宋_GB2312" w:cs="宋体"/>
                <w:i w:val="0"/>
                <w:iCs w:val="0"/>
                <w:color w:val="000000"/>
                <w:kern w:val="0"/>
                <w:sz w:val="28"/>
                <w:szCs w:val="22"/>
                <w:u w:val="none"/>
                <w:lang w:val="en-US" w:eastAsia="zh-CN" w:bidi="ar"/>
              </w:rPr>
              <w:t>3</w:t>
            </w:r>
          </w:p>
        </w:tc>
      </w:tr>
    </w:tbl>
    <w:p w14:paraId="2D5EB346">
      <w:pPr>
        <w:spacing w:line="580" w:lineRule="exact"/>
        <w:ind w:firstLine="641"/>
        <w:rPr>
          <w:rFonts w:hint="eastAsia" w:ascii="楷体_GB2312" w:hAnsi="Calibri" w:eastAsia="楷体_GB2312"/>
          <w:b/>
          <w:sz w:val="32"/>
          <w:szCs w:val="32"/>
        </w:rPr>
      </w:pPr>
      <w:r>
        <w:rPr>
          <w:rFonts w:hint="eastAsia" w:ascii="楷体_GB2312" w:eastAsia="楷体_GB2312"/>
          <w:b/>
          <w:sz w:val="32"/>
          <w:szCs w:val="32"/>
        </w:rPr>
        <w:t>(二)当年预算执行情况</w:t>
      </w:r>
      <w:bookmarkEnd w:id="3"/>
      <w:r>
        <w:rPr>
          <w:rFonts w:hint="eastAsia" w:ascii="仿宋_GB2312" w:eastAsia="仿宋_GB2312"/>
          <w:sz w:val="32"/>
          <w:szCs w:val="32"/>
        </w:rPr>
        <w:t xml:space="preserve">  </w:t>
      </w:r>
    </w:p>
    <w:p w14:paraId="5144A919">
      <w:pPr>
        <w:spacing w:line="580" w:lineRule="exact"/>
        <w:ind w:firstLine="641"/>
        <w:rPr>
          <w:rFonts w:hint="eastAsia" w:ascii="仿宋_GB2312" w:eastAsia="仿宋_GB2312"/>
          <w:sz w:val="32"/>
          <w:szCs w:val="32"/>
        </w:rPr>
      </w:pPr>
      <w:r>
        <w:rPr>
          <w:rFonts w:hint="eastAsia" w:ascii="仿宋_GB2312" w:eastAsia="仿宋_GB2312"/>
          <w:sz w:val="32"/>
          <w:szCs w:val="32"/>
        </w:rPr>
        <w:t>2025年全年预算数247,417,706.18元，其中，基本支出预算数41,322,635.26元，项目支出预算数206</w:t>
      </w:r>
      <w:r>
        <w:rPr>
          <w:rFonts w:hint="eastAsia" w:ascii="仿宋_GB2312" w:eastAsia="仿宋_GB2312"/>
          <w:sz w:val="32"/>
          <w:szCs w:val="32"/>
          <w:lang w:val="en-US" w:eastAsia="zh-CN"/>
        </w:rPr>
        <w:t>,</w:t>
      </w:r>
      <w:r>
        <w:rPr>
          <w:rFonts w:hint="eastAsia" w:ascii="仿宋_GB2312" w:eastAsia="仿宋_GB2312"/>
          <w:sz w:val="32"/>
          <w:szCs w:val="32"/>
        </w:rPr>
        <w:t>095</w:t>
      </w:r>
      <w:r>
        <w:rPr>
          <w:rFonts w:hint="eastAsia" w:ascii="仿宋_GB2312" w:eastAsia="仿宋_GB2312"/>
          <w:sz w:val="32"/>
          <w:szCs w:val="32"/>
          <w:lang w:val="en-US" w:eastAsia="zh-CN"/>
        </w:rPr>
        <w:t>,</w:t>
      </w:r>
      <w:r>
        <w:rPr>
          <w:rFonts w:hint="eastAsia" w:ascii="仿宋_GB2312" w:eastAsia="仿宋_GB2312"/>
          <w:sz w:val="32"/>
          <w:szCs w:val="32"/>
        </w:rPr>
        <w:t>070.92元。全年支出247,353,976.80元，其中，基本支出41,322,635.26元，项目支出206,031,341.54元。预算执行率为</w:t>
      </w:r>
      <w:r>
        <w:rPr>
          <w:rFonts w:hint="eastAsia" w:ascii="仿宋_GB2312" w:eastAsia="仿宋_GB2312"/>
          <w:sz w:val="32"/>
          <w:szCs w:val="32"/>
          <w:lang w:val="en-US" w:eastAsia="zh-CN"/>
        </w:rPr>
        <w:t>99.97</w:t>
      </w:r>
      <w:r>
        <w:rPr>
          <w:rFonts w:hint="eastAsia" w:ascii="仿宋_GB2312" w:eastAsia="仿宋_GB2312"/>
          <w:sz w:val="32"/>
          <w:szCs w:val="32"/>
        </w:rPr>
        <w:t xml:space="preserve">%。                                  </w:t>
      </w:r>
    </w:p>
    <w:p w14:paraId="60A17081">
      <w:pPr>
        <w:spacing w:line="580" w:lineRule="exact"/>
        <w:ind w:firstLine="641"/>
        <w:rPr>
          <w:rFonts w:hint="eastAsia" w:ascii="仿宋_GB2312" w:eastAsia="仿宋_GB2312"/>
          <w:sz w:val="32"/>
          <w:szCs w:val="32"/>
        </w:rPr>
      </w:pPr>
      <w:r>
        <w:rPr>
          <w:rFonts w:hint="eastAsia" w:ascii="仿宋_GB2312" w:eastAsia="仿宋_GB2312"/>
          <w:sz w:val="32"/>
          <w:szCs w:val="32"/>
        </w:rPr>
        <w:t>2025年年末结转结余资金总额为63,729.38元，全年支出预算数为247,417,706.18元，资金结转结余率为</w:t>
      </w:r>
      <w:r>
        <w:rPr>
          <w:rFonts w:hint="eastAsia" w:ascii="仿宋_GB2312" w:eastAsia="仿宋_GB2312"/>
          <w:sz w:val="32"/>
          <w:szCs w:val="32"/>
          <w:lang w:val="en-US" w:eastAsia="zh-CN"/>
        </w:rPr>
        <w:t>0.03</w:t>
      </w:r>
      <w:r>
        <w:rPr>
          <w:rFonts w:hint="eastAsia" w:ascii="仿宋_GB2312" w:eastAsia="仿宋_GB2312"/>
          <w:sz w:val="32"/>
          <w:szCs w:val="32"/>
        </w:rPr>
        <w:t>%；2024年年末结转结余资金总额为482,600.00元，全年支出预算数为341,404,543.24元，资金结转结余率为</w:t>
      </w:r>
      <w:r>
        <w:rPr>
          <w:rFonts w:hint="eastAsia" w:ascii="仿宋_GB2312" w:eastAsia="仿宋_GB2312"/>
          <w:sz w:val="32"/>
          <w:szCs w:val="32"/>
          <w:lang w:val="en-US" w:eastAsia="zh-CN"/>
        </w:rPr>
        <w:t>0.14</w:t>
      </w:r>
      <w:r>
        <w:rPr>
          <w:rFonts w:hint="eastAsia" w:ascii="仿宋_GB2312" w:eastAsia="仿宋_GB2312"/>
          <w:sz w:val="32"/>
          <w:szCs w:val="32"/>
        </w:rPr>
        <w:t>%；2025年度部门结转结余率较上一年下降了</w:t>
      </w:r>
      <w:r>
        <w:rPr>
          <w:rFonts w:hint="eastAsia" w:ascii="仿宋_GB2312" w:eastAsia="仿宋_GB2312"/>
          <w:sz w:val="32"/>
          <w:szCs w:val="32"/>
          <w:lang w:val="en-US" w:eastAsia="zh-CN"/>
        </w:rPr>
        <w:t>0.11</w:t>
      </w:r>
      <w:r>
        <w:rPr>
          <w:rFonts w:hint="eastAsia" w:ascii="仿宋_GB2312" w:eastAsia="仿宋_GB2312"/>
          <w:sz w:val="32"/>
          <w:szCs w:val="32"/>
        </w:rPr>
        <w:t>%。</w:t>
      </w:r>
    </w:p>
    <w:p w14:paraId="693CACD4">
      <w:pPr>
        <w:spacing w:line="580" w:lineRule="exact"/>
        <w:ind w:firstLine="641"/>
        <w:rPr>
          <w:rFonts w:hint="eastAsia" w:ascii="楷体_GB2312" w:eastAsia="楷体_GB2312"/>
          <w:b/>
          <w:sz w:val="32"/>
          <w:szCs w:val="32"/>
        </w:rPr>
      </w:pPr>
      <w:r>
        <w:rPr>
          <w:rFonts w:hint="eastAsia" w:ascii="楷体_GB2312" w:eastAsia="楷体_GB2312"/>
          <w:b/>
          <w:sz w:val="32"/>
          <w:szCs w:val="32"/>
        </w:rPr>
        <w:t>（三）整体绩效目标实现情况</w:t>
      </w:r>
    </w:p>
    <w:p w14:paraId="44C925CB">
      <w:pPr>
        <w:spacing w:line="580" w:lineRule="exact"/>
        <w:ind w:firstLine="641"/>
        <w:rPr>
          <w:rFonts w:hint="eastAsia" w:ascii="仿宋_GB2312" w:eastAsia="仿宋_GB2312"/>
          <w:sz w:val="32"/>
          <w:szCs w:val="32"/>
        </w:rPr>
      </w:pPr>
      <w:r>
        <w:rPr>
          <w:rFonts w:hint="eastAsia" w:ascii="仿宋_GB2312" w:eastAsia="仿宋_GB2312"/>
          <w:sz w:val="32"/>
          <w:szCs w:val="32"/>
        </w:rPr>
        <w:t>1.产出完成情况分析</w:t>
      </w:r>
    </w:p>
    <w:p w14:paraId="0034A4CC">
      <w:pPr>
        <w:spacing w:line="580" w:lineRule="exact"/>
        <w:ind w:firstLine="641"/>
        <w:rPr>
          <w:rFonts w:hint="eastAsia" w:ascii="仿宋_GB2312" w:eastAsia="仿宋_GB2312"/>
          <w:sz w:val="32"/>
          <w:szCs w:val="32"/>
        </w:rPr>
      </w:pPr>
      <w:r>
        <w:rPr>
          <w:rFonts w:hint="eastAsia" w:ascii="仿宋_GB2312" w:eastAsia="仿宋_GB2312"/>
          <w:sz w:val="32"/>
          <w:szCs w:val="32"/>
        </w:rPr>
        <w:t>（1）产出数量</w:t>
      </w:r>
    </w:p>
    <w:tbl>
      <w:tblPr>
        <w:tblStyle w:val="10"/>
        <w:tblW w:w="9200" w:type="dxa"/>
        <w:tblInd w:w="108" w:type="dxa"/>
        <w:tblLayout w:type="autofit"/>
        <w:tblCellMar>
          <w:top w:w="0" w:type="dxa"/>
          <w:left w:w="108" w:type="dxa"/>
          <w:bottom w:w="0" w:type="dxa"/>
          <w:right w:w="108" w:type="dxa"/>
        </w:tblCellMar>
      </w:tblPr>
      <w:tblGrid>
        <w:gridCol w:w="880"/>
        <w:gridCol w:w="1984"/>
        <w:gridCol w:w="1701"/>
        <w:gridCol w:w="1843"/>
        <w:gridCol w:w="2792"/>
      </w:tblGrid>
      <w:tr w14:paraId="19120764">
        <w:tblPrEx>
          <w:tblCellMar>
            <w:top w:w="0" w:type="dxa"/>
            <w:left w:w="108" w:type="dxa"/>
            <w:bottom w:w="0" w:type="dxa"/>
            <w:right w:w="108" w:type="dxa"/>
          </w:tblCellMar>
        </w:tblPrEx>
        <w:trPr>
          <w:trHeight w:val="510" w:hRule="atLeast"/>
        </w:trPr>
        <w:tc>
          <w:tcPr>
            <w:tcW w:w="880" w:type="dxa"/>
            <w:tcBorders>
              <w:top w:val="single" w:color="auto" w:sz="4" w:space="0"/>
              <w:left w:val="single" w:color="auto" w:sz="4" w:space="0"/>
              <w:bottom w:val="single" w:color="auto" w:sz="4" w:space="0"/>
              <w:right w:val="single" w:color="auto" w:sz="4" w:space="0"/>
            </w:tcBorders>
            <w:vAlign w:val="center"/>
          </w:tcPr>
          <w:p w14:paraId="68689D47">
            <w:pPr>
              <w:spacing w:line="520" w:lineRule="exact"/>
              <w:jc w:val="center"/>
              <w:rPr>
                <w:rFonts w:hint="eastAsia" w:ascii="仿宋_GB2312" w:eastAsia="仿宋_GB2312"/>
                <w:sz w:val="28"/>
                <w:szCs w:val="28"/>
              </w:rPr>
            </w:pPr>
            <w:r>
              <w:rPr>
                <w:rFonts w:hint="eastAsia" w:ascii="仿宋_GB2312" w:eastAsia="仿宋_GB2312"/>
                <w:sz w:val="28"/>
                <w:szCs w:val="28"/>
              </w:rPr>
              <w:t>序号</w:t>
            </w:r>
          </w:p>
        </w:tc>
        <w:tc>
          <w:tcPr>
            <w:tcW w:w="1984" w:type="dxa"/>
            <w:tcBorders>
              <w:top w:val="single" w:color="auto" w:sz="4" w:space="0"/>
              <w:left w:val="nil"/>
              <w:bottom w:val="single" w:color="auto" w:sz="4" w:space="0"/>
              <w:right w:val="single" w:color="auto" w:sz="4" w:space="0"/>
            </w:tcBorders>
            <w:vAlign w:val="center"/>
          </w:tcPr>
          <w:p w14:paraId="5DBD7BF7">
            <w:pPr>
              <w:spacing w:line="520" w:lineRule="exact"/>
              <w:jc w:val="center"/>
              <w:rPr>
                <w:rFonts w:hint="eastAsia" w:ascii="仿宋_GB2312" w:eastAsia="仿宋_GB2312"/>
                <w:sz w:val="28"/>
                <w:szCs w:val="28"/>
              </w:rPr>
            </w:pPr>
            <w:r>
              <w:rPr>
                <w:rFonts w:hint="eastAsia" w:ascii="仿宋_GB2312" w:eastAsia="仿宋_GB2312"/>
                <w:sz w:val="28"/>
                <w:szCs w:val="28"/>
              </w:rPr>
              <w:t>三级指标</w:t>
            </w:r>
          </w:p>
        </w:tc>
        <w:tc>
          <w:tcPr>
            <w:tcW w:w="1701" w:type="dxa"/>
            <w:tcBorders>
              <w:top w:val="single" w:color="auto" w:sz="4" w:space="0"/>
              <w:left w:val="nil"/>
              <w:bottom w:val="single" w:color="auto" w:sz="4" w:space="0"/>
              <w:right w:val="single" w:color="auto" w:sz="4" w:space="0"/>
            </w:tcBorders>
            <w:vAlign w:val="center"/>
          </w:tcPr>
          <w:p w14:paraId="3D357F7D">
            <w:pPr>
              <w:spacing w:line="520" w:lineRule="exact"/>
              <w:jc w:val="center"/>
              <w:rPr>
                <w:rFonts w:hint="eastAsia" w:ascii="仿宋_GB2312" w:eastAsia="仿宋_GB2312"/>
                <w:sz w:val="28"/>
                <w:szCs w:val="28"/>
              </w:rPr>
            </w:pPr>
            <w:r>
              <w:rPr>
                <w:rFonts w:hint="eastAsia" w:ascii="仿宋_GB2312" w:eastAsia="仿宋_GB2312"/>
                <w:sz w:val="28"/>
                <w:szCs w:val="28"/>
              </w:rPr>
              <w:t>计划值</w:t>
            </w:r>
          </w:p>
        </w:tc>
        <w:tc>
          <w:tcPr>
            <w:tcW w:w="1843" w:type="dxa"/>
            <w:tcBorders>
              <w:top w:val="single" w:color="auto" w:sz="4" w:space="0"/>
              <w:left w:val="nil"/>
              <w:bottom w:val="single" w:color="auto" w:sz="4" w:space="0"/>
              <w:right w:val="single" w:color="auto" w:sz="4" w:space="0"/>
            </w:tcBorders>
            <w:vAlign w:val="center"/>
          </w:tcPr>
          <w:p w14:paraId="5DC23241">
            <w:pPr>
              <w:spacing w:line="520" w:lineRule="exact"/>
              <w:jc w:val="center"/>
              <w:rPr>
                <w:rFonts w:hint="eastAsia" w:ascii="仿宋_GB2312" w:eastAsia="仿宋_GB2312"/>
                <w:sz w:val="28"/>
                <w:szCs w:val="28"/>
              </w:rPr>
            </w:pPr>
            <w:r>
              <w:rPr>
                <w:rFonts w:hint="eastAsia" w:ascii="仿宋_GB2312" w:eastAsia="仿宋_GB2312"/>
                <w:sz w:val="28"/>
                <w:szCs w:val="28"/>
              </w:rPr>
              <w:t>完成值</w:t>
            </w:r>
          </w:p>
        </w:tc>
        <w:tc>
          <w:tcPr>
            <w:tcW w:w="2792" w:type="dxa"/>
            <w:tcBorders>
              <w:top w:val="single" w:color="auto" w:sz="4" w:space="0"/>
              <w:left w:val="nil"/>
              <w:bottom w:val="single" w:color="auto" w:sz="4" w:space="0"/>
              <w:right w:val="single" w:color="auto" w:sz="4" w:space="0"/>
            </w:tcBorders>
            <w:vAlign w:val="center"/>
          </w:tcPr>
          <w:p w14:paraId="05C925AB">
            <w:pPr>
              <w:spacing w:line="520" w:lineRule="exact"/>
              <w:jc w:val="center"/>
              <w:rPr>
                <w:rFonts w:hint="eastAsia" w:ascii="仿宋_GB2312" w:eastAsia="仿宋_GB2312"/>
                <w:sz w:val="28"/>
                <w:szCs w:val="28"/>
              </w:rPr>
            </w:pPr>
            <w:r>
              <w:rPr>
                <w:rFonts w:hint="eastAsia" w:ascii="仿宋_GB2312" w:eastAsia="仿宋_GB2312"/>
                <w:sz w:val="28"/>
                <w:szCs w:val="28"/>
              </w:rPr>
              <w:t>偏差原因</w:t>
            </w:r>
          </w:p>
        </w:tc>
      </w:tr>
      <w:tr w14:paraId="1265B784">
        <w:tblPrEx>
          <w:tblCellMar>
            <w:top w:w="0" w:type="dxa"/>
            <w:left w:w="108" w:type="dxa"/>
            <w:bottom w:w="0" w:type="dxa"/>
            <w:right w:w="108" w:type="dxa"/>
          </w:tblCellMar>
        </w:tblPrEx>
        <w:trPr>
          <w:trHeight w:val="510" w:hRule="atLeast"/>
        </w:trPr>
        <w:tc>
          <w:tcPr>
            <w:tcW w:w="880" w:type="dxa"/>
            <w:tcBorders>
              <w:top w:val="nil"/>
              <w:left w:val="single" w:color="auto" w:sz="4" w:space="0"/>
              <w:bottom w:val="single" w:color="auto" w:sz="4" w:space="0"/>
              <w:right w:val="single" w:color="auto" w:sz="4" w:space="0"/>
            </w:tcBorders>
            <w:vAlign w:val="center"/>
          </w:tcPr>
          <w:p w14:paraId="6550BFAD">
            <w:pPr>
              <w:spacing w:line="520" w:lineRule="exact"/>
              <w:jc w:val="center"/>
              <w:rPr>
                <w:rFonts w:hint="eastAsia" w:ascii="仿宋_GB2312" w:eastAsia="仿宋_GB2312"/>
                <w:sz w:val="28"/>
                <w:szCs w:val="28"/>
              </w:rPr>
            </w:pPr>
            <w:r>
              <w:rPr>
                <w:rFonts w:hint="eastAsia" w:ascii="仿宋_GB2312" w:eastAsia="仿宋_GB2312"/>
                <w:sz w:val="28"/>
                <w:szCs w:val="28"/>
              </w:rPr>
              <w:t>1</w:t>
            </w:r>
          </w:p>
        </w:tc>
        <w:tc>
          <w:tcPr>
            <w:tcW w:w="1984" w:type="dxa"/>
            <w:tcBorders>
              <w:top w:val="nil"/>
              <w:left w:val="nil"/>
              <w:bottom w:val="single" w:color="auto" w:sz="4" w:space="0"/>
              <w:right w:val="single" w:color="auto" w:sz="4" w:space="0"/>
            </w:tcBorders>
            <w:shd w:val="clear" w:color="auto" w:fill="auto"/>
            <w:vAlign w:val="center"/>
          </w:tcPr>
          <w:p w14:paraId="198D5A02">
            <w:pPr>
              <w:widowControl/>
              <w:spacing w:line="520" w:lineRule="exact"/>
              <w:jc w:val="center"/>
              <w:rPr>
                <w:rFonts w:hint="eastAsia" w:ascii="仿宋_GB2312" w:hAnsi="宋体" w:eastAsia="仿宋_GB2312" w:cs="宋体"/>
                <w:color w:val="000000"/>
                <w:kern w:val="0"/>
                <w:sz w:val="28"/>
                <w:szCs w:val="28"/>
                <w:lang w:val="en-US" w:eastAsia="zh-CN" w:bidi="ar-SA"/>
              </w:rPr>
            </w:pPr>
            <w:r>
              <w:rPr>
                <w:rFonts w:hint="eastAsia" w:ascii="仿宋_GB2312" w:hAnsi="宋体" w:eastAsia="仿宋_GB2312" w:cs="宋体"/>
                <w:color w:val="000000"/>
                <w:kern w:val="0"/>
                <w:sz w:val="28"/>
                <w:szCs w:val="28"/>
              </w:rPr>
              <w:t>行政村数　</w:t>
            </w:r>
          </w:p>
        </w:tc>
        <w:tc>
          <w:tcPr>
            <w:tcW w:w="1701" w:type="dxa"/>
            <w:tcBorders>
              <w:top w:val="nil"/>
              <w:left w:val="nil"/>
              <w:bottom w:val="single" w:color="auto" w:sz="4" w:space="0"/>
              <w:right w:val="single" w:color="auto" w:sz="4" w:space="0"/>
            </w:tcBorders>
            <w:shd w:val="clear" w:color="auto" w:fill="auto"/>
            <w:vAlign w:val="center"/>
          </w:tcPr>
          <w:p w14:paraId="3A95A41C">
            <w:pPr>
              <w:widowControl/>
              <w:spacing w:line="520" w:lineRule="exact"/>
              <w:jc w:val="center"/>
              <w:rPr>
                <w:rFonts w:hint="eastAsia" w:ascii="仿宋_GB2312" w:hAnsi="宋体" w:eastAsia="仿宋_GB2312" w:cs="宋体"/>
                <w:color w:val="000000"/>
                <w:kern w:val="0"/>
                <w:sz w:val="28"/>
                <w:szCs w:val="28"/>
                <w:lang w:val="en-US" w:eastAsia="zh-CN" w:bidi="ar-SA"/>
              </w:rPr>
            </w:pPr>
            <w:r>
              <w:rPr>
                <w:rFonts w:hint="eastAsia" w:ascii="仿宋_GB2312" w:hAnsi="宋体" w:eastAsia="仿宋_GB2312" w:cs="宋体"/>
                <w:color w:val="000000"/>
                <w:kern w:val="0"/>
                <w:sz w:val="28"/>
                <w:szCs w:val="28"/>
                <w:lang w:val="en-US" w:eastAsia="zh-CN"/>
              </w:rPr>
              <w:t>=32个</w:t>
            </w:r>
            <w:r>
              <w:rPr>
                <w:rFonts w:hint="eastAsia" w:ascii="仿宋_GB2312" w:hAnsi="宋体" w:eastAsia="仿宋_GB2312" w:cs="宋体"/>
                <w:color w:val="000000"/>
                <w:kern w:val="0"/>
                <w:sz w:val="28"/>
                <w:szCs w:val="28"/>
              </w:rPr>
              <w:t>　</w:t>
            </w:r>
          </w:p>
        </w:tc>
        <w:tc>
          <w:tcPr>
            <w:tcW w:w="1843" w:type="dxa"/>
            <w:tcBorders>
              <w:top w:val="nil"/>
              <w:left w:val="nil"/>
              <w:bottom w:val="single" w:color="auto" w:sz="4" w:space="0"/>
              <w:right w:val="single" w:color="auto" w:sz="4" w:space="0"/>
            </w:tcBorders>
            <w:shd w:val="clear" w:color="auto" w:fill="auto"/>
            <w:vAlign w:val="center"/>
          </w:tcPr>
          <w:p w14:paraId="63BA0E8A">
            <w:pPr>
              <w:widowControl/>
              <w:spacing w:line="520" w:lineRule="exact"/>
              <w:jc w:val="center"/>
              <w:rPr>
                <w:rFonts w:hint="eastAsia" w:ascii="仿宋_GB2312" w:hAnsi="宋体" w:eastAsia="仿宋_GB2312" w:cs="宋体"/>
                <w:color w:val="000000"/>
                <w:kern w:val="0"/>
                <w:sz w:val="28"/>
                <w:szCs w:val="28"/>
                <w:lang w:val="en-US" w:eastAsia="zh-CN" w:bidi="ar-SA"/>
              </w:rPr>
            </w:pPr>
            <w:r>
              <w:rPr>
                <w:rFonts w:hint="eastAsia" w:ascii="仿宋_GB2312" w:hAnsi="宋体" w:eastAsia="仿宋_GB2312" w:cs="宋体"/>
                <w:color w:val="000000"/>
                <w:kern w:val="0"/>
                <w:sz w:val="28"/>
                <w:szCs w:val="28"/>
                <w:lang w:val="en-US" w:eastAsia="zh-CN"/>
              </w:rPr>
              <w:t>100%</w:t>
            </w:r>
            <w:r>
              <w:rPr>
                <w:rFonts w:hint="eastAsia" w:ascii="仿宋_GB2312" w:hAnsi="宋体" w:eastAsia="仿宋_GB2312" w:cs="宋体"/>
                <w:color w:val="000000"/>
                <w:kern w:val="0"/>
                <w:sz w:val="28"/>
                <w:szCs w:val="28"/>
              </w:rPr>
              <w:t>　</w:t>
            </w:r>
          </w:p>
        </w:tc>
        <w:tc>
          <w:tcPr>
            <w:tcW w:w="2792" w:type="dxa"/>
            <w:tcBorders>
              <w:top w:val="nil"/>
              <w:left w:val="nil"/>
              <w:bottom w:val="single" w:color="auto" w:sz="4" w:space="0"/>
              <w:right w:val="single" w:color="auto" w:sz="4" w:space="0"/>
            </w:tcBorders>
            <w:vAlign w:val="center"/>
          </w:tcPr>
          <w:p w14:paraId="2672F0B5">
            <w:pPr>
              <w:spacing w:line="520" w:lineRule="exact"/>
              <w:ind w:firstLine="640"/>
              <w:rPr>
                <w:rFonts w:hint="eastAsia" w:ascii="仿宋_GB2312" w:eastAsia="仿宋_GB2312"/>
                <w:sz w:val="28"/>
                <w:szCs w:val="28"/>
              </w:rPr>
            </w:pPr>
            <w:r>
              <w:rPr>
                <w:rFonts w:hint="eastAsia" w:ascii="仿宋_GB2312" w:eastAsia="仿宋_GB2312"/>
                <w:sz w:val="28"/>
                <w:szCs w:val="28"/>
              </w:rPr>
              <w:t>　</w:t>
            </w:r>
          </w:p>
        </w:tc>
      </w:tr>
      <w:tr w14:paraId="3FE4CDEA">
        <w:tblPrEx>
          <w:tblCellMar>
            <w:top w:w="0" w:type="dxa"/>
            <w:left w:w="108" w:type="dxa"/>
            <w:bottom w:w="0" w:type="dxa"/>
            <w:right w:w="108" w:type="dxa"/>
          </w:tblCellMar>
        </w:tblPrEx>
        <w:trPr>
          <w:trHeight w:val="510" w:hRule="atLeast"/>
        </w:trPr>
        <w:tc>
          <w:tcPr>
            <w:tcW w:w="880" w:type="dxa"/>
            <w:tcBorders>
              <w:top w:val="nil"/>
              <w:left w:val="single" w:color="auto" w:sz="4" w:space="0"/>
              <w:bottom w:val="single" w:color="auto" w:sz="4" w:space="0"/>
              <w:right w:val="single" w:color="auto" w:sz="4" w:space="0"/>
            </w:tcBorders>
            <w:vAlign w:val="center"/>
          </w:tcPr>
          <w:p w14:paraId="1891B777">
            <w:pPr>
              <w:spacing w:line="520" w:lineRule="exact"/>
              <w:jc w:val="center"/>
              <w:rPr>
                <w:rFonts w:hint="eastAsia" w:ascii="仿宋_GB2312" w:eastAsia="仿宋_GB2312"/>
                <w:sz w:val="28"/>
                <w:szCs w:val="28"/>
              </w:rPr>
            </w:pPr>
            <w:r>
              <w:rPr>
                <w:rFonts w:hint="eastAsia" w:ascii="仿宋_GB2312" w:eastAsia="仿宋_GB2312"/>
                <w:sz w:val="28"/>
                <w:szCs w:val="28"/>
              </w:rPr>
              <w:t>2</w:t>
            </w:r>
          </w:p>
        </w:tc>
        <w:tc>
          <w:tcPr>
            <w:tcW w:w="1984" w:type="dxa"/>
            <w:tcBorders>
              <w:top w:val="nil"/>
              <w:left w:val="nil"/>
              <w:bottom w:val="single" w:color="auto" w:sz="4" w:space="0"/>
              <w:right w:val="single" w:color="auto" w:sz="4" w:space="0"/>
            </w:tcBorders>
            <w:shd w:val="clear" w:color="auto" w:fill="auto"/>
            <w:vAlign w:val="center"/>
          </w:tcPr>
          <w:p w14:paraId="2D2429CF">
            <w:pPr>
              <w:widowControl/>
              <w:spacing w:line="520" w:lineRule="exact"/>
              <w:jc w:val="center"/>
              <w:rPr>
                <w:rFonts w:hint="eastAsia" w:ascii="仿宋_GB2312" w:hAnsi="宋体" w:eastAsia="仿宋_GB2312" w:cs="宋体"/>
                <w:color w:val="000000"/>
                <w:kern w:val="0"/>
                <w:sz w:val="28"/>
                <w:szCs w:val="28"/>
                <w:lang w:val="en-US" w:eastAsia="zh-CN" w:bidi="ar-SA"/>
              </w:rPr>
            </w:pPr>
            <w:r>
              <w:rPr>
                <w:rFonts w:hint="eastAsia" w:ascii="仿宋_GB2312" w:hAnsi="宋体" w:eastAsia="仿宋_GB2312" w:cs="宋体"/>
                <w:color w:val="000000"/>
                <w:kern w:val="0"/>
                <w:sz w:val="28"/>
                <w:szCs w:val="28"/>
              </w:rPr>
              <w:t>　治安宣传活动次数</w:t>
            </w:r>
          </w:p>
        </w:tc>
        <w:tc>
          <w:tcPr>
            <w:tcW w:w="1701" w:type="dxa"/>
            <w:tcBorders>
              <w:top w:val="nil"/>
              <w:left w:val="nil"/>
              <w:bottom w:val="single" w:color="auto" w:sz="4" w:space="0"/>
              <w:right w:val="single" w:color="auto" w:sz="4" w:space="0"/>
            </w:tcBorders>
            <w:shd w:val="clear" w:color="auto" w:fill="auto"/>
            <w:vAlign w:val="center"/>
          </w:tcPr>
          <w:p w14:paraId="1282C598">
            <w:pPr>
              <w:widowControl/>
              <w:spacing w:line="520" w:lineRule="exact"/>
              <w:jc w:val="center"/>
              <w:rPr>
                <w:rFonts w:hint="eastAsia" w:ascii="仿宋_GB2312" w:hAnsi="宋体" w:eastAsia="仿宋_GB2312" w:cs="宋体"/>
                <w:color w:val="000000"/>
                <w:kern w:val="0"/>
                <w:sz w:val="28"/>
                <w:szCs w:val="28"/>
                <w:lang w:val="en-US" w:eastAsia="zh-CN" w:bidi="ar-SA"/>
              </w:rPr>
            </w:pPr>
            <w:r>
              <w:rPr>
                <w:rFonts w:hint="eastAsia" w:ascii="仿宋_GB2312" w:hAnsi="宋体" w:eastAsia="仿宋_GB2312" w:cs="宋体"/>
                <w:color w:val="000000"/>
                <w:kern w:val="0"/>
                <w:sz w:val="28"/>
                <w:szCs w:val="28"/>
              </w:rPr>
              <w:t>≥</w:t>
            </w:r>
            <w:r>
              <w:rPr>
                <w:rFonts w:hint="eastAsia" w:ascii="仿宋_GB2312" w:hAnsi="宋体" w:eastAsia="仿宋_GB2312" w:cs="宋体"/>
                <w:color w:val="000000"/>
                <w:kern w:val="0"/>
                <w:sz w:val="28"/>
                <w:szCs w:val="28"/>
                <w:lang w:val="en-US" w:eastAsia="zh-CN"/>
              </w:rPr>
              <w:t>5次</w:t>
            </w:r>
          </w:p>
        </w:tc>
        <w:tc>
          <w:tcPr>
            <w:tcW w:w="1843" w:type="dxa"/>
            <w:tcBorders>
              <w:top w:val="nil"/>
              <w:left w:val="nil"/>
              <w:bottom w:val="single" w:color="auto" w:sz="4" w:space="0"/>
              <w:right w:val="single" w:color="auto" w:sz="4" w:space="0"/>
            </w:tcBorders>
            <w:shd w:val="clear" w:color="auto" w:fill="auto"/>
            <w:vAlign w:val="center"/>
          </w:tcPr>
          <w:p w14:paraId="688C4445">
            <w:pPr>
              <w:widowControl/>
              <w:spacing w:line="520" w:lineRule="exact"/>
              <w:jc w:val="center"/>
              <w:rPr>
                <w:rFonts w:hint="eastAsia" w:ascii="仿宋_GB2312" w:hAnsi="宋体" w:eastAsia="仿宋_GB2312" w:cs="宋体"/>
                <w:color w:val="000000"/>
                <w:kern w:val="0"/>
                <w:sz w:val="28"/>
                <w:szCs w:val="28"/>
                <w:lang w:val="en-US" w:eastAsia="zh-CN" w:bidi="ar-SA"/>
              </w:rPr>
            </w:pPr>
            <w:r>
              <w:rPr>
                <w:rFonts w:hint="eastAsia" w:ascii="仿宋_GB2312" w:hAnsi="宋体" w:eastAsia="仿宋_GB2312" w:cs="宋体"/>
                <w:color w:val="000000"/>
                <w:kern w:val="0"/>
                <w:sz w:val="28"/>
                <w:szCs w:val="28"/>
                <w:lang w:val="en-US" w:eastAsia="zh-CN"/>
              </w:rPr>
              <w:t>100%</w:t>
            </w:r>
            <w:r>
              <w:rPr>
                <w:rFonts w:hint="eastAsia" w:ascii="仿宋_GB2312" w:hAnsi="宋体" w:eastAsia="仿宋_GB2312" w:cs="宋体"/>
                <w:color w:val="000000"/>
                <w:kern w:val="0"/>
                <w:sz w:val="28"/>
                <w:szCs w:val="28"/>
              </w:rPr>
              <w:t>　　</w:t>
            </w:r>
          </w:p>
        </w:tc>
        <w:tc>
          <w:tcPr>
            <w:tcW w:w="2792" w:type="dxa"/>
            <w:tcBorders>
              <w:top w:val="nil"/>
              <w:left w:val="nil"/>
              <w:bottom w:val="single" w:color="auto" w:sz="4" w:space="0"/>
              <w:right w:val="single" w:color="auto" w:sz="4" w:space="0"/>
            </w:tcBorders>
            <w:vAlign w:val="center"/>
          </w:tcPr>
          <w:p w14:paraId="79796239">
            <w:pPr>
              <w:spacing w:line="520" w:lineRule="exact"/>
              <w:ind w:firstLine="640"/>
              <w:rPr>
                <w:rFonts w:hint="eastAsia" w:ascii="仿宋_GB2312" w:eastAsia="仿宋_GB2312"/>
                <w:sz w:val="28"/>
                <w:szCs w:val="28"/>
              </w:rPr>
            </w:pPr>
            <w:r>
              <w:rPr>
                <w:rFonts w:hint="eastAsia" w:ascii="仿宋_GB2312" w:eastAsia="仿宋_GB2312"/>
                <w:sz w:val="28"/>
                <w:szCs w:val="28"/>
              </w:rPr>
              <w:t>　</w:t>
            </w:r>
          </w:p>
        </w:tc>
      </w:tr>
      <w:tr w14:paraId="0A21F545">
        <w:tblPrEx>
          <w:tblCellMar>
            <w:top w:w="0" w:type="dxa"/>
            <w:left w:w="108" w:type="dxa"/>
            <w:bottom w:w="0" w:type="dxa"/>
            <w:right w:w="108" w:type="dxa"/>
          </w:tblCellMar>
        </w:tblPrEx>
        <w:trPr>
          <w:trHeight w:val="510" w:hRule="atLeast"/>
        </w:trPr>
        <w:tc>
          <w:tcPr>
            <w:tcW w:w="880" w:type="dxa"/>
            <w:tcBorders>
              <w:top w:val="nil"/>
              <w:left w:val="single" w:color="auto" w:sz="4" w:space="0"/>
              <w:bottom w:val="single" w:color="auto" w:sz="4" w:space="0"/>
              <w:right w:val="single" w:color="auto" w:sz="4" w:space="0"/>
            </w:tcBorders>
            <w:vAlign w:val="center"/>
          </w:tcPr>
          <w:p w14:paraId="3B4287CA">
            <w:pPr>
              <w:spacing w:line="520" w:lineRule="exact"/>
              <w:jc w:val="center"/>
              <w:rPr>
                <w:rFonts w:hint="eastAsia" w:ascii="仿宋_GB2312" w:eastAsia="仿宋_GB2312"/>
                <w:sz w:val="28"/>
                <w:szCs w:val="28"/>
              </w:rPr>
            </w:pPr>
            <w:r>
              <w:rPr>
                <w:rFonts w:hint="eastAsia" w:ascii="仿宋_GB2312" w:eastAsia="仿宋_GB2312"/>
                <w:sz w:val="28"/>
                <w:szCs w:val="28"/>
              </w:rPr>
              <w:t>3</w:t>
            </w:r>
          </w:p>
        </w:tc>
        <w:tc>
          <w:tcPr>
            <w:tcW w:w="1984" w:type="dxa"/>
            <w:tcBorders>
              <w:top w:val="nil"/>
              <w:left w:val="nil"/>
              <w:bottom w:val="single" w:color="auto" w:sz="4" w:space="0"/>
              <w:right w:val="single" w:color="auto" w:sz="4" w:space="0"/>
            </w:tcBorders>
            <w:shd w:val="clear" w:color="auto" w:fill="auto"/>
            <w:vAlign w:val="center"/>
          </w:tcPr>
          <w:p w14:paraId="4055F2FD">
            <w:pPr>
              <w:widowControl/>
              <w:spacing w:line="520" w:lineRule="exact"/>
              <w:jc w:val="center"/>
              <w:rPr>
                <w:rFonts w:hint="eastAsia" w:ascii="仿宋_GB2312" w:hAnsi="宋体" w:eastAsia="仿宋_GB2312" w:cs="宋体"/>
                <w:color w:val="000000"/>
                <w:kern w:val="0"/>
                <w:sz w:val="28"/>
                <w:szCs w:val="28"/>
                <w:lang w:val="en-US" w:eastAsia="zh-CN" w:bidi="ar-SA"/>
              </w:rPr>
            </w:pPr>
            <w:r>
              <w:rPr>
                <w:rFonts w:hint="eastAsia" w:ascii="仿宋_GB2312" w:hAnsi="宋体" w:eastAsia="仿宋_GB2312" w:cs="宋体"/>
                <w:color w:val="000000"/>
                <w:kern w:val="0"/>
                <w:sz w:val="28"/>
                <w:szCs w:val="28"/>
              </w:rPr>
              <w:t>严重精神障碍患者管理补贴发放率　</w:t>
            </w:r>
          </w:p>
        </w:tc>
        <w:tc>
          <w:tcPr>
            <w:tcW w:w="1701" w:type="dxa"/>
            <w:tcBorders>
              <w:top w:val="nil"/>
              <w:left w:val="nil"/>
              <w:bottom w:val="single" w:color="auto" w:sz="4" w:space="0"/>
              <w:right w:val="single" w:color="auto" w:sz="4" w:space="0"/>
            </w:tcBorders>
            <w:shd w:val="clear" w:color="auto" w:fill="auto"/>
            <w:vAlign w:val="center"/>
          </w:tcPr>
          <w:p w14:paraId="290BEEFB">
            <w:pPr>
              <w:widowControl/>
              <w:spacing w:line="520" w:lineRule="exact"/>
              <w:jc w:val="center"/>
              <w:rPr>
                <w:rFonts w:hint="eastAsia" w:ascii="仿宋_GB2312" w:hAnsi="宋体" w:eastAsia="仿宋_GB2312" w:cs="宋体"/>
                <w:color w:val="000000"/>
                <w:kern w:val="0"/>
                <w:sz w:val="28"/>
                <w:szCs w:val="28"/>
                <w:lang w:val="en-US" w:eastAsia="zh-CN" w:bidi="ar-SA"/>
              </w:rPr>
            </w:pPr>
            <w:r>
              <w:rPr>
                <w:rFonts w:hint="eastAsia" w:ascii="仿宋_GB2312" w:hAnsi="宋体" w:eastAsia="仿宋_GB2312" w:cs="宋体"/>
                <w:color w:val="000000"/>
                <w:kern w:val="0"/>
                <w:sz w:val="28"/>
                <w:szCs w:val="28"/>
                <w:lang w:val="en-US" w:eastAsia="zh-CN"/>
              </w:rPr>
              <w:t>=100%</w:t>
            </w:r>
            <w:r>
              <w:rPr>
                <w:rFonts w:hint="eastAsia" w:ascii="仿宋_GB2312" w:hAnsi="宋体" w:eastAsia="仿宋_GB2312" w:cs="宋体"/>
                <w:color w:val="000000"/>
                <w:kern w:val="0"/>
                <w:sz w:val="28"/>
                <w:szCs w:val="28"/>
              </w:rPr>
              <w:t>　</w:t>
            </w:r>
          </w:p>
        </w:tc>
        <w:tc>
          <w:tcPr>
            <w:tcW w:w="1843" w:type="dxa"/>
            <w:tcBorders>
              <w:top w:val="nil"/>
              <w:left w:val="nil"/>
              <w:bottom w:val="single" w:color="auto" w:sz="4" w:space="0"/>
              <w:right w:val="single" w:color="auto" w:sz="4" w:space="0"/>
            </w:tcBorders>
            <w:shd w:val="clear" w:color="auto" w:fill="auto"/>
            <w:vAlign w:val="center"/>
          </w:tcPr>
          <w:p w14:paraId="1B6A1984">
            <w:pPr>
              <w:widowControl/>
              <w:spacing w:line="520" w:lineRule="exact"/>
              <w:jc w:val="center"/>
              <w:rPr>
                <w:rFonts w:hint="eastAsia" w:ascii="仿宋_GB2312" w:hAnsi="宋体" w:eastAsia="仿宋_GB2312" w:cs="宋体"/>
                <w:color w:val="000000"/>
                <w:kern w:val="0"/>
                <w:sz w:val="28"/>
                <w:szCs w:val="28"/>
                <w:lang w:val="en-US" w:eastAsia="zh-CN" w:bidi="ar-SA"/>
              </w:rPr>
            </w:pPr>
            <w:r>
              <w:rPr>
                <w:rFonts w:hint="eastAsia" w:ascii="仿宋_GB2312" w:hAnsi="宋体" w:eastAsia="仿宋_GB2312" w:cs="宋体"/>
                <w:color w:val="000000"/>
                <w:kern w:val="0"/>
                <w:sz w:val="28"/>
                <w:szCs w:val="28"/>
                <w:lang w:val="en-US" w:eastAsia="zh-CN"/>
              </w:rPr>
              <w:t>100%</w:t>
            </w:r>
            <w:r>
              <w:rPr>
                <w:rFonts w:hint="eastAsia" w:ascii="仿宋_GB2312" w:hAnsi="宋体" w:eastAsia="仿宋_GB2312" w:cs="宋体"/>
                <w:color w:val="000000"/>
                <w:kern w:val="0"/>
                <w:sz w:val="28"/>
                <w:szCs w:val="28"/>
              </w:rPr>
              <w:t>　　</w:t>
            </w:r>
          </w:p>
        </w:tc>
        <w:tc>
          <w:tcPr>
            <w:tcW w:w="2792" w:type="dxa"/>
            <w:tcBorders>
              <w:top w:val="nil"/>
              <w:left w:val="nil"/>
              <w:bottom w:val="single" w:color="auto" w:sz="4" w:space="0"/>
              <w:right w:val="single" w:color="auto" w:sz="4" w:space="0"/>
            </w:tcBorders>
            <w:vAlign w:val="center"/>
          </w:tcPr>
          <w:p w14:paraId="67E22198">
            <w:pPr>
              <w:spacing w:line="520" w:lineRule="exact"/>
              <w:ind w:firstLine="640"/>
              <w:rPr>
                <w:rFonts w:hint="eastAsia" w:ascii="仿宋_GB2312" w:eastAsia="仿宋_GB2312"/>
                <w:sz w:val="28"/>
                <w:szCs w:val="28"/>
              </w:rPr>
            </w:pPr>
            <w:r>
              <w:rPr>
                <w:rFonts w:hint="eastAsia" w:ascii="仿宋_GB2312" w:eastAsia="仿宋_GB2312"/>
                <w:sz w:val="28"/>
                <w:szCs w:val="28"/>
              </w:rPr>
              <w:t>　</w:t>
            </w:r>
          </w:p>
        </w:tc>
      </w:tr>
      <w:tr w14:paraId="15371AF6">
        <w:tblPrEx>
          <w:tblCellMar>
            <w:top w:w="0" w:type="dxa"/>
            <w:left w:w="108" w:type="dxa"/>
            <w:bottom w:w="0" w:type="dxa"/>
            <w:right w:w="108" w:type="dxa"/>
          </w:tblCellMar>
        </w:tblPrEx>
        <w:trPr>
          <w:trHeight w:val="510" w:hRule="atLeast"/>
        </w:trPr>
        <w:tc>
          <w:tcPr>
            <w:tcW w:w="880" w:type="dxa"/>
            <w:tcBorders>
              <w:top w:val="nil"/>
              <w:left w:val="single" w:color="auto" w:sz="4" w:space="0"/>
              <w:bottom w:val="single" w:color="auto" w:sz="4" w:space="0"/>
              <w:right w:val="single" w:color="auto" w:sz="4" w:space="0"/>
            </w:tcBorders>
            <w:vAlign w:val="center"/>
          </w:tcPr>
          <w:p w14:paraId="071A941C">
            <w:pPr>
              <w:spacing w:line="520" w:lineRule="exact"/>
              <w:jc w:val="center"/>
              <w:rPr>
                <w:rFonts w:hint="eastAsia" w:ascii="仿宋_GB2312" w:eastAsia="仿宋_GB2312"/>
                <w:sz w:val="28"/>
                <w:szCs w:val="28"/>
                <w:lang w:eastAsia="zh-CN"/>
              </w:rPr>
            </w:pPr>
            <w:r>
              <w:rPr>
                <w:rFonts w:hint="eastAsia" w:ascii="仿宋_GB2312" w:eastAsia="仿宋_GB2312"/>
                <w:sz w:val="28"/>
                <w:szCs w:val="28"/>
                <w:lang w:val="en-US" w:eastAsia="zh-CN"/>
              </w:rPr>
              <w:t>4</w:t>
            </w:r>
          </w:p>
        </w:tc>
        <w:tc>
          <w:tcPr>
            <w:tcW w:w="1984" w:type="dxa"/>
            <w:tcBorders>
              <w:top w:val="nil"/>
              <w:left w:val="nil"/>
              <w:bottom w:val="single" w:color="auto" w:sz="4" w:space="0"/>
              <w:right w:val="single" w:color="auto" w:sz="4" w:space="0"/>
            </w:tcBorders>
            <w:shd w:val="clear" w:color="auto" w:fill="auto"/>
            <w:vAlign w:val="center"/>
          </w:tcPr>
          <w:p w14:paraId="59559CA0">
            <w:pPr>
              <w:widowControl/>
              <w:spacing w:line="520" w:lineRule="exact"/>
              <w:jc w:val="center"/>
              <w:rPr>
                <w:rFonts w:hint="eastAsia" w:ascii="仿宋_GB2312" w:hAnsi="宋体" w:eastAsia="仿宋_GB2312" w:cs="宋体"/>
                <w:color w:val="000000"/>
                <w:kern w:val="0"/>
                <w:sz w:val="28"/>
                <w:szCs w:val="28"/>
                <w:lang w:val="en-US" w:eastAsia="zh-CN" w:bidi="ar-SA"/>
              </w:rPr>
            </w:pPr>
            <w:r>
              <w:rPr>
                <w:rFonts w:hint="eastAsia" w:ascii="仿宋_GB2312" w:hAnsi="宋体" w:eastAsia="仿宋_GB2312" w:cs="宋体"/>
                <w:color w:val="000000"/>
                <w:kern w:val="0"/>
                <w:sz w:val="28"/>
                <w:szCs w:val="28"/>
              </w:rPr>
              <w:t>事件处理有效率　</w:t>
            </w:r>
          </w:p>
        </w:tc>
        <w:tc>
          <w:tcPr>
            <w:tcW w:w="1701" w:type="dxa"/>
            <w:tcBorders>
              <w:top w:val="nil"/>
              <w:left w:val="nil"/>
              <w:bottom w:val="single" w:color="auto" w:sz="4" w:space="0"/>
              <w:right w:val="single" w:color="auto" w:sz="4" w:space="0"/>
            </w:tcBorders>
            <w:shd w:val="clear" w:color="auto" w:fill="auto"/>
            <w:vAlign w:val="center"/>
          </w:tcPr>
          <w:p w14:paraId="2BD366A8">
            <w:pPr>
              <w:widowControl/>
              <w:spacing w:line="520" w:lineRule="exact"/>
              <w:jc w:val="center"/>
              <w:rPr>
                <w:rFonts w:hint="eastAsia" w:ascii="仿宋_GB2312" w:hAnsi="宋体" w:eastAsia="仿宋_GB2312" w:cs="宋体"/>
                <w:color w:val="000000"/>
                <w:kern w:val="0"/>
                <w:sz w:val="28"/>
                <w:szCs w:val="28"/>
                <w:lang w:val="en-US" w:eastAsia="zh-CN" w:bidi="ar-SA"/>
              </w:rPr>
            </w:pPr>
            <w:r>
              <w:rPr>
                <w:rFonts w:hint="eastAsia" w:ascii="仿宋_GB2312" w:hAnsi="宋体" w:eastAsia="仿宋_GB2312" w:cs="宋体"/>
                <w:color w:val="000000"/>
                <w:kern w:val="0"/>
                <w:sz w:val="28"/>
                <w:szCs w:val="28"/>
              </w:rPr>
              <w:t>≥</w:t>
            </w:r>
            <w:r>
              <w:rPr>
                <w:rFonts w:hint="eastAsia" w:ascii="仿宋_GB2312" w:hAnsi="宋体" w:eastAsia="仿宋_GB2312" w:cs="宋体"/>
                <w:color w:val="000000"/>
                <w:kern w:val="0"/>
                <w:sz w:val="28"/>
                <w:szCs w:val="28"/>
                <w:lang w:val="en-US" w:eastAsia="zh-CN"/>
              </w:rPr>
              <w:t>90%</w:t>
            </w:r>
            <w:r>
              <w:rPr>
                <w:rFonts w:hint="eastAsia" w:ascii="仿宋_GB2312" w:hAnsi="宋体" w:eastAsia="仿宋_GB2312" w:cs="宋体"/>
                <w:color w:val="000000"/>
                <w:kern w:val="0"/>
                <w:sz w:val="28"/>
                <w:szCs w:val="28"/>
              </w:rPr>
              <w:t>　</w:t>
            </w:r>
          </w:p>
        </w:tc>
        <w:tc>
          <w:tcPr>
            <w:tcW w:w="1843" w:type="dxa"/>
            <w:tcBorders>
              <w:top w:val="nil"/>
              <w:left w:val="nil"/>
              <w:bottom w:val="single" w:color="auto" w:sz="4" w:space="0"/>
              <w:right w:val="single" w:color="auto" w:sz="4" w:space="0"/>
            </w:tcBorders>
            <w:shd w:val="clear" w:color="auto" w:fill="auto"/>
            <w:vAlign w:val="center"/>
          </w:tcPr>
          <w:p w14:paraId="63A74EB9">
            <w:pPr>
              <w:widowControl/>
              <w:spacing w:line="520" w:lineRule="exact"/>
              <w:jc w:val="center"/>
              <w:rPr>
                <w:rFonts w:hint="eastAsia" w:ascii="仿宋_GB2312" w:hAnsi="宋体" w:eastAsia="仿宋_GB2312" w:cs="宋体"/>
                <w:color w:val="000000"/>
                <w:kern w:val="0"/>
                <w:sz w:val="28"/>
                <w:szCs w:val="28"/>
                <w:lang w:val="en-US" w:eastAsia="zh-CN" w:bidi="ar-SA"/>
              </w:rPr>
            </w:pPr>
            <w:r>
              <w:rPr>
                <w:rFonts w:hint="eastAsia" w:ascii="仿宋_GB2312" w:hAnsi="宋体" w:eastAsia="仿宋_GB2312" w:cs="宋体"/>
                <w:color w:val="000000"/>
                <w:kern w:val="0"/>
                <w:sz w:val="28"/>
                <w:szCs w:val="28"/>
                <w:lang w:val="en-US" w:eastAsia="zh-CN"/>
              </w:rPr>
              <w:t>100%</w:t>
            </w:r>
            <w:r>
              <w:rPr>
                <w:rFonts w:hint="eastAsia" w:ascii="仿宋_GB2312" w:hAnsi="宋体" w:eastAsia="仿宋_GB2312" w:cs="宋体"/>
                <w:color w:val="000000"/>
                <w:kern w:val="0"/>
                <w:sz w:val="28"/>
                <w:szCs w:val="28"/>
              </w:rPr>
              <w:t>　</w:t>
            </w:r>
          </w:p>
        </w:tc>
        <w:tc>
          <w:tcPr>
            <w:tcW w:w="2792" w:type="dxa"/>
            <w:tcBorders>
              <w:top w:val="nil"/>
              <w:left w:val="nil"/>
              <w:bottom w:val="single" w:color="auto" w:sz="4" w:space="0"/>
              <w:right w:val="single" w:color="auto" w:sz="4" w:space="0"/>
            </w:tcBorders>
            <w:vAlign w:val="center"/>
          </w:tcPr>
          <w:p w14:paraId="1E03D685">
            <w:pPr>
              <w:spacing w:line="520" w:lineRule="exact"/>
              <w:ind w:firstLine="640"/>
              <w:rPr>
                <w:rFonts w:hint="eastAsia" w:ascii="仿宋_GB2312" w:eastAsia="仿宋_GB2312"/>
                <w:sz w:val="28"/>
                <w:szCs w:val="28"/>
              </w:rPr>
            </w:pPr>
            <w:r>
              <w:rPr>
                <w:rFonts w:hint="eastAsia" w:ascii="仿宋_GB2312" w:eastAsia="仿宋_GB2312"/>
                <w:sz w:val="28"/>
                <w:szCs w:val="28"/>
              </w:rPr>
              <w:t>　</w:t>
            </w:r>
          </w:p>
        </w:tc>
      </w:tr>
    </w:tbl>
    <w:p w14:paraId="729C482E">
      <w:pPr>
        <w:numPr>
          <w:ilvl w:val="0"/>
          <w:numId w:val="3"/>
        </w:numPr>
        <w:spacing w:line="580" w:lineRule="exact"/>
        <w:ind w:firstLine="640"/>
        <w:rPr>
          <w:rFonts w:hint="eastAsia" w:ascii="仿宋_GB2312" w:eastAsia="仿宋_GB2312"/>
          <w:sz w:val="32"/>
          <w:szCs w:val="32"/>
        </w:rPr>
      </w:pPr>
      <w:r>
        <w:rPr>
          <w:rFonts w:hint="eastAsia" w:ascii="仿宋_GB2312" w:eastAsia="仿宋_GB2312"/>
          <w:sz w:val="32"/>
          <w:szCs w:val="32"/>
        </w:rPr>
        <w:t>产出质量</w:t>
      </w:r>
    </w:p>
    <w:p w14:paraId="17016F4C">
      <w:pPr>
        <w:numPr>
          <w:ilvl w:val="0"/>
          <w:numId w:val="0"/>
        </w:numPr>
        <w:spacing w:line="580" w:lineRule="exact"/>
        <w:ind w:firstLine="640" w:firstLineChars="200"/>
        <w:rPr>
          <w:rFonts w:hint="eastAsia" w:ascii="仿宋_GB2312" w:eastAsia="仿宋_GB2312"/>
          <w:sz w:val="32"/>
          <w:szCs w:val="32"/>
        </w:rPr>
      </w:pPr>
      <w:r>
        <w:rPr>
          <w:rFonts w:hint="eastAsia" w:ascii="仿宋_GB2312" w:hAnsi="仿宋" w:eastAsia="仿宋_GB2312" w:cs="Times New Roman"/>
          <w:sz w:val="32"/>
          <w:szCs w:val="32"/>
          <w:lang w:val="en-US" w:eastAsia="zh-CN"/>
        </w:rPr>
        <w:t>资金使用合格率</w:t>
      </w:r>
      <w:r>
        <w:rPr>
          <w:rFonts w:hint="eastAsia" w:ascii="仿宋_GB2312" w:hAnsi="宋体" w:eastAsia="仿宋_GB2312" w:cs="宋体"/>
          <w:color w:val="000000"/>
          <w:kern w:val="0"/>
          <w:sz w:val="28"/>
          <w:szCs w:val="28"/>
          <w:lang w:val="en-US" w:eastAsia="zh-CN"/>
        </w:rPr>
        <w:t>=100%。</w:t>
      </w:r>
    </w:p>
    <w:p w14:paraId="25599BEE">
      <w:pPr>
        <w:numPr>
          <w:ilvl w:val="0"/>
          <w:numId w:val="3"/>
        </w:numPr>
        <w:spacing w:line="580" w:lineRule="exact"/>
        <w:ind w:left="0" w:leftChars="0" w:firstLine="640" w:firstLineChars="0"/>
        <w:rPr>
          <w:rFonts w:hint="eastAsia" w:ascii="仿宋_GB2312" w:eastAsia="仿宋_GB2312"/>
          <w:sz w:val="32"/>
          <w:szCs w:val="32"/>
        </w:rPr>
      </w:pPr>
      <w:r>
        <w:rPr>
          <w:rFonts w:hint="eastAsia" w:ascii="仿宋_GB2312" w:eastAsia="仿宋_GB2312"/>
          <w:sz w:val="32"/>
          <w:szCs w:val="32"/>
        </w:rPr>
        <w:t>产出进度</w:t>
      </w:r>
    </w:p>
    <w:p w14:paraId="6443ECA2">
      <w:pPr>
        <w:numPr>
          <w:ilvl w:val="0"/>
          <w:numId w:val="0"/>
        </w:numPr>
        <w:spacing w:line="520" w:lineRule="exact"/>
        <w:ind w:firstLine="640" w:firstLineChars="200"/>
        <w:rPr>
          <w:rFonts w:hint="eastAsia" w:ascii="仿宋_GB2312" w:eastAsia="仿宋_GB2312"/>
          <w:sz w:val="32"/>
          <w:szCs w:val="32"/>
        </w:rPr>
      </w:pPr>
      <w:r>
        <w:rPr>
          <w:rFonts w:hint="eastAsia" w:ascii="仿宋_GB2312" w:hAnsi="仿宋" w:eastAsia="仿宋_GB2312" w:cs="Times New Roman"/>
          <w:sz w:val="32"/>
          <w:szCs w:val="32"/>
        </w:rPr>
        <w:t>整体完成时效及时率≥90%</w:t>
      </w:r>
      <w:r>
        <w:rPr>
          <w:rFonts w:hint="eastAsia" w:ascii="仿宋_GB2312" w:hAnsi="仿宋" w:eastAsia="仿宋_GB2312" w:cs="Times New Roman"/>
          <w:sz w:val="32"/>
          <w:szCs w:val="32"/>
          <w:lang w:eastAsia="zh-CN"/>
        </w:rPr>
        <w:t>。</w:t>
      </w:r>
    </w:p>
    <w:p w14:paraId="3382875B">
      <w:pPr>
        <w:numPr>
          <w:ilvl w:val="0"/>
          <w:numId w:val="3"/>
        </w:numPr>
        <w:spacing w:line="580" w:lineRule="exact"/>
        <w:ind w:left="0" w:leftChars="0" w:firstLine="640" w:firstLineChars="0"/>
        <w:rPr>
          <w:rFonts w:hint="eastAsia" w:ascii="仿宋_GB2312" w:eastAsia="仿宋_GB2312"/>
          <w:sz w:val="32"/>
          <w:szCs w:val="32"/>
        </w:rPr>
      </w:pPr>
      <w:r>
        <w:rPr>
          <w:rFonts w:hint="eastAsia" w:ascii="仿宋_GB2312" w:eastAsia="仿宋_GB2312"/>
          <w:sz w:val="32"/>
          <w:szCs w:val="32"/>
        </w:rPr>
        <w:t>产出成本</w:t>
      </w:r>
    </w:p>
    <w:p w14:paraId="5B4D2901">
      <w:pPr>
        <w:numPr>
          <w:ilvl w:val="0"/>
          <w:numId w:val="0"/>
        </w:numPr>
        <w:spacing w:line="520" w:lineRule="exact"/>
        <w:ind w:firstLine="640" w:firstLineChars="200"/>
        <w:rPr>
          <w:rFonts w:hint="eastAsia" w:ascii="仿宋_GB2312" w:eastAsia="仿宋_GB2312"/>
          <w:sz w:val="32"/>
          <w:szCs w:val="32"/>
        </w:rPr>
      </w:pPr>
      <w:r>
        <w:rPr>
          <w:rFonts w:hint="eastAsia" w:ascii="仿宋_GB2312" w:hAnsi="仿宋" w:eastAsia="仿宋_GB2312" w:cs="Times New Roman"/>
          <w:sz w:val="32"/>
          <w:szCs w:val="32"/>
        </w:rPr>
        <w:t>控制在年初批复预算、年中追加预算以及上年结转结余资金总数内。</w:t>
      </w:r>
    </w:p>
    <w:p w14:paraId="26F6FFCC">
      <w:pPr>
        <w:spacing w:line="580" w:lineRule="exact"/>
        <w:ind w:firstLine="640"/>
        <w:rPr>
          <w:rFonts w:hint="eastAsia" w:ascii="仿宋_GB2312" w:eastAsia="仿宋_GB2312"/>
          <w:sz w:val="32"/>
          <w:szCs w:val="32"/>
        </w:rPr>
      </w:pPr>
      <w:r>
        <w:rPr>
          <w:rFonts w:hint="eastAsia" w:ascii="仿宋_GB2312" w:eastAsia="仿宋_GB2312"/>
          <w:sz w:val="32"/>
          <w:szCs w:val="32"/>
        </w:rPr>
        <w:t>2.效果实现情况分析</w:t>
      </w:r>
    </w:p>
    <w:p w14:paraId="2FA7F37E">
      <w:pPr>
        <w:spacing w:line="580" w:lineRule="exact"/>
        <w:ind w:firstLine="640"/>
        <w:rPr>
          <w:rFonts w:hint="eastAsia" w:ascii="仿宋_GB2312" w:eastAsia="仿宋_GB2312"/>
          <w:sz w:val="32"/>
          <w:szCs w:val="32"/>
        </w:rPr>
      </w:pPr>
      <w:r>
        <w:rPr>
          <w:rFonts w:hint="eastAsia" w:ascii="仿宋_GB2312" w:eastAsia="仿宋_GB2312"/>
          <w:sz w:val="32"/>
          <w:szCs w:val="32"/>
        </w:rPr>
        <w:t>（1）经济效益</w:t>
      </w:r>
    </w:p>
    <w:p w14:paraId="1360060D">
      <w:pPr>
        <w:spacing w:line="580" w:lineRule="exact"/>
        <w:ind w:firstLine="640"/>
        <w:rPr>
          <w:rFonts w:hint="eastAsia" w:ascii="仿宋_GB2312" w:eastAsia="仿宋_GB2312"/>
          <w:sz w:val="32"/>
          <w:szCs w:val="32"/>
        </w:rPr>
      </w:pPr>
      <w:r>
        <w:rPr>
          <w:rFonts w:hint="eastAsia" w:ascii="仿宋_GB2312" w:eastAsia="仿宋_GB2312"/>
          <w:sz w:val="32"/>
          <w:szCs w:val="32"/>
        </w:rPr>
        <w:t>社会事业发展类：通过项目的实施，丰富群众业余文化生活，增加居民收入，提高居民生活水平。</w:t>
      </w:r>
    </w:p>
    <w:p w14:paraId="58D54CC2">
      <w:pPr>
        <w:numPr>
          <w:ilvl w:val="0"/>
          <w:numId w:val="4"/>
        </w:numPr>
        <w:spacing w:line="580" w:lineRule="exact"/>
        <w:ind w:firstLine="640"/>
        <w:rPr>
          <w:rFonts w:hint="eastAsia" w:ascii="仿宋_GB2312" w:eastAsia="仿宋_GB2312"/>
          <w:sz w:val="32"/>
          <w:szCs w:val="32"/>
        </w:rPr>
      </w:pPr>
      <w:r>
        <w:rPr>
          <w:rFonts w:hint="eastAsia" w:ascii="仿宋_GB2312" w:eastAsia="仿宋_GB2312"/>
          <w:sz w:val="32"/>
          <w:szCs w:val="32"/>
        </w:rPr>
        <w:t>社会效益</w:t>
      </w:r>
    </w:p>
    <w:p w14:paraId="02932996">
      <w:pPr>
        <w:numPr>
          <w:ilvl w:val="0"/>
          <w:numId w:val="0"/>
        </w:numPr>
        <w:spacing w:line="580" w:lineRule="exact"/>
        <w:ind w:firstLine="640" w:firstLineChars="200"/>
        <w:rPr>
          <w:rFonts w:hint="eastAsia" w:ascii="仿宋_GB2312" w:eastAsia="仿宋_GB2312"/>
          <w:sz w:val="32"/>
          <w:szCs w:val="32"/>
        </w:rPr>
      </w:pPr>
      <w:r>
        <w:rPr>
          <w:rFonts w:hint="eastAsia" w:ascii="仿宋_GB2312" w:eastAsia="仿宋_GB2312"/>
          <w:sz w:val="32"/>
          <w:szCs w:val="32"/>
        </w:rPr>
        <w:t>机构运行类：提高政府、村居委会办公效率，更好的提供社会服务；民生类：保障居民收入，提高居民生活水平；工程类：通过工程的实施，继续完善基础设施建设水平，加强我镇生态环境保护力度，改善居民生活条件。</w:t>
      </w:r>
    </w:p>
    <w:p w14:paraId="02B8EC9D">
      <w:pPr>
        <w:numPr>
          <w:ilvl w:val="0"/>
          <w:numId w:val="4"/>
        </w:numPr>
        <w:spacing w:line="580" w:lineRule="exact"/>
        <w:ind w:left="0" w:leftChars="0" w:firstLine="640" w:firstLineChars="0"/>
        <w:rPr>
          <w:rFonts w:hint="eastAsia" w:ascii="仿宋_GB2312" w:eastAsia="仿宋_GB2312"/>
          <w:sz w:val="32"/>
          <w:szCs w:val="32"/>
        </w:rPr>
      </w:pPr>
      <w:r>
        <w:rPr>
          <w:rFonts w:hint="eastAsia" w:ascii="仿宋_GB2312" w:eastAsia="仿宋_GB2312"/>
          <w:sz w:val="32"/>
          <w:szCs w:val="32"/>
        </w:rPr>
        <w:t>环境效益</w:t>
      </w:r>
    </w:p>
    <w:p w14:paraId="3AFFD44D">
      <w:pPr>
        <w:numPr>
          <w:ilvl w:val="0"/>
          <w:numId w:val="0"/>
        </w:numPr>
        <w:spacing w:line="580" w:lineRule="exact"/>
        <w:ind w:firstLine="640" w:firstLineChars="200"/>
        <w:rPr>
          <w:rFonts w:hint="eastAsia" w:ascii="仿宋_GB2312" w:eastAsia="仿宋_GB2312"/>
          <w:sz w:val="32"/>
          <w:szCs w:val="32"/>
        </w:rPr>
      </w:pPr>
      <w:r>
        <w:rPr>
          <w:rFonts w:hint="eastAsia" w:ascii="仿宋_GB2312" w:eastAsia="仿宋_GB2312"/>
          <w:sz w:val="32"/>
          <w:szCs w:val="32"/>
        </w:rPr>
        <w:t>通过对环境的投入，提高人居环境水平，镇村面貌焕然一新，新农村建设稳步推进，群众生活明显改善，社会秩序平安稳定。</w:t>
      </w:r>
    </w:p>
    <w:p w14:paraId="269D9A77">
      <w:pPr>
        <w:numPr>
          <w:ilvl w:val="0"/>
          <w:numId w:val="4"/>
        </w:numPr>
        <w:spacing w:line="580" w:lineRule="exact"/>
        <w:ind w:left="0" w:leftChars="0" w:firstLine="640" w:firstLineChars="0"/>
        <w:rPr>
          <w:rFonts w:hint="eastAsia" w:ascii="仿宋_GB2312" w:eastAsia="仿宋_GB2312"/>
          <w:sz w:val="32"/>
          <w:szCs w:val="32"/>
        </w:rPr>
      </w:pPr>
      <w:r>
        <w:rPr>
          <w:rFonts w:hint="eastAsia" w:ascii="仿宋_GB2312" w:eastAsia="仿宋_GB2312"/>
          <w:sz w:val="32"/>
          <w:szCs w:val="32"/>
        </w:rPr>
        <w:t>可持续影响</w:t>
      </w:r>
    </w:p>
    <w:p w14:paraId="430B7F6C">
      <w:pPr>
        <w:numPr>
          <w:ilvl w:val="0"/>
          <w:numId w:val="0"/>
        </w:numPr>
        <w:spacing w:line="580" w:lineRule="exact"/>
        <w:ind w:firstLine="640" w:firstLineChars="200"/>
        <w:rPr>
          <w:rFonts w:hint="eastAsia" w:ascii="仿宋_GB2312" w:eastAsia="仿宋_GB2312"/>
          <w:sz w:val="32"/>
          <w:szCs w:val="32"/>
        </w:rPr>
      </w:pPr>
      <w:r>
        <w:rPr>
          <w:rFonts w:hint="eastAsia" w:ascii="仿宋_GB2312" w:eastAsia="仿宋_GB2312"/>
          <w:sz w:val="32"/>
          <w:szCs w:val="32"/>
        </w:rPr>
        <w:t>可持续影响时间大于等于1年。</w:t>
      </w:r>
    </w:p>
    <w:p w14:paraId="5F5407EB">
      <w:pPr>
        <w:numPr>
          <w:ilvl w:val="0"/>
          <w:numId w:val="4"/>
        </w:numPr>
        <w:spacing w:line="580" w:lineRule="exact"/>
        <w:ind w:left="0" w:leftChars="0" w:firstLine="640" w:firstLineChars="0"/>
        <w:rPr>
          <w:rFonts w:hint="eastAsia" w:ascii="仿宋_GB2312" w:eastAsia="仿宋_GB2312"/>
          <w:sz w:val="32"/>
          <w:szCs w:val="32"/>
        </w:rPr>
      </w:pPr>
      <w:r>
        <w:rPr>
          <w:rFonts w:hint="eastAsia" w:ascii="仿宋_GB2312" w:eastAsia="仿宋_GB2312"/>
          <w:sz w:val="32"/>
          <w:szCs w:val="32"/>
        </w:rPr>
        <w:t>服务对象满意度</w:t>
      </w:r>
    </w:p>
    <w:p w14:paraId="7B73AC4D">
      <w:pPr>
        <w:numPr>
          <w:ilvl w:val="0"/>
          <w:numId w:val="0"/>
        </w:numPr>
        <w:spacing w:line="580" w:lineRule="exact"/>
        <w:ind w:firstLine="640" w:firstLineChars="200"/>
        <w:rPr>
          <w:rFonts w:hint="eastAsia" w:ascii="仿宋_GB2312" w:eastAsia="仿宋_GB2312"/>
          <w:sz w:val="32"/>
          <w:szCs w:val="32"/>
        </w:rPr>
      </w:pPr>
      <w:r>
        <w:rPr>
          <w:rFonts w:hint="eastAsia" w:ascii="仿宋_GB2312" w:eastAsia="仿宋_GB2312"/>
          <w:sz w:val="32"/>
          <w:szCs w:val="32"/>
        </w:rPr>
        <w:t>对内干部职工满意度达到90%以上，对村居及镇域内服务群众满意度达到90%以上。</w:t>
      </w:r>
    </w:p>
    <w:p w14:paraId="12561AD6">
      <w:pPr>
        <w:spacing w:line="580" w:lineRule="exact"/>
        <w:ind w:firstLine="640"/>
        <w:rPr>
          <w:rFonts w:hint="eastAsia" w:ascii="楷体_GB2312" w:eastAsia="楷体_GB2312"/>
          <w:b/>
          <w:sz w:val="32"/>
          <w:szCs w:val="32"/>
        </w:rPr>
      </w:pPr>
      <w:r>
        <w:rPr>
          <w:rFonts w:hint="eastAsia" w:ascii="楷体_GB2312" w:eastAsia="楷体_GB2312"/>
          <w:b/>
          <w:sz w:val="32"/>
          <w:szCs w:val="32"/>
        </w:rPr>
        <w:t>（四）预算管理情况分析</w:t>
      </w:r>
    </w:p>
    <w:p w14:paraId="1D9E77E5">
      <w:pPr>
        <w:spacing w:line="580" w:lineRule="exact"/>
        <w:ind w:firstLine="640"/>
        <w:rPr>
          <w:rFonts w:hint="eastAsia" w:ascii="仿宋_GB2312" w:eastAsia="仿宋_GB2312"/>
          <w:sz w:val="32"/>
          <w:szCs w:val="32"/>
        </w:rPr>
      </w:pPr>
      <w:r>
        <w:rPr>
          <w:rFonts w:hint="eastAsia" w:ascii="仿宋_GB2312" w:eastAsia="仿宋_GB2312"/>
          <w:sz w:val="32"/>
          <w:szCs w:val="32"/>
        </w:rPr>
        <w:t>1.财务管理</w:t>
      </w:r>
    </w:p>
    <w:p w14:paraId="4D2AB4A2">
      <w:pPr>
        <w:spacing w:line="580" w:lineRule="exact"/>
        <w:ind w:firstLine="640"/>
        <w:rPr>
          <w:rFonts w:hint="eastAsia" w:ascii="仿宋_GB2312" w:eastAsia="仿宋_GB2312"/>
          <w:sz w:val="32"/>
          <w:szCs w:val="32"/>
        </w:rPr>
      </w:pPr>
      <w:r>
        <w:rPr>
          <w:rFonts w:hint="eastAsia" w:ascii="仿宋_GB2312" w:eastAsia="仿宋_GB2312"/>
          <w:sz w:val="32"/>
          <w:szCs w:val="32"/>
        </w:rPr>
        <w:t>我镇通过制定《清水镇收入支出管理办法》、《清水镇发票管理办法》、《清水镇财政科内部稽核管理办法》等相关制度办法，并严格按照内控制度，内控规范要求单位重大经济事项的内部决策，应当由单位领导班子集体研究决定，重大经济事项的认定标准应当根据有关规定和本单位实际情况确定，一经确定，不得随意变更。清水镇按照要求制定了《清水镇关于规范党政领导班子议事规则的实施细则》，建立健全议事决策机制。加强财政财务管理，保障资金安全高效运行，防范财务风险。</w:t>
      </w:r>
    </w:p>
    <w:p w14:paraId="4BE860D6">
      <w:pPr>
        <w:numPr>
          <w:ilvl w:val="0"/>
          <w:numId w:val="5"/>
        </w:numPr>
        <w:spacing w:line="580" w:lineRule="exact"/>
        <w:ind w:firstLine="640"/>
        <w:rPr>
          <w:rFonts w:hint="eastAsia" w:ascii="仿宋_GB2312" w:eastAsia="仿宋_GB2312"/>
          <w:sz w:val="32"/>
          <w:szCs w:val="32"/>
        </w:rPr>
      </w:pPr>
      <w:r>
        <w:rPr>
          <w:rFonts w:hint="eastAsia" w:ascii="仿宋_GB2312" w:eastAsia="仿宋_GB2312"/>
          <w:sz w:val="32"/>
          <w:szCs w:val="32"/>
        </w:rPr>
        <w:t>资产管理</w:t>
      </w:r>
    </w:p>
    <w:p w14:paraId="2015AC88">
      <w:pPr>
        <w:numPr>
          <w:ilvl w:val="0"/>
          <w:numId w:val="0"/>
        </w:numPr>
        <w:spacing w:line="580" w:lineRule="exact"/>
        <w:ind w:firstLine="640" w:firstLineChars="200"/>
        <w:rPr>
          <w:rFonts w:hint="eastAsia" w:ascii="仿宋_GB2312" w:eastAsia="仿宋_GB2312"/>
          <w:sz w:val="32"/>
          <w:szCs w:val="32"/>
          <w:highlight w:val="none"/>
        </w:rPr>
      </w:pPr>
      <w:r>
        <w:rPr>
          <w:rFonts w:hint="eastAsia" w:ascii="仿宋_GB2312" w:eastAsia="仿宋_GB2312"/>
          <w:color w:val="auto"/>
          <w:sz w:val="32"/>
          <w:szCs w:val="32"/>
          <w:highlight w:val="none"/>
        </w:rPr>
        <w:t>截至2025年底，我镇资产合计789,326,043.50元，其中流动资产331,517,569.16元，非流动资产443,892,426.99元</w:t>
      </w:r>
      <w:r>
        <w:rPr>
          <w:rFonts w:hint="eastAsia" w:ascii="仿宋_GB2312" w:eastAsia="仿宋_GB2312"/>
          <w:sz w:val="32"/>
          <w:szCs w:val="32"/>
          <w:highlight w:val="none"/>
        </w:rPr>
        <w:t>。</w:t>
      </w:r>
    </w:p>
    <w:p w14:paraId="34B1F5E8">
      <w:pPr>
        <w:numPr>
          <w:ilvl w:val="0"/>
          <w:numId w:val="0"/>
        </w:numPr>
        <w:spacing w:line="580" w:lineRule="exact"/>
        <w:ind w:firstLine="640" w:firstLineChars="200"/>
        <w:rPr>
          <w:rFonts w:hint="eastAsia" w:ascii="仿宋_GB2312" w:eastAsia="仿宋_GB2312"/>
          <w:sz w:val="32"/>
          <w:szCs w:val="32"/>
        </w:rPr>
      </w:pPr>
      <w:r>
        <w:rPr>
          <w:rFonts w:hint="eastAsia" w:ascii="仿宋_GB2312" w:eastAsia="仿宋_GB2312"/>
          <w:sz w:val="32"/>
          <w:szCs w:val="32"/>
        </w:rPr>
        <w:t>为加强固定资产管理，根据固定资产管理相关规定，我镇结合实际制定了《清水镇固定资产管理办法》，镇办公室为固定资产综合管理部门，负责固定资产的采购和实物管理工作，财政科负责固定资产账务管理工作，各科室负责本科室固定资产的管理工作。</w:t>
      </w:r>
    </w:p>
    <w:p w14:paraId="70C15697">
      <w:pPr>
        <w:spacing w:line="580" w:lineRule="exact"/>
        <w:ind w:firstLine="640"/>
        <w:rPr>
          <w:rFonts w:hint="eastAsia" w:ascii="仿宋_GB2312" w:eastAsia="仿宋_GB2312"/>
          <w:sz w:val="32"/>
          <w:szCs w:val="32"/>
        </w:rPr>
      </w:pPr>
      <w:r>
        <w:rPr>
          <w:rFonts w:hint="eastAsia" w:ascii="仿宋_GB2312" w:eastAsia="仿宋_GB2312"/>
          <w:sz w:val="32"/>
          <w:szCs w:val="32"/>
        </w:rPr>
        <w:t>3.绩效管理</w:t>
      </w:r>
    </w:p>
    <w:p w14:paraId="21D742B0">
      <w:pPr>
        <w:spacing w:line="580" w:lineRule="exact"/>
        <w:ind w:firstLine="640"/>
        <w:rPr>
          <w:rFonts w:hint="eastAsia" w:ascii="仿宋_GB2312" w:eastAsia="仿宋_GB2312"/>
          <w:sz w:val="32"/>
          <w:szCs w:val="32"/>
        </w:rPr>
      </w:pPr>
      <w:r>
        <w:rPr>
          <w:rFonts w:hint="eastAsia" w:ascii="仿宋_GB2312" w:eastAsia="仿宋_GB2312"/>
          <w:sz w:val="32"/>
          <w:szCs w:val="32"/>
        </w:rPr>
        <w:t>（1）预算绩效管理制度情况</w:t>
      </w:r>
    </w:p>
    <w:p w14:paraId="421597BC">
      <w:pPr>
        <w:spacing w:line="580" w:lineRule="exact"/>
        <w:ind w:firstLine="640" w:firstLineChars="200"/>
        <w:rPr>
          <w:rFonts w:hint="eastAsia" w:ascii="仿宋_GB2312" w:eastAsia="仿宋_GB2312"/>
          <w:sz w:val="32"/>
          <w:szCs w:val="32"/>
        </w:rPr>
      </w:pPr>
      <w:r>
        <w:rPr>
          <w:rFonts w:hint="eastAsia" w:ascii="仿宋_GB2312" w:eastAsia="仿宋_GB2312"/>
          <w:sz w:val="32"/>
          <w:szCs w:val="32"/>
        </w:rPr>
        <w:t>严格落实《门头沟区预算绩效管理办法》（门财绩效【2021】56号）文件精神，通过项目预算的编制和管理，进一步提高预算绩效管理认识，强化以“绩效为中心、对支出结果负责、对社会公众负责”的理念，在单位绩效目标编制方面，针对绩效目标设置指向不清、预算和目标匹配不足，数量目标和质量目标量化不细，效益目标编制不完整等方面加以了改善。加强预算绩效动态监控管理，及时跟踪项目进度，对项目实施中存在的具体问题采取纠偏措施。</w:t>
      </w:r>
    </w:p>
    <w:p w14:paraId="0041A500">
      <w:pPr>
        <w:spacing w:line="580" w:lineRule="exact"/>
        <w:ind w:firstLine="640" w:firstLineChars="200"/>
        <w:rPr>
          <w:rFonts w:hint="eastAsia" w:ascii="仿宋_GB2312" w:eastAsia="仿宋_GB2312"/>
          <w:sz w:val="32"/>
          <w:szCs w:val="32"/>
        </w:rPr>
      </w:pPr>
      <w:r>
        <w:rPr>
          <w:rFonts w:hint="eastAsia" w:ascii="仿宋_GB2312" w:eastAsia="仿宋_GB2312"/>
          <w:sz w:val="32"/>
          <w:szCs w:val="32"/>
        </w:rPr>
        <w:t>部门项目绩效主要根据资金支出情况予以跟踪。预算编制阶段细化项目绩效目标，并对支出进度作出总体安排。预算执行阶段，各项目根据实施进度提交党委会及政府办公会议题予以讨论决策。每季度，对我镇项目资金进行梳理统计，对项目实施进度及资金支出进度进行分析，并对照预算编制信息，及时掌握并调整项目执行情况。2025年全年并未出现绩效跟踪项目与绩效目标相偏离的现象。</w:t>
      </w:r>
    </w:p>
    <w:p w14:paraId="2FA4D4A2">
      <w:pPr>
        <w:spacing w:line="580" w:lineRule="exact"/>
        <w:ind w:firstLine="640"/>
        <w:rPr>
          <w:rFonts w:hint="eastAsia" w:ascii="仿宋_GB2312" w:eastAsia="仿宋_GB2312"/>
          <w:sz w:val="32"/>
          <w:szCs w:val="32"/>
        </w:rPr>
      </w:pPr>
      <w:r>
        <w:rPr>
          <w:rFonts w:hint="eastAsia" w:ascii="仿宋_GB2312" w:eastAsia="仿宋_GB2312"/>
          <w:sz w:val="32"/>
          <w:szCs w:val="32"/>
        </w:rPr>
        <w:t>（2）绩效目标管理情况</w:t>
      </w:r>
    </w:p>
    <w:p w14:paraId="2A57539A">
      <w:pPr>
        <w:spacing w:line="580" w:lineRule="exact"/>
        <w:ind w:firstLine="640"/>
        <w:rPr>
          <w:rFonts w:hint="eastAsia" w:ascii="仿宋_GB2312" w:eastAsia="仿宋_GB2312"/>
          <w:sz w:val="32"/>
          <w:szCs w:val="32"/>
        </w:rPr>
      </w:pPr>
      <w:r>
        <w:rPr>
          <w:rFonts w:hint="eastAsia" w:ascii="仿宋_GB2312" w:eastAsia="仿宋_GB2312"/>
          <w:sz w:val="32"/>
          <w:szCs w:val="32"/>
        </w:rPr>
        <w:t>2025年部门预算项目</w:t>
      </w:r>
      <w:r>
        <w:rPr>
          <w:rFonts w:hint="eastAsia" w:ascii="仿宋_GB2312" w:eastAsia="仿宋_GB2312"/>
          <w:sz w:val="32"/>
          <w:szCs w:val="32"/>
          <w:lang w:val="en-US" w:eastAsia="zh-CN"/>
        </w:rPr>
        <w:t>130</w:t>
      </w:r>
      <w:r>
        <w:rPr>
          <w:rFonts w:hint="eastAsia" w:ascii="仿宋_GB2312" w:eastAsia="仿宋_GB2312"/>
          <w:sz w:val="32"/>
          <w:szCs w:val="32"/>
        </w:rPr>
        <w:t>个，部门预算公开绩效目标的预算项目</w:t>
      </w:r>
      <w:r>
        <w:rPr>
          <w:rFonts w:hint="eastAsia" w:ascii="仿宋_GB2312" w:eastAsia="仿宋_GB2312"/>
          <w:sz w:val="32"/>
          <w:szCs w:val="32"/>
          <w:lang w:val="en-US" w:eastAsia="zh-CN"/>
        </w:rPr>
        <w:t>130</w:t>
      </w:r>
      <w:r>
        <w:rPr>
          <w:rFonts w:hint="eastAsia" w:ascii="仿宋_GB2312" w:eastAsia="仿宋_GB2312"/>
          <w:sz w:val="32"/>
          <w:szCs w:val="32"/>
        </w:rPr>
        <w:t>个，占本部门全部预算项目的</w:t>
      </w:r>
      <w:r>
        <w:rPr>
          <w:rFonts w:hint="eastAsia" w:ascii="仿宋_GB2312" w:eastAsia="仿宋_GB2312"/>
          <w:sz w:val="32"/>
          <w:szCs w:val="32"/>
          <w:lang w:val="en-US" w:eastAsia="zh-CN"/>
        </w:rPr>
        <w:t>100</w:t>
      </w:r>
      <w:r>
        <w:rPr>
          <w:rFonts w:hint="eastAsia" w:ascii="仿宋_GB2312" w:eastAsia="仿宋_GB2312"/>
          <w:sz w:val="32"/>
          <w:szCs w:val="32"/>
        </w:rPr>
        <w:t>%。</w:t>
      </w:r>
    </w:p>
    <w:p w14:paraId="3C9EA4C6">
      <w:pPr>
        <w:spacing w:line="580" w:lineRule="exact"/>
        <w:ind w:firstLine="640"/>
        <w:rPr>
          <w:rFonts w:hint="eastAsia" w:ascii="仿宋_GB2312" w:eastAsia="仿宋_GB2312"/>
          <w:sz w:val="32"/>
          <w:szCs w:val="32"/>
        </w:rPr>
      </w:pPr>
      <w:r>
        <w:rPr>
          <w:rFonts w:hint="eastAsia" w:ascii="仿宋_GB2312" w:eastAsia="仿宋_GB2312"/>
          <w:sz w:val="32"/>
          <w:szCs w:val="32"/>
        </w:rPr>
        <w:t>（3）绩效自评情况</w:t>
      </w:r>
    </w:p>
    <w:p w14:paraId="1A0BC64C">
      <w:pPr>
        <w:spacing w:line="580" w:lineRule="exact"/>
        <w:ind w:firstLine="640"/>
        <w:rPr>
          <w:rFonts w:hint="eastAsia" w:ascii="仿宋_GB2312" w:eastAsia="仿宋_GB2312"/>
          <w:sz w:val="32"/>
          <w:szCs w:val="32"/>
        </w:rPr>
      </w:pPr>
      <w:r>
        <w:rPr>
          <w:rFonts w:hint="eastAsia" w:ascii="仿宋_GB2312" w:eastAsia="仿宋_GB2312"/>
          <w:sz w:val="32"/>
          <w:szCs w:val="32"/>
        </w:rPr>
        <w:t>2025年对本部门及所属单位2024年项目支出实施了绩效自评，评价项目</w:t>
      </w:r>
      <w:r>
        <w:rPr>
          <w:rFonts w:hint="eastAsia" w:ascii="仿宋_GB2312" w:eastAsia="仿宋_GB2312"/>
          <w:sz w:val="32"/>
          <w:szCs w:val="32"/>
          <w:lang w:val="en-US" w:eastAsia="zh-CN"/>
        </w:rPr>
        <w:t>135</w:t>
      </w:r>
      <w:r>
        <w:rPr>
          <w:rFonts w:hint="eastAsia" w:ascii="仿宋_GB2312" w:eastAsia="仿宋_GB2312"/>
          <w:sz w:val="32"/>
          <w:szCs w:val="32"/>
        </w:rPr>
        <w:t>个，涉及金额40</w:t>
      </w:r>
      <w:r>
        <w:rPr>
          <w:rFonts w:hint="eastAsia" w:ascii="仿宋_GB2312" w:eastAsia="仿宋_GB2312"/>
          <w:sz w:val="32"/>
          <w:szCs w:val="32"/>
          <w:lang w:val="en-US" w:eastAsia="zh-CN"/>
        </w:rPr>
        <w:t>,</w:t>
      </w:r>
      <w:r>
        <w:rPr>
          <w:rFonts w:hint="eastAsia" w:ascii="仿宋_GB2312" w:eastAsia="仿宋_GB2312"/>
          <w:sz w:val="32"/>
          <w:szCs w:val="32"/>
        </w:rPr>
        <w:t xml:space="preserve">667.91 </w:t>
      </w:r>
      <w:r>
        <w:rPr>
          <w:rFonts w:hint="eastAsia" w:ascii="仿宋_GB2312" w:eastAsia="仿宋_GB2312"/>
          <w:sz w:val="32"/>
          <w:szCs w:val="32"/>
          <w:lang w:eastAsia="zh-CN"/>
        </w:rPr>
        <w:t>万</w:t>
      </w:r>
      <w:r>
        <w:rPr>
          <w:rFonts w:hint="eastAsia" w:ascii="仿宋_GB2312" w:eastAsia="仿宋_GB2312"/>
          <w:sz w:val="32"/>
          <w:szCs w:val="32"/>
        </w:rPr>
        <w:t>元。</w:t>
      </w:r>
    </w:p>
    <w:p w14:paraId="64C3F9DE">
      <w:pPr>
        <w:spacing w:line="580" w:lineRule="exact"/>
        <w:ind w:firstLine="640"/>
        <w:rPr>
          <w:rFonts w:hint="eastAsia" w:ascii="楷体_GB2312" w:eastAsia="楷体_GB2312"/>
          <w:b/>
          <w:sz w:val="32"/>
          <w:szCs w:val="32"/>
        </w:rPr>
      </w:pPr>
      <w:r>
        <w:rPr>
          <w:rFonts w:hint="eastAsia" w:ascii="楷体_GB2312" w:eastAsia="楷体_GB2312"/>
          <w:b/>
          <w:sz w:val="32"/>
          <w:szCs w:val="32"/>
        </w:rPr>
        <w:t>（五）总体评价结论</w:t>
      </w:r>
    </w:p>
    <w:p w14:paraId="67B012C6">
      <w:pPr>
        <w:spacing w:line="580" w:lineRule="exact"/>
        <w:ind w:firstLine="640"/>
        <w:rPr>
          <w:rFonts w:hint="eastAsia" w:ascii="仿宋_GB2312" w:eastAsia="仿宋_GB2312"/>
          <w:sz w:val="32"/>
          <w:szCs w:val="32"/>
        </w:rPr>
      </w:pPr>
      <w:r>
        <w:rPr>
          <w:rFonts w:hint="eastAsia" w:ascii="仿宋_GB2312" w:eastAsia="仿宋_GB2312"/>
          <w:sz w:val="32"/>
          <w:szCs w:val="32"/>
        </w:rPr>
        <w:t>1.评价得分情况</w:t>
      </w:r>
    </w:p>
    <w:p w14:paraId="7DDB4385">
      <w:pPr>
        <w:spacing w:line="580" w:lineRule="exact"/>
        <w:ind w:firstLine="640"/>
        <w:rPr>
          <w:rFonts w:hint="eastAsia" w:ascii="仿宋_GB2312" w:eastAsia="仿宋_GB2312"/>
          <w:sz w:val="32"/>
          <w:szCs w:val="32"/>
          <w:lang w:eastAsia="zh-CN"/>
        </w:rPr>
      </w:pPr>
      <w:r>
        <w:rPr>
          <w:rFonts w:hint="eastAsia" w:ascii="仿宋_GB2312" w:eastAsia="仿宋_GB2312"/>
          <w:sz w:val="32"/>
          <w:szCs w:val="32"/>
        </w:rPr>
        <w:t>绩效自评总分：96.32分</w:t>
      </w:r>
      <w:r>
        <w:rPr>
          <w:rFonts w:hint="eastAsia" w:ascii="仿宋_GB2312" w:eastAsia="仿宋_GB2312"/>
          <w:sz w:val="32"/>
          <w:szCs w:val="32"/>
          <w:lang w:eastAsia="zh-CN"/>
        </w:rPr>
        <w:t>。</w:t>
      </w:r>
    </w:p>
    <w:p w14:paraId="3BF10BEE">
      <w:pPr>
        <w:spacing w:line="580" w:lineRule="exact"/>
        <w:ind w:firstLine="640"/>
        <w:rPr>
          <w:rFonts w:hint="eastAsia" w:ascii="仿宋_GB2312" w:eastAsia="仿宋_GB2312"/>
          <w:sz w:val="32"/>
          <w:szCs w:val="32"/>
          <w:lang w:eastAsia="zh-CN"/>
        </w:rPr>
      </w:pPr>
      <w:r>
        <w:rPr>
          <w:rFonts w:hint="eastAsia" w:ascii="仿宋_GB2312" w:eastAsia="仿宋_GB2312"/>
          <w:sz w:val="32"/>
          <w:szCs w:val="32"/>
        </w:rPr>
        <w:t>绩效自评等级：</w:t>
      </w:r>
      <w:r>
        <w:rPr>
          <w:rFonts w:hint="eastAsia" w:ascii="仿宋_GB2312" w:eastAsia="仿宋_GB2312"/>
          <w:sz w:val="32"/>
          <w:szCs w:val="32"/>
          <w:lang w:eastAsia="zh-CN"/>
        </w:rPr>
        <w:t>优秀。</w:t>
      </w:r>
    </w:p>
    <w:p w14:paraId="71661E58">
      <w:pPr>
        <w:spacing w:line="580" w:lineRule="exact"/>
        <w:ind w:firstLine="640"/>
        <w:rPr>
          <w:rFonts w:hint="eastAsia" w:ascii="仿宋_GB2312" w:eastAsia="仿宋_GB2312"/>
          <w:sz w:val="32"/>
          <w:szCs w:val="32"/>
        </w:rPr>
      </w:pPr>
      <w:r>
        <w:rPr>
          <w:rFonts w:hint="eastAsia" w:ascii="仿宋_GB2312" w:eastAsia="仿宋_GB2312"/>
          <w:sz w:val="32"/>
          <w:szCs w:val="32"/>
        </w:rPr>
        <w:t>2.存在的问题及原因分析</w:t>
      </w:r>
    </w:p>
    <w:p w14:paraId="18C9032C">
      <w:pPr>
        <w:spacing w:line="580" w:lineRule="exact"/>
        <w:ind w:firstLine="640"/>
        <w:rPr>
          <w:rFonts w:hint="eastAsia" w:ascii="仿宋_GB2312" w:eastAsia="仿宋_GB2312"/>
          <w:sz w:val="32"/>
          <w:szCs w:val="32"/>
          <w:lang w:eastAsia="zh-CN"/>
        </w:rPr>
      </w:pPr>
      <w:r>
        <w:rPr>
          <w:rFonts w:hint="eastAsia" w:ascii="仿宋_GB2312" w:eastAsia="仿宋_GB2312"/>
          <w:sz w:val="32"/>
          <w:szCs w:val="32"/>
          <w:lang w:eastAsia="zh-CN"/>
        </w:rPr>
        <w:t>无</w:t>
      </w:r>
    </w:p>
    <w:p w14:paraId="64646E6A">
      <w:pPr>
        <w:spacing w:line="580" w:lineRule="exact"/>
        <w:ind w:firstLine="640"/>
        <w:rPr>
          <w:rFonts w:hint="eastAsia" w:ascii="仿宋_GB2312" w:eastAsia="仿宋_GB2312"/>
          <w:sz w:val="32"/>
          <w:szCs w:val="32"/>
        </w:rPr>
      </w:pPr>
      <w:r>
        <w:rPr>
          <w:rFonts w:hint="eastAsia" w:ascii="仿宋_GB2312" w:eastAsia="仿宋_GB2312"/>
          <w:sz w:val="32"/>
          <w:szCs w:val="32"/>
        </w:rPr>
        <w:t>3.改进措施</w:t>
      </w:r>
    </w:p>
    <w:bookmarkEnd w:id="2"/>
    <w:p w14:paraId="0613A9BB">
      <w:pPr>
        <w:spacing w:line="580" w:lineRule="exact"/>
        <w:ind w:firstLine="640"/>
        <w:rPr>
          <w:rFonts w:hint="eastAsia" w:ascii="仿宋_GB2312" w:eastAsia="仿宋_GB2312"/>
          <w:sz w:val="32"/>
          <w:szCs w:val="32"/>
          <w:lang w:eastAsia="zh-CN"/>
        </w:rPr>
      </w:pPr>
      <w:r>
        <w:rPr>
          <w:rFonts w:hint="eastAsia" w:ascii="仿宋_GB2312" w:eastAsia="仿宋_GB2312"/>
          <w:sz w:val="32"/>
          <w:szCs w:val="32"/>
          <w:lang w:eastAsia="zh-CN"/>
        </w:rPr>
        <w:t>无</w:t>
      </w:r>
    </w:p>
    <w:p w14:paraId="30D0D2EF">
      <w:pPr>
        <w:spacing w:line="580" w:lineRule="exact"/>
        <w:ind w:firstLine="640"/>
        <w:rPr>
          <w:rFonts w:hint="eastAsia" w:ascii="黑体" w:hAnsi="黑体" w:eastAsia="黑体"/>
          <w:sz w:val="32"/>
          <w:szCs w:val="32"/>
        </w:rPr>
      </w:pPr>
      <w:r>
        <w:rPr>
          <w:rFonts w:hint="eastAsia" w:ascii="黑体" w:hAnsi="黑体" w:eastAsia="黑体"/>
          <w:sz w:val="32"/>
          <w:szCs w:val="32"/>
        </w:rPr>
        <w:t>二、项目支出绩效自评情况</w:t>
      </w:r>
    </w:p>
    <w:p w14:paraId="0003393B">
      <w:pPr>
        <w:spacing w:line="580" w:lineRule="exact"/>
        <w:ind w:firstLine="809" w:firstLineChars="253"/>
        <w:rPr>
          <w:rFonts w:hint="eastAsia" w:ascii="楷体_GB2312" w:hAnsi="仿宋" w:eastAsia="楷体_GB2312"/>
          <w:b/>
          <w:sz w:val="32"/>
          <w:szCs w:val="32"/>
        </w:rPr>
      </w:pPr>
      <w:r>
        <w:rPr>
          <w:rFonts w:hint="eastAsia" w:ascii="楷体_GB2312" w:hAnsi="仿宋" w:eastAsia="楷体_GB2312"/>
          <w:b/>
          <w:sz w:val="32"/>
          <w:szCs w:val="32"/>
        </w:rPr>
        <w:t>（一）绩效自评开展总体情况</w:t>
      </w:r>
    </w:p>
    <w:p w14:paraId="6594E8E7">
      <w:pPr>
        <w:spacing w:line="580" w:lineRule="exact"/>
        <w:ind w:firstLine="809" w:firstLineChars="253"/>
        <w:rPr>
          <w:rFonts w:hint="eastAsia" w:ascii="仿宋_GB2312" w:hAnsi="Calibri" w:eastAsia="仿宋_GB2312"/>
          <w:sz w:val="32"/>
          <w:szCs w:val="32"/>
        </w:rPr>
      </w:pPr>
      <w:r>
        <w:rPr>
          <w:rFonts w:hint="eastAsia" w:ascii="仿宋_GB2312" w:eastAsia="仿宋_GB2312"/>
          <w:sz w:val="32"/>
          <w:szCs w:val="32"/>
        </w:rPr>
        <w:t>2025年度区财政批复项目支出预算项目</w:t>
      </w:r>
      <w:r>
        <w:rPr>
          <w:rFonts w:hint="eastAsia" w:ascii="仿宋_GB2312" w:eastAsia="仿宋_GB2312"/>
          <w:sz w:val="32"/>
          <w:szCs w:val="32"/>
          <w:lang w:val="en-US" w:eastAsia="zh-CN"/>
        </w:rPr>
        <w:t>116</w:t>
      </w:r>
      <w:r>
        <w:rPr>
          <w:rFonts w:hint="eastAsia" w:ascii="仿宋_GB2312" w:eastAsia="仿宋_GB2312"/>
          <w:sz w:val="32"/>
          <w:szCs w:val="32"/>
        </w:rPr>
        <w:t>个，涉及金额285</w:t>
      </w:r>
      <w:r>
        <w:rPr>
          <w:rFonts w:hint="eastAsia" w:ascii="仿宋_GB2312" w:eastAsia="仿宋_GB2312"/>
          <w:sz w:val="32"/>
          <w:szCs w:val="32"/>
          <w:lang w:val="en-US" w:eastAsia="zh-CN"/>
        </w:rPr>
        <w:t>,</w:t>
      </w:r>
      <w:r>
        <w:rPr>
          <w:rFonts w:hint="eastAsia" w:ascii="仿宋_GB2312" w:eastAsia="仿宋_GB2312"/>
          <w:sz w:val="32"/>
          <w:szCs w:val="32"/>
        </w:rPr>
        <w:t>563</w:t>
      </w:r>
      <w:r>
        <w:rPr>
          <w:rFonts w:hint="eastAsia" w:ascii="仿宋_GB2312" w:eastAsia="仿宋_GB2312"/>
          <w:sz w:val="32"/>
          <w:szCs w:val="32"/>
          <w:lang w:val="en-US" w:eastAsia="zh-CN"/>
        </w:rPr>
        <w:t>,</w:t>
      </w:r>
      <w:r>
        <w:rPr>
          <w:rFonts w:hint="eastAsia" w:ascii="仿宋_GB2312" w:eastAsia="仿宋_GB2312"/>
          <w:sz w:val="32"/>
          <w:szCs w:val="32"/>
        </w:rPr>
        <w:t>026.18 元。本次实施绩效自评项目</w:t>
      </w:r>
      <w:r>
        <w:rPr>
          <w:rFonts w:hint="eastAsia" w:ascii="仿宋_GB2312" w:eastAsia="仿宋_GB2312"/>
          <w:sz w:val="32"/>
          <w:szCs w:val="32"/>
          <w:lang w:val="en-US" w:eastAsia="zh-CN"/>
        </w:rPr>
        <w:t>97</w:t>
      </w:r>
      <w:r>
        <w:rPr>
          <w:rFonts w:hint="eastAsia" w:ascii="仿宋_GB2312" w:eastAsia="仿宋_GB2312"/>
          <w:sz w:val="32"/>
          <w:szCs w:val="32"/>
        </w:rPr>
        <w:t>个，随2025年度中央对地方转移支付开展绩效自评项目</w:t>
      </w:r>
      <w:r>
        <w:rPr>
          <w:rFonts w:hint="eastAsia" w:ascii="仿宋_GB2312" w:eastAsia="仿宋_GB2312"/>
          <w:sz w:val="32"/>
          <w:szCs w:val="32"/>
          <w:lang w:val="en-US" w:eastAsia="zh-CN"/>
        </w:rPr>
        <w:t>8个（不参与评分），随2025年度市对区转移支付开展绩效自评项目2个（不参与评分），</w:t>
      </w:r>
      <w:r>
        <w:rPr>
          <w:rFonts w:hint="eastAsia" w:ascii="仿宋_GB2312" w:eastAsia="仿宋_GB2312"/>
          <w:sz w:val="32"/>
          <w:szCs w:val="32"/>
        </w:rPr>
        <w:t>涉及金额182</w:t>
      </w:r>
      <w:r>
        <w:rPr>
          <w:rFonts w:hint="eastAsia" w:ascii="仿宋_GB2312" w:eastAsia="仿宋_GB2312"/>
          <w:sz w:val="32"/>
          <w:szCs w:val="32"/>
          <w:lang w:val="en-US" w:eastAsia="zh-CN"/>
        </w:rPr>
        <w:t>,</w:t>
      </w:r>
      <w:r>
        <w:rPr>
          <w:rFonts w:hint="eastAsia" w:ascii="仿宋_GB2312" w:eastAsia="仿宋_GB2312"/>
          <w:sz w:val="32"/>
          <w:szCs w:val="32"/>
        </w:rPr>
        <w:t>524</w:t>
      </w:r>
      <w:r>
        <w:rPr>
          <w:rFonts w:hint="eastAsia" w:ascii="仿宋_GB2312" w:eastAsia="仿宋_GB2312"/>
          <w:sz w:val="32"/>
          <w:szCs w:val="32"/>
          <w:lang w:val="en-US" w:eastAsia="zh-CN"/>
        </w:rPr>
        <w:t>,</w:t>
      </w:r>
      <w:r>
        <w:rPr>
          <w:rFonts w:hint="eastAsia" w:ascii="仿宋_GB2312" w:eastAsia="仿宋_GB2312"/>
          <w:sz w:val="32"/>
          <w:szCs w:val="32"/>
        </w:rPr>
        <w:t>769.05元。评价得分在90分（含90分）以上的</w:t>
      </w:r>
      <w:r>
        <w:rPr>
          <w:rFonts w:hint="eastAsia" w:ascii="仿宋_GB2312" w:eastAsia="仿宋_GB2312"/>
          <w:sz w:val="32"/>
          <w:szCs w:val="32"/>
          <w:lang w:val="en-US" w:eastAsia="zh-CN"/>
        </w:rPr>
        <w:t>93</w:t>
      </w:r>
      <w:r>
        <w:rPr>
          <w:rFonts w:hint="eastAsia" w:ascii="仿宋_GB2312" w:eastAsia="仿宋_GB2312"/>
          <w:sz w:val="32"/>
          <w:szCs w:val="32"/>
        </w:rPr>
        <w:t>个，评价得分在80-90分（含80分）的</w:t>
      </w:r>
      <w:r>
        <w:rPr>
          <w:rFonts w:hint="eastAsia" w:ascii="仿宋_GB2312" w:eastAsia="仿宋_GB2312"/>
          <w:sz w:val="32"/>
          <w:szCs w:val="32"/>
          <w:lang w:val="en-US" w:eastAsia="zh-CN"/>
        </w:rPr>
        <w:t>4</w:t>
      </w:r>
      <w:r>
        <w:rPr>
          <w:rFonts w:hint="eastAsia" w:ascii="仿宋_GB2312" w:eastAsia="仿宋_GB2312"/>
          <w:sz w:val="32"/>
          <w:szCs w:val="32"/>
        </w:rPr>
        <w:t>个，评价得分在60-80分（含60分）的</w:t>
      </w:r>
      <w:r>
        <w:rPr>
          <w:rFonts w:hint="eastAsia" w:ascii="仿宋_GB2312" w:eastAsia="仿宋_GB2312"/>
          <w:sz w:val="32"/>
          <w:szCs w:val="32"/>
          <w:lang w:val="en-US" w:eastAsia="zh-CN"/>
        </w:rPr>
        <w:t>0</w:t>
      </w:r>
      <w:r>
        <w:rPr>
          <w:rFonts w:hint="eastAsia" w:ascii="仿宋_GB2312" w:eastAsia="仿宋_GB2312"/>
          <w:sz w:val="32"/>
          <w:szCs w:val="32"/>
        </w:rPr>
        <w:t>个，评价得分在60分以下的</w:t>
      </w:r>
      <w:r>
        <w:rPr>
          <w:rFonts w:hint="eastAsia" w:ascii="仿宋_GB2312" w:eastAsia="仿宋_GB2312"/>
          <w:sz w:val="32"/>
          <w:szCs w:val="32"/>
          <w:lang w:val="en-US" w:eastAsia="zh-CN"/>
        </w:rPr>
        <w:t>0</w:t>
      </w:r>
      <w:r>
        <w:rPr>
          <w:rFonts w:hint="eastAsia" w:ascii="仿宋_GB2312" w:eastAsia="仿宋_GB2312"/>
          <w:sz w:val="32"/>
          <w:szCs w:val="32"/>
        </w:rPr>
        <w:t>个。</w:t>
      </w:r>
    </w:p>
    <w:p w14:paraId="15DC3A6C">
      <w:pPr>
        <w:spacing w:line="580" w:lineRule="exact"/>
        <w:ind w:firstLine="809" w:firstLineChars="253"/>
        <w:rPr>
          <w:rFonts w:hint="eastAsia" w:ascii="楷体_GB2312" w:hAnsi="仿宋" w:eastAsia="楷体_GB2312"/>
          <w:b/>
          <w:sz w:val="32"/>
          <w:szCs w:val="32"/>
        </w:rPr>
      </w:pPr>
      <w:r>
        <w:rPr>
          <w:rFonts w:hint="eastAsia" w:ascii="楷体_GB2312" w:hAnsi="仿宋" w:eastAsia="楷体_GB2312"/>
          <w:b/>
          <w:sz w:val="32"/>
          <w:szCs w:val="32"/>
        </w:rPr>
        <w:t>（二）重点支出项目绩效自评报告</w:t>
      </w:r>
    </w:p>
    <w:p w14:paraId="4B74EF4C">
      <w:pPr>
        <w:spacing w:line="580" w:lineRule="exact"/>
        <w:ind w:firstLine="640" w:firstLineChars="200"/>
        <w:outlineLvl w:val="0"/>
        <w:rPr>
          <w:rFonts w:hint="eastAsia" w:ascii="仿宋_GB2312" w:hAnsi="Calibri" w:eastAsia="仿宋_GB2312"/>
          <w:sz w:val="32"/>
          <w:szCs w:val="32"/>
        </w:rPr>
      </w:pPr>
      <w:r>
        <w:rPr>
          <w:rFonts w:hint="eastAsia" w:ascii="仿宋_GB2312" w:eastAsia="仿宋_GB2312"/>
          <w:sz w:val="32"/>
          <w:szCs w:val="32"/>
        </w:rPr>
        <w:t>请参考《关于开展2025年度项目支出绩效自评工作的通知》（门财绩效[2026]72号）要求，将本部门撰写的《重点支出项目绩效自评报告》电子版汇总到1个文件夹中，作为部门决算草案的附件1，并随决算全部公开。</w:t>
      </w:r>
    </w:p>
    <w:p w14:paraId="0C27D63A">
      <w:pPr>
        <w:spacing w:line="580" w:lineRule="exact"/>
        <w:ind w:firstLine="640"/>
        <w:rPr>
          <w:rFonts w:hint="eastAsia" w:ascii="楷体_GB2312" w:hAnsi="仿宋" w:eastAsia="楷体_GB2312"/>
          <w:b/>
          <w:sz w:val="32"/>
          <w:szCs w:val="32"/>
        </w:rPr>
      </w:pPr>
      <w:r>
        <w:rPr>
          <w:rFonts w:hint="eastAsia" w:ascii="楷体_GB2312" w:hAnsi="仿宋" w:eastAsia="楷体_GB2312"/>
          <w:b/>
          <w:sz w:val="32"/>
          <w:szCs w:val="32"/>
        </w:rPr>
        <w:t>（三）项目支出绩效自评表</w:t>
      </w:r>
    </w:p>
    <w:p w14:paraId="54AEFB60">
      <w:pPr>
        <w:spacing w:line="580" w:lineRule="exact"/>
        <w:ind w:firstLine="640" w:firstLineChars="200"/>
        <w:outlineLvl w:val="0"/>
        <w:rPr>
          <w:rFonts w:hint="eastAsia" w:ascii="仿宋_GB2312" w:hAnsi="Calibri" w:eastAsia="仿宋_GB2312"/>
          <w:sz w:val="32"/>
          <w:szCs w:val="32"/>
        </w:rPr>
      </w:pPr>
      <w:r>
        <w:rPr>
          <w:rFonts w:hint="eastAsia" w:ascii="仿宋_GB2312" w:eastAsia="仿宋_GB2312"/>
          <w:sz w:val="32"/>
          <w:szCs w:val="32"/>
        </w:rPr>
        <w:t>请参考《关于开展2025年度项目支出绩效自评工作的通知》（门财绩效[2026]72号）</w:t>
      </w:r>
      <w:r>
        <w:rPr>
          <w:rFonts w:hint="eastAsia" w:ascii="仿宋_GB2312" w:eastAsia="仿宋_GB2312"/>
          <w:b/>
          <w:sz w:val="32"/>
          <w:szCs w:val="32"/>
        </w:rPr>
        <w:t>及决算公开培训要求</w:t>
      </w:r>
      <w:r>
        <w:rPr>
          <w:rFonts w:hint="eastAsia" w:ascii="仿宋_GB2312" w:eastAsia="仿宋_GB2312"/>
          <w:sz w:val="32"/>
          <w:szCs w:val="32"/>
        </w:rPr>
        <w:t>，将本部门本单位拟公开的《项目支出绩效自评表》电子版汇总到1个文件夹中，作为部门决算草案的附件2，并随决算全部公开。</w:t>
      </w:r>
    </w:p>
    <w:p w14:paraId="5C7D58B5">
      <w:pPr>
        <w:spacing w:line="580" w:lineRule="exact"/>
        <w:ind w:firstLine="640" w:firstLineChars="200"/>
        <w:outlineLvl w:val="0"/>
        <w:rPr>
          <w:rFonts w:hint="eastAsia" w:ascii="仿宋_GB2312" w:eastAsia="仿宋_GB2312"/>
          <w:b/>
          <w:sz w:val="32"/>
          <w:szCs w:val="32"/>
        </w:rPr>
      </w:pPr>
      <w:r>
        <w:rPr>
          <w:rFonts w:hint="eastAsia" w:ascii="仿宋_GB2312" w:eastAsia="仿宋_GB2312"/>
          <w:b/>
          <w:sz w:val="32"/>
          <w:szCs w:val="32"/>
        </w:rPr>
        <w:t>（注：一级预算部门“一、二”均公开；二级预算单位仅公开“二（三）”。）</w:t>
      </w:r>
    </w:p>
    <w:p w14:paraId="4C132858">
      <w:pPr>
        <w:spacing w:line="580" w:lineRule="exact"/>
        <w:ind w:firstLine="800" w:firstLineChars="250"/>
        <w:rPr>
          <w:rFonts w:hint="eastAsia" w:ascii="仿宋_GB2312" w:eastAsia="仿宋_GB2312"/>
          <w:sz w:val="32"/>
          <w:szCs w:val="32"/>
        </w:rPr>
      </w:pPr>
      <w:r>
        <w:rPr>
          <w:rFonts w:hint="eastAsia" w:ascii="仿宋_GB2312" w:eastAsia="仿宋_GB2312"/>
          <w:sz w:val="32"/>
          <w:szCs w:val="32"/>
        </w:rPr>
        <w:t>附件：1.重点支出项目绩效自评报告</w:t>
      </w:r>
    </w:p>
    <w:p w14:paraId="4ABB3872">
      <w:pPr>
        <w:spacing w:line="580" w:lineRule="exact"/>
        <w:ind w:firstLine="1760" w:firstLineChars="550"/>
        <w:rPr>
          <w:rFonts w:hint="eastAsia" w:ascii="仿宋_GB2312" w:eastAsia="仿宋_GB2312"/>
          <w:sz w:val="32"/>
          <w:szCs w:val="32"/>
        </w:rPr>
      </w:pPr>
      <w:r>
        <w:rPr>
          <w:rFonts w:hint="eastAsia" w:ascii="仿宋_GB2312" w:eastAsia="仿宋_GB2312"/>
          <w:sz w:val="32"/>
          <w:szCs w:val="32"/>
        </w:rPr>
        <w:t>2.项目支出绩效自评表</w:t>
      </w:r>
    </w:p>
    <w:sectPr>
      <w:footerReference r:id="rId4" w:type="default"/>
      <w:footerReference r:id="rId5" w:type="even"/>
      <w:pgSz w:w="16838" w:h="11906" w:orient="landscape"/>
      <w:pgMar w:top="1134" w:right="1134" w:bottom="1134" w:left="1134" w:header="851" w:footer="992" w:gutter="0"/>
      <w:cols w:space="720"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仿宋_GB2312">
    <w:panose1 w:val="02010609030101010101"/>
    <w:charset w:val="86"/>
    <w:family w:val="modern"/>
    <w:pitch w:val="default"/>
    <w:sig w:usb0="00000001" w:usb1="080E0000" w:usb2="00000000" w:usb3="00000000" w:csb0="00040000" w:csb1="00000000"/>
  </w:font>
  <w:font w:name="Tahoma">
    <w:panose1 w:val="020B0604030504040204"/>
    <w:charset w:val="00"/>
    <w:family w:val="swiss"/>
    <w:pitch w:val="default"/>
    <w:sig w:usb0="E1002EFF" w:usb1="C000605B" w:usb2="00000029" w:usb3="00000000" w:csb0="200101FF" w:csb1="20280000"/>
  </w:font>
  <w:font w:name="仿宋">
    <w:panose1 w:val="02010609060101010101"/>
    <w:charset w:val="86"/>
    <w:family w:val="modern"/>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70EC13">
    <w:pPr>
      <w:pStyle w:val="7"/>
      <w:framePr w:wrap="around" w:vAnchor="text" w:hAnchor="margin" w:xAlign="center" w:y="1"/>
      <w:rPr>
        <w:rStyle w:val="13"/>
      </w:rPr>
    </w:pPr>
    <w:r>
      <w:fldChar w:fldCharType="begin"/>
    </w:r>
    <w:r>
      <w:rPr>
        <w:rStyle w:val="13"/>
      </w:rPr>
      <w:instrText xml:space="preserve">PAGE  </w:instrText>
    </w:r>
    <w:r>
      <w:fldChar w:fldCharType="separate"/>
    </w:r>
    <w:r>
      <w:rPr>
        <w:rStyle w:val="13"/>
      </w:rPr>
      <w:t>3</w:t>
    </w:r>
    <w:r>
      <w:fldChar w:fldCharType="end"/>
    </w:r>
  </w:p>
  <w:p w14:paraId="5C551A7A">
    <w:pPr>
      <w:pStyle w:val="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9EB65C">
    <w:pPr>
      <w:pStyle w:val="7"/>
      <w:framePr w:wrap="around" w:vAnchor="text" w:hAnchor="margin" w:xAlign="center" w:y="1"/>
      <w:rPr>
        <w:rStyle w:val="13"/>
      </w:rPr>
    </w:pPr>
    <w:r>
      <w:fldChar w:fldCharType="begin"/>
    </w:r>
    <w:r>
      <w:rPr>
        <w:rStyle w:val="13"/>
      </w:rPr>
      <w:instrText xml:space="preserve">PAGE  </w:instrText>
    </w:r>
    <w:r>
      <w:fldChar w:fldCharType="separate"/>
    </w:r>
    <w:r>
      <w:rPr>
        <w:rStyle w:val="13"/>
      </w:rPr>
      <w:t>16</w:t>
    </w:r>
    <w:r>
      <w:fldChar w:fldCharType="end"/>
    </w:r>
  </w:p>
  <w:p w14:paraId="293ADCF8">
    <w:pPr>
      <w:pStyle w:val="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803EC9">
    <w:pPr>
      <w:pStyle w:val="7"/>
      <w:framePr w:wrap="around" w:vAnchor="text" w:hAnchor="margin" w:xAlign="center" w:y="1"/>
      <w:rPr>
        <w:rStyle w:val="13"/>
      </w:rPr>
    </w:pPr>
    <w:r>
      <w:fldChar w:fldCharType="begin"/>
    </w:r>
    <w:r>
      <w:rPr>
        <w:rStyle w:val="13"/>
      </w:rPr>
      <w:instrText xml:space="preserve">PAGE  </w:instrText>
    </w:r>
    <w:r>
      <w:fldChar w:fldCharType="separate"/>
    </w:r>
    <w:r>
      <w:rPr>
        <w:rStyle w:val="13"/>
      </w:rPr>
      <w:t>15</w:t>
    </w:r>
    <w:r>
      <w:fldChar w:fldCharType="end"/>
    </w:r>
  </w:p>
  <w:p w14:paraId="30698EE5">
    <w:pPr>
      <w:pStyle w:val="7"/>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7F115BF"/>
    <w:multiLevelType w:val="singleLevel"/>
    <w:tmpl w:val="B7F115BF"/>
    <w:lvl w:ilvl="0" w:tentative="0">
      <w:start w:val="2"/>
      <w:numFmt w:val="decimal"/>
      <w:suff w:val="nothing"/>
      <w:lvlText w:val="（%1）"/>
      <w:lvlJc w:val="left"/>
    </w:lvl>
  </w:abstractNum>
  <w:abstractNum w:abstractNumId="1">
    <w:nsid w:val="C8047A55"/>
    <w:multiLevelType w:val="singleLevel"/>
    <w:tmpl w:val="C8047A55"/>
    <w:lvl w:ilvl="0" w:tentative="0">
      <w:start w:val="2"/>
      <w:numFmt w:val="decimal"/>
      <w:suff w:val="nothing"/>
      <w:lvlText w:val="（%1）"/>
      <w:lvlJc w:val="left"/>
    </w:lvl>
  </w:abstractNum>
  <w:abstractNum w:abstractNumId="2">
    <w:nsid w:val="DC3AFFF1"/>
    <w:multiLevelType w:val="singleLevel"/>
    <w:tmpl w:val="DC3AFFF1"/>
    <w:lvl w:ilvl="0" w:tentative="0">
      <w:start w:val="2"/>
      <w:numFmt w:val="chineseCounting"/>
      <w:suff w:val="nothing"/>
      <w:lvlText w:val="（%1）"/>
      <w:lvlJc w:val="left"/>
      <w:rPr>
        <w:rFonts w:hint="eastAsia"/>
      </w:rPr>
    </w:lvl>
  </w:abstractNum>
  <w:abstractNum w:abstractNumId="3">
    <w:nsid w:val="0E4B0459"/>
    <w:multiLevelType w:val="singleLevel"/>
    <w:tmpl w:val="0E4B0459"/>
    <w:lvl w:ilvl="0" w:tentative="0">
      <w:start w:val="2"/>
      <w:numFmt w:val="decimal"/>
      <w:lvlText w:val="%1."/>
      <w:lvlJc w:val="left"/>
      <w:pPr>
        <w:tabs>
          <w:tab w:val="left" w:pos="312"/>
        </w:tabs>
      </w:pPr>
    </w:lvl>
  </w:abstractNum>
  <w:abstractNum w:abstractNumId="4">
    <w:nsid w:val="73C60DCC"/>
    <w:multiLevelType w:val="singleLevel"/>
    <w:tmpl w:val="73C60DCC"/>
    <w:lvl w:ilvl="0" w:tentative="0">
      <w:start w:val="2"/>
      <w:numFmt w:val="decimal"/>
      <w:lvlText w:val="%1."/>
      <w:lvlJc w:val="left"/>
      <w:pPr>
        <w:tabs>
          <w:tab w:val="left" w:pos="312"/>
        </w:tabs>
      </w:pPr>
    </w:lvl>
  </w:abstractNum>
  <w:num w:numId="1">
    <w:abstractNumId w:val="2"/>
  </w:num>
  <w:num w:numId="2">
    <w:abstractNumId w:val="4"/>
  </w:num>
  <w:num w:numId="3">
    <w:abstractNumId w:val="0"/>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ZmNWE4NzRhMTczNjJlZDE5ZTE5YTczN2QxMzcyMjAifQ=="/>
  </w:docVars>
  <w:rsids>
    <w:rsidRoot w:val="00100246"/>
    <w:rsid w:val="00003B03"/>
    <w:rsid w:val="000040E6"/>
    <w:rsid w:val="00011D72"/>
    <w:rsid w:val="0002352D"/>
    <w:rsid w:val="00027CD5"/>
    <w:rsid w:val="00031B8E"/>
    <w:rsid w:val="00033EC1"/>
    <w:rsid w:val="00034224"/>
    <w:rsid w:val="00040275"/>
    <w:rsid w:val="0004719C"/>
    <w:rsid w:val="00047F6E"/>
    <w:rsid w:val="00051B00"/>
    <w:rsid w:val="000601B1"/>
    <w:rsid w:val="00063034"/>
    <w:rsid w:val="00066E19"/>
    <w:rsid w:val="0006752F"/>
    <w:rsid w:val="00071797"/>
    <w:rsid w:val="00071860"/>
    <w:rsid w:val="0007258E"/>
    <w:rsid w:val="00077A9E"/>
    <w:rsid w:val="00077F4A"/>
    <w:rsid w:val="00077FE5"/>
    <w:rsid w:val="00080447"/>
    <w:rsid w:val="00085663"/>
    <w:rsid w:val="00095948"/>
    <w:rsid w:val="00095C26"/>
    <w:rsid w:val="00096504"/>
    <w:rsid w:val="00096B86"/>
    <w:rsid w:val="000A1770"/>
    <w:rsid w:val="000A283C"/>
    <w:rsid w:val="000B15B7"/>
    <w:rsid w:val="000B70F1"/>
    <w:rsid w:val="000C4611"/>
    <w:rsid w:val="000D1B61"/>
    <w:rsid w:val="000D6854"/>
    <w:rsid w:val="000E0B26"/>
    <w:rsid w:val="000E3291"/>
    <w:rsid w:val="000F08FE"/>
    <w:rsid w:val="000F208B"/>
    <w:rsid w:val="000F2A48"/>
    <w:rsid w:val="000F49BE"/>
    <w:rsid w:val="00100246"/>
    <w:rsid w:val="0010682D"/>
    <w:rsid w:val="001073C6"/>
    <w:rsid w:val="00107DB5"/>
    <w:rsid w:val="00113613"/>
    <w:rsid w:val="0011483D"/>
    <w:rsid w:val="00115724"/>
    <w:rsid w:val="00130995"/>
    <w:rsid w:val="00131FF9"/>
    <w:rsid w:val="00132320"/>
    <w:rsid w:val="00135B6A"/>
    <w:rsid w:val="001369A7"/>
    <w:rsid w:val="001428C5"/>
    <w:rsid w:val="001503D8"/>
    <w:rsid w:val="00157540"/>
    <w:rsid w:val="0017111F"/>
    <w:rsid w:val="00173CF6"/>
    <w:rsid w:val="00180DAD"/>
    <w:rsid w:val="0018370E"/>
    <w:rsid w:val="001852E1"/>
    <w:rsid w:val="00191568"/>
    <w:rsid w:val="001A4277"/>
    <w:rsid w:val="001A7D2E"/>
    <w:rsid w:val="001B1DF9"/>
    <w:rsid w:val="001B1E93"/>
    <w:rsid w:val="001B375E"/>
    <w:rsid w:val="001B4A46"/>
    <w:rsid w:val="001B5E87"/>
    <w:rsid w:val="001B5E91"/>
    <w:rsid w:val="001B69BF"/>
    <w:rsid w:val="001B7988"/>
    <w:rsid w:val="001D78D9"/>
    <w:rsid w:val="001E0556"/>
    <w:rsid w:val="001E2355"/>
    <w:rsid w:val="001E2379"/>
    <w:rsid w:val="001E29A9"/>
    <w:rsid w:val="001F5857"/>
    <w:rsid w:val="00206EC3"/>
    <w:rsid w:val="0021047C"/>
    <w:rsid w:val="00211E4E"/>
    <w:rsid w:val="00213D1C"/>
    <w:rsid w:val="00214C3A"/>
    <w:rsid w:val="00217517"/>
    <w:rsid w:val="00222628"/>
    <w:rsid w:val="002253CB"/>
    <w:rsid w:val="002267A6"/>
    <w:rsid w:val="002326DE"/>
    <w:rsid w:val="00234314"/>
    <w:rsid w:val="00241724"/>
    <w:rsid w:val="0024390C"/>
    <w:rsid w:val="002441F4"/>
    <w:rsid w:val="00244204"/>
    <w:rsid w:val="002448A4"/>
    <w:rsid w:val="00245A0A"/>
    <w:rsid w:val="00246C42"/>
    <w:rsid w:val="002515CC"/>
    <w:rsid w:val="00253EC4"/>
    <w:rsid w:val="00254515"/>
    <w:rsid w:val="0026479D"/>
    <w:rsid w:val="002673C4"/>
    <w:rsid w:val="0027112B"/>
    <w:rsid w:val="00271C3F"/>
    <w:rsid w:val="00272460"/>
    <w:rsid w:val="00273070"/>
    <w:rsid w:val="0027394A"/>
    <w:rsid w:val="00274D50"/>
    <w:rsid w:val="002760D5"/>
    <w:rsid w:val="00276289"/>
    <w:rsid w:val="0028081D"/>
    <w:rsid w:val="0028458C"/>
    <w:rsid w:val="002911BD"/>
    <w:rsid w:val="00291C98"/>
    <w:rsid w:val="00294DE9"/>
    <w:rsid w:val="002A1488"/>
    <w:rsid w:val="002A4C2B"/>
    <w:rsid w:val="002B19D0"/>
    <w:rsid w:val="002B3682"/>
    <w:rsid w:val="002B5464"/>
    <w:rsid w:val="002C0443"/>
    <w:rsid w:val="002C12FB"/>
    <w:rsid w:val="002C24BC"/>
    <w:rsid w:val="002D03C6"/>
    <w:rsid w:val="002D0FDF"/>
    <w:rsid w:val="002D3955"/>
    <w:rsid w:val="002D68A9"/>
    <w:rsid w:val="002E06AE"/>
    <w:rsid w:val="002E4B75"/>
    <w:rsid w:val="002E68DD"/>
    <w:rsid w:val="002F17C2"/>
    <w:rsid w:val="002F32EE"/>
    <w:rsid w:val="002F4054"/>
    <w:rsid w:val="002F5574"/>
    <w:rsid w:val="00301D20"/>
    <w:rsid w:val="00302B19"/>
    <w:rsid w:val="00303428"/>
    <w:rsid w:val="003053C4"/>
    <w:rsid w:val="003058A3"/>
    <w:rsid w:val="00307204"/>
    <w:rsid w:val="00307DA5"/>
    <w:rsid w:val="0031169D"/>
    <w:rsid w:val="0031170D"/>
    <w:rsid w:val="00313E14"/>
    <w:rsid w:val="003167DD"/>
    <w:rsid w:val="00320C8B"/>
    <w:rsid w:val="00321BD8"/>
    <w:rsid w:val="00325687"/>
    <w:rsid w:val="00332C14"/>
    <w:rsid w:val="00335079"/>
    <w:rsid w:val="003352CE"/>
    <w:rsid w:val="00341D8E"/>
    <w:rsid w:val="003502B9"/>
    <w:rsid w:val="00351B8F"/>
    <w:rsid w:val="00353226"/>
    <w:rsid w:val="00353717"/>
    <w:rsid w:val="00354630"/>
    <w:rsid w:val="00365A24"/>
    <w:rsid w:val="003712DB"/>
    <w:rsid w:val="00373DDC"/>
    <w:rsid w:val="00382A86"/>
    <w:rsid w:val="00383BCC"/>
    <w:rsid w:val="00385243"/>
    <w:rsid w:val="003925D4"/>
    <w:rsid w:val="0039318C"/>
    <w:rsid w:val="00393366"/>
    <w:rsid w:val="003937DC"/>
    <w:rsid w:val="00393D75"/>
    <w:rsid w:val="003A2F2D"/>
    <w:rsid w:val="003A43AC"/>
    <w:rsid w:val="003A4EB6"/>
    <w:rsid w:val="003A7AE9"/>
    <w:rsid w:val="003A7BC5"/>
    <w:rsid w:val="003A7FF5"/>
    <w:rsid w:val="003B0352"/>
    <w:rsid w:val="003B4437"/>
    <w:rsid w:val="003B48C4"/>
    <w:rsid w:val="003B5E20"/>
    <w:rsid w:val="003B6DAD"/>
    <w:rsid w:val="003B735F"/>
    <w:rsid w:val="003C030C"/>
    <w:rsid w:val="003C55FC"/>
    <w:rsid w:val="003D0EC3"/>
    <w:rsid w:val="003D7274"/>
    <w:rsid w:val="003E4D82"/>
    <w:rsid w:val="003E5BC1"/>
    <w:rsid w:val="003F0D1B"/>
    <w:rsid w:val="003F1DD6"/>
    <w:rsid w:val="00401087"/>
    <w:rsid w:val="00402E26"/>
    <w:rsid w:val="00405701"/>
    <w:rsid w:val="004110BC"/>
    <w:rsid w:val="0041271F"/>
    <w:rsid w:val="0041688E"/>
    <w:rsid w:val="004170EF"/>
    <w:rsid w:val="0042093C"/>
    <w:rsid w:val="004233DD"/>
    <w:rsid w:val="00424405"/>
    <w:rsid w:val="00425B25"/>
    <w:rsid w:val="00425D24"/>
    <w:rsid w:val="00426A4D"/>
    <w:rsid w:val="00427687"/>
    <w:rsid w:val="00433231"/>
    <w:rsid w:val="004334CA"/>
    <w:rsid w:val="0043506A"/>
    <w:rsid w:val="00435830"/>
    <w:rsid w:val="0043619C"/>
    <w:rsid w:val="0044475D"/>
    <w:rsid w:val="00444D1E"/>
    <w:rsid w:val="0044571A"/>
    <w:rsid w:val="0044705D"/>
    <w:rsid w:val="0045090E"/>
    <w:rsid w:val="00453E36"/>
    <w:rsid w:val="00457286"/>
    <w:rsid w:val="00461FA5"/>
    <w:rsid w:val="00463566"/>
    <w:rsid w:val="00464182"/>
    <w:rsid w:val="00471C52"/>
    <w:rsid w:val="0047460C"/>
    <w:rsid w:val="00474FF2"/>
    <w:rsid w:val="00480098"/>
    <w:rsid w:val="00484A93"/>
    <w:rsid w:val="00485E12"/>
    <w:rsid w:val="004865DA"/>
    <w:rsid w:val="0048779C"/>
    <w:rsid w:val="00487AB7"/>
    <w:rsid w:val="00487ED0"/>
    <w:rsid w:val="00491D09"/>
    <w:rsid w:val="0049682C"/>
    <w:rsid w:val="004A168E"/>
    <w:rsid w:val="004A4EC7"/>
    <w:rsid w:val="004B0003"/>
    <w:rsid w:val="004C020A"/>
    <w:rsid w:val="004C03A3"/>
    <w:rsid w:val="004C44B8"/>
    <w:rsid w:val="004C7629"/>
    <w:rsid w:val="004D0D5D"/>
    <w:rsid w:val="004E27DD"/>
    <w:rsid w:val="004E3350"/>
    <w:rsid w:val="004E5292"/>
    <w:rsid w:val="004F2C5B"/>
    <w:rsid w:val="004F641B"/>
    <w:rsid w:val="004F71F3"/>
    <w:rsid w:val="005052FA"/>
    <w:rsid w:val="005069E1"/>
    <w:rsid w:val="00507E59"/>
    <w:rsid w:val="005122B5"/>
    <w:rsid w:val="0052381C"/>
    <w:rsid w:val="005346B3"/>
    <w:rsid w:val="0054051C"/>
    <w:rsid w:val="00546A84"/>
    <w:rsid w:val="00547BE2"/>
    <w:rsid w:val="0055353D"/>
    <w:rsid w:val="0056187C"/>
    <w:rsid w:val="00576B03"/>
    <w:rsid w:val="00581E1A"/>
    <w:rsid w:val="00591655"/>
    <w:rsid w:val="00591BEC"/>
    <w:rsid w:val="005940EA"/>
    <w:rsid w:val="00594448"/>
    <w:rsid w:val="005A1D6F"/>
    <w:rsid w:val="005A4D82"/>
    <w:rsid w:val="005A52A6"/>
    <w:rsid w:val="005B0DEC"/>
    <w:rsid w:val="005B368E"/>
    <w:rsid w:val="005B6E69"/>
    <w:rsid w:val="005C0015"/>
    <w:rsid w:val="005C1E82"/>
    <w:rsid w:val="005C2BCE"/>
    <w:rsid w:val="005C2CA5"/>
    <w:rsid w:val="005C7062"/>
    <w:rsid w:val="005C7788"/>
    <w:rsid w:val="005D10B9"/>
    <w:rsid w:val="005D18DA"/>
    <w:rsid w:val="005E00DC"/>
    <w:rsid w:val="005E3BBC"/>
    <w:rsid w:val="005E3EC6"/>
    <w:rsid w:val="005E4E07"/>
    <w:rsid w:val="005E4E46"/>
    <w:rsid w:val="005E5275"/>
    <w:rsid w:val="005E7DC8"/>
    <w:rsid w:val="005E7EC9"/>
    <w:rsid w:val="005F7087"/>
    <w:rsid w:val="00611BE4"/>
    <w:rsid w:val="0061219B"/>
    <w:rsid w:val="00621419"/>
    <w:rsid w:val="00626446"/>
    <w:rsid w:val="00626BE8"/>
    <w:rsid w:val="00631827"/>
    <w:rsid w:val="00632804"/>
    <w:rsid w:val="006376DA"/>
    <w:rsid w:val="006459DA"/>
    <w:rsid w:val="006502E8"/>
    <w:rsid w:val="00654A2B"/>
    <w:rsid w:val="0065675C"/>
    <w:rsid w:val="0065793F"/>
    <w:rsid w:val="0066263B"/>
    <w:rsid w:val="0066713A"/>
    <w:rsid w:val="0067195C"/>
    <w:rsid w:val="006724F7"/>
    <w:rsid w:val="0067511A"/>
    <w:rsid w:val="0067539B"/>
    <w:rsid w:val="00675543"/>
    <w:rsid w:val="00677396"/>
    <w:rsid w:val="00677AD9"/>
    <w:rsid w:val="00681970"/>
    <w:rsid w:val="00690641"/>
    <w:rsid w:val="00690D88"/>
    <w:rsid w:val="00691844"/>
    <w:rsid w:val="00693DDF"/>
    <w:rsid w:val="00696F9E"/>
    <w:rsid w:val="006A374A"/>
    <w:rsid w:val="006A505E"/>
    <w:rsid w:val="006A513E"/>
    <w:rsid w:val="006A5265"/>
    <w:rsid w:val="006B0CB9"/>
    <w:rsid w:val="006B2609"/>
    <w:rsid w:val="006B2750"/>
    <w:rsid w:val="006B3678"/>
    <w:rsid w:val="006B7390"/>
    <w:rsid w:val="006C0084"/>
    <w:rsid w:val="006C107D"/>
    <w:rsid w:val="006C3600"/>
    <w:rsid w:val="006C4534"/>
    <w:rsid w:val="006C5205"/>
    <w:rsid w:val="006C75F6"/>
    <w:rsid w:val="006D3F53"/>
    <w:rsid w:val="006D60AF"/>
    <w:rsid w:val="006E4722"/>
    <w:rsid w:val="00701651"/>
    <w:rsid w:val="007049BF"/>
    <w:rsid w:val="00704E79"/>
    <w:rsid w:val="00707A26"/>
    <w:rsid w:val="0071120F"/>
    <w:rsid w:val="00716380"/>
    <w:rsid w:val="00722165"/>
    <w:rsid w:val="00724B1C"/>
    <w:rsid w:val="007428F0"/>
    <w:rsid w:val="007512EF"/>
    <w:rsid w:val="007551AC"/>
    <w:rsid w:val="0076101C"/>
    <w:rsid w:val="00763D87"/>
    <w:rsid w:val="007670B2"/>
    <w:rsid w:val="00771795"/>
    <w:rsid w:val="00774925"/>
    <w:rsid w:val="0079279F"/>
    <w:rsid w:val="00793E69"/>
    <w:rsid w:val="007A063C"/>
    <w:rsid w:val="007A16B0"/>
    <w:rsid w:val="007A19EA"/>
    <w:rsid w:val="007A6092"/>
    <w:rsid w:val="007A60B7"/>
    <w:rsid w:val="007A64A6"/>
    <w:rsid w:val="007A6EE1"/>
    <w:rsid w:val="007A7C89"/>
    <w:rsid w:val="007B1487"/>
    <w:rsid w:val="007B2A43"/>
    <w:rsid w:val="007B326F"/>
    <w:rsid w:val="007B6A58"/>
    <w:rsid w:val="007B6C06"/>
    <w:rsid w:val="007B7B78"/>
    <w:rsid w:val="007C32B1"/>
    <w:rsid w:val="007C7A22"/>
    <w:rsid w:val="007C7C62"/>
    <w:rsid w:val="007D1076"/>
    <w:rsid w:val="007D12B7"/>
    <w:rsid w:val="007D2A49"/>
    <w:rsid w:val="007D5E38"/>
    <w:rsid w:val="007D7AC4"/>
    <w:rsid w:val="007E0340"/>
    <w:rsid w:val="007E1D4A"/>
    <w:rsid w:val="007E53C0"/>
    <w:rsid w:val="007E7703"/>
    <w:rsid w:val="007F4558"/>
    <w:rsid w:val="007F64DF"/>
    <w:rsid w:val="008050EF"/>
    <w:rsid w:val="0080652C"/>
    <w:rsid w:val="0080715F"/>
    <w:rsid w:val="008113D6"/>
    <w:rsid w:val="00812BA7"/>
    <w:rsid w:val="00813A87"/>
    <w:rsid w:val="00813F63"/>
    <w:rsid w:val="00815926"/>
    <w:rsid w:val="00815F57"/>
    <w:rsid w:val="0081760B"/>
    <w:rsid w:val="008218AC"/>
    <w:rsid w:val="00825359"/>
    <w:rsid w:val="00825E13"/>
    <w:rsid w:val="00826F07"/>
    <w:rsid w:val="008337CB"/>
    <w:rsid w:val="00834A3C"/>
    <w:rsid w:val="008360A0"/>
    <w:rsid w:val="00837658"/>
    <w:rsid w:val="00837CD4"/>
    <w:rsid w:val="00837F78"/>
    <w:rsid w:val="008400EE"/>
    <w:rsid w:val="00840791"/>
    <w:rsid w:val="00845576"/>
    <w:rsid w:val="00850708"/>
    <w:rsid w:val="00851024"/>
    <w:rsid w:val="008526D7"/>
    <w:rsid w:val="0086238C"/>
    <w:rsid w:val="008655DC"/>
    <w:rsid w:val="0086732D"/>
    <w:rsid w:val="00870183"/>
    <w:rsid w:val="00875726"/>
    <w:rsid w:val="00877F10"/>
    <w:rsid w:val="0088225D"/>
    <w:rsid w:val="00882F8D"/>
    <w:rsid w:val="00884FB0"/>
    <w:rsid w:val="008853A5"/>
    <w:rsid w:val="008944DA"/>
    <w:rsid w:val="00894D78"/>
    <w:rsid w:val="008A6A18"/>
    <w:rsid w:val="008B033F"/>
    <w:rsid w:val="008B4003"/>
    <w:rsid w:val="008B7443"/>
    <w:rsid w:val="008C179E"/>
    <w:rsid w:val="008C2379"/>
    <w:rsid w:val="008C4FF7"/>
    <w:rsid w:val="008C5C4C"/>
    <w:rsid w:val="008C7056"/>
    <w:rsid w:val="008C706D"/>
    <w:rsid w:val="008D3145"/>
    <w:rsid w:val="008E1A54"/>
    <w:rsid w:val="008E1F95"/>
    <w:rsid w:val="008E36B6"/>
    <w:rsid w:val="008E4267"/>
    <w:rsid w:val="008E4847"/>
    <w:rsid w:val="008E5FF1"/>
    <w:rsid w:val="008E63D2"/>
    <w:rsid w:val="008E6E14"/>
    <w:rsid w:val="008F1528"/>
    <w:rsid w:val="008F1AE5"/>
    <w:rsid w:val="008F55D9"/>
    <w:rsid w:val="009057DE"/>
    <w:rsid w:val="00905F97"/>
    <w:rsid w:val="00906FA3"/>
    <w:rsid w:val="0091239D"/>
    <w:rsid w:val="00912825"/>
    <w:rsid w:val="009129B8"/>
    <w:rsid w:val="00912B99"/>
    <w:rsid w:val="00912C78"/>
    <w:rsid w:val="00927892"/>
    <w:rsid w:val="009319B9"/>
    <w:rsid w:val="009351E9"/>
    <w:rsid w:val="00937862"/>
    <w:rsid w:val="00942279"/>
    <w:rsid w:val="009524EB"/>
    <w:rsid w:val="00962013"/>
    <w:rsid w:val="00963942"/>
    <w:rsid w:val="0096716C"/>
    <w:rsid w:val="009672B2"/>
    <w:rsid w:val="00971C66"/>
    <w:rsid w:val="00972363"/>
    <w:rsid w:val="0098419C"/>
    <w:rsid w:val="009843EF"/>
    <w:rsid w:val="009867F2"/>
    <w:rsid w:val="00991347"/>
    <w:rsid w:val="00996018"/>
    <w:rsid w:val="0099738E"/>
    <w:rsid w:val="009A493E"/>
    <w:rsid w:val="009A531F"/>
    <w:rsid w:val="009A6931"/>
    <w:rsid w:val="009B1F9A"/>
    <w:rsid w:val="009B1FA9"/>
    <w:rsid w:val="009B349F"/>
    <w:rsid w:val="009B4293"/>
    <w:rsid w:val="009B6715"/>
    <w:rsid w:val="009C7B74"/>
    <w:rsid w:val="009D0BE2"/>
    <w:rsid w:val="009D114E"/>
    <w:rsid w:val="009D210F"/>
    <w:rsid w:val="009D309C"/>
    <w:rsid w:val="009D37B1"/>
    <w:rsid w:val="009D4717"/>
    <w:rsid w:val="009D694D"/>
    <w:rsid w:val="009E264E"/>
    <w:rsid w:val="009F0C98"/>
    <w:rsid w:val="009F0F81"/>
    <w:rsid w:val="009F2543"/>
    <w:rsid w:val="009F256D"/>
    <w:rsid w:val="009F341E"/>
    <w:rsid w:val="009F57CE"/>
    <w:rsid w:val="00A117CA"/>
    <w:rsid w:val="00A12225"/>
    <w:rsid w:val="00A14C18"/>
    <w:rsid w:val="00A25898"/>
    <w:rsid w:val="00A3071D"/>
    <w:rsid w:val="00A3182E"/>
    <w:rsid w:val="00A31A89"/>
    <w:rsid w:val="00A32F06"/>
    <w:rsid w:val="00A34934"/>
    <w:rsid w:val="00A34EFE"/>
    <w:rsid w:val="00A36546"/>
    <w:rsid w:val="00A4069C"/>
    <w:rsid w:val="00A413B5"/>
    <w:rsid w:val="00A429CB"/>
    <w:rsid w:val="00A44E87"/>
    <w:rsid w:val="00A5063C"/>
    <w:rsid w:val="00A52749"/>
    <w:rsid w:val="00A5422E"/>
    <w:rsid w:val="00A56EC1"/>
    <w:rsid w:val="00A6350C"/>
    <w:rsid w:val="00A6370B"/>
    <w:rsid w:val="00A63A73"/>
    <w:rsid w:val="00A6655C"/>
    <w:rsid w:val="00A66CBB"/>
    <w:rsid w:val="00A6704E"/>
    <w:rsid w:val="00A67EA4"/>
    <w:rsid w:val="00A773FF"/>
    <w:rsid w:val="00A83AA1"/>
    <w:rsid w:val="00A906F4"/>
    <w:rsid w:val="00A9343A"/>
    <w:rsid w:val="00A9706C"/>
    <w:rsid w:val="00A97B34"/>
    <w:rsid w:val="00AA1B5C"/>
    <w:rsid w:val="00AA7A27"/>
    <w:rsid w:val="00AB3FB0"/>
    <w:rsid w:val="00AB465D"/>
    <w:rsid w:val="00AB713D"/>
    <w:rsid w:val="00AC114C"/>
    <w:rsid w:val="00AC1478"/>
    <w:rsid w:val="00AC6C2D"/>
    <w:rsid w:val="00AC6E17"/>
    <w:rsid w:val="00AD2FF3"/>
    <w:rsid w:val="00AD7764"/>
    <w:rsid w:val="00AD7FE2"/>
    <w:rsid w:val="00AE1284"/>
    <w:rsid w:val="00AE1B18"/>
    <w:rsid w:val="00AE7339"/>
    <w:rsid w:val="00AF1B0B"/>
    <w:rsid w:val="00AF242C"/>
    <w:rsid w:val="00AF3CC4"/>
    <w:rsid w:val="00B05903"/>
    <w:rsid w:val="00B12C7A"/>
    <w:rsid w:val="00B12E10"/>
    <w:rsid w:val="00B22BC3"/>
    <w:rsid w:val="00B25865"/>
    <w:rsid w:val="00B272B6"/>
    <w:rsid w:val="00B2771B"/>
    <w:rsid w:val="00B336E9"/>
    <w:rsid w:val="00B33AE5"/>
    <w:rsid w:val="00B35BE5"/>
    <w:rsid w:val="00B46965"/>
    <w:rsid w:val="00B54ED0"/>
    <w:rsid w:val="00B55D47"/>
    <w:rsid w:val="00B6204E"/>
    <w:rsid w:val="00B649EC"/>
    <w:rsid w:val="00B728DD"/>
    <w:rsid w:val="00B72D43"/>
    <w:rsid w:val="00B74121"/>
    <w:rsid w:val="00B80ABA"/>
    <w:rsid w:val="00B859FF"/>
    <w:rsid w:val="00B85C1B"/>
    <w:rsid w:val="00B85FF0"/>
    <w:rsid w:val="00B86150"/>
    <w:rsid w:val="00B878F9"/>
    <w:rsid w:val="00B9044A"/>
    <w:rsid w:val="00B960F3"/>
    <w:rsid w:val="00B96A31"/>
    <w:rsid w:val="00BA05E6"/>
    <w:rsid w:val="00BA51B0"/>
    <w:rsid w:val="00BA6319"/>
    <w:rsid w:val="00BC03B0"/>
    <w:rsid w:val="00BC06A3"/>
    <w:rsid w:val="00BC0CEA"/>
    <w:rsid w:val="00BC2220"/>
    <w:rsid w:val="00BC26B9"/>
    <w:rsid w:val="00BC26FA"/>
    <w:rsid w:val="00BC4E01"/>
    <w:rsid w:val="00BC73F6"/>
    <w:rsid w:val="00BD1177"/>
    <w:rsid w:val="00BD1374"/>
    <w:rsid w:val="00BD3531"/>
    <w:rsid w:val="00BD4E35"/>
    <w:rsid w:val="00BE34CA"/>
    <w:rsid w:val="00BF116A"/>
    <w:rsid w:val="00C0623C"/>
    <w:rsid w:val="00C06A07"/>
    <w:rsid w:val="00C132B6"/>
    <w:rsid w:val="00C21A6C"/>
    <w:rsid w:val="00C24A10"/>
    <w:rsid w:val="00C27003"/>
    <w:rsid w:val="00C27597"/>
    <w:rsid w:val="00C32BD4"/>
    <w:rsid w:val="00C33E48"/>
    <w:rsid w:val="00C3618B"/>
    <w:rsid w:val="00C403FB"/>
    <w:rsid w:val="00C4316E"/>
    <w:rsid w:val="00C441A2"/>
    <w:rsid w:val="00C5076B"/>
    <w:rsid w:val="00C512D4"/>
    <w:rsid w:val="00C51CF4"/>
    <w:rsid w:val="00C531E2"/>
    <w:rsid w:val="00C53204"/>
    <w:rsid w:val="00C57E34"/>
    <w:rsid w:val="00C64659"/>
    <w:rsid w:val="00C662E9"/>
    <w:rsid w:val="00C66C2D"/>
    <w:rsid w:val="00C7190B"/>
    <w:rsid w:val="00C76852"/>
    <w:rsid w:val="00C77210"/>
    <w:rsid w:val="00C777FA"/>
    <w:rsid w:val="00C77989"/>
    <w:rsid w:val="00C811F4"/>
    <w:rsid w:val="00C81E51"/>
    <w:rsid w:val="00C87B73"/>
    <w:rsid w:val="00C92444"/>
    <w:rsid w:val="00C92FBB"/>
    <w:rsid w:val="00C93327"/>
    <w:rsid w:val="00C97B4D"/>
    <w:rsid w:val="00CA5602"/>
    <w:rsid w:val="00CA5CA9"/>
    <w:rsid w:val="00CA78E2"/>
    <w:rsid w:val="00CB1BBE"/>
    <w:rsid w:val="00CB65DB"/>
    <w:rsid w:val="00CB6BD9"/>
    <w:rsid w:val="00CC293A"/>
    <w:rsid w:val="00CE19F6"/>
    <w:rsid w:val="00CE6B76"/>
    <w:rsid w:val="00CF366B"/>
    <w:rsid w:val="00CF5D9D"/>
    <w:rsid w:val="00CF606C"/>
    <w:rsid w:val="00CF7423"/>
    <w:rsid w:val="00D001F5"/>
    <w:rsid w:val="00D03E80"/>
    <w:rsid w:val="00D1505F"/>
    <w:rsid w:val="00D15B9F"/>
    <w:rsid w:val="00D15DD6"/>
    <w:rsid w:val="00D25548"/>
    <w:rsid w:val="00D2601F"/>
    <w:rsid w:val="00D27759"/>
    <w:rsid w:val="00D30028"/>
    <w:rsid w:val="00D325D3"/>
    <w:rsid w:val="00D408D6"/>
    <w:rsid w:val="00D511DD"/>
    <w:rsid w:val="00D55C2A"/>
    <w:rsid w:val="00D571C1"/>
    <w:rsid w:val="00D602F4"/>
    <w:rsid w:val="00D6457E"/>
    <w:rsid w:val="00D742E2"/>
    <w:rsid w:val="00D7580E"/>
    <w:rsid w:val="00D87DAF"/>
    <w:rsid w:val="00D9446D"/>
    <w:rsid w:val="00DA2994"/>
    <w:rsid w:val="00DB08E8"/>
    <w:rsid w:val="00DB0DED"/>
    <w:rsid w:val="00DB3073"/>
    <w:rsid w:val="00DB3BA9"/>
    <w:rsid w:val="00DB50FE"/>
    <w:rsid w:val="00DB5EDA"/>
    <w:rsid w:val="00DC2349"/>
    <w:rsid w:val="00DC3026"/>
    <w:rsid w:val="00DD1EDB"/>
    <w:rsid w:val="00DD57AA"/>
    <w:rsid w:val="00DE1578"/>
    <w:rsid w:val="00DE7F67"/>
    <w:rsid w:val="00DF0529"/>
    <w:rsid w:val="00DF09EF"/>
    <w:rsid w:val="00DF0D0F"/>
    <w:rsid w:val="00DF13D6"/>
    <w:rsid w:val="00DF27D6"/>
    <w:rsid w:val="00DF2BEA"/>
    <w:rsid w:val="00DF4488"/>
    <w:rsid w:val="00DF5B98"/>
    <w:rsid w:val="00DF6FA8"/>
    <w:rsid w:val="00DF701E"/>
    <w:rsid w:val="00DF7BE5"/>
    <w:rsid w:val="00E00D49"/>
    <w:rsid w:val="00E019A8"/>
    <w:rsid w:val="00E03A46"/>
    <w:rsid w:val="00E03C6D"/>
    <w:rsid w:val="00E0476F"/>
    <w:rsid w:val="00E04899"/>
    <w:rsid w:val="00E0796F"/>
    <w:rsid w:val="00E10948"/>
    <w:rsid w:val="00E24371"/>
    <w:rsid w:val="00E243AB"/>
    <w:rsid w:val="00E26641"/>
    <w:rsid w:val="00E2778F"/>
    <w:rsid w:val="00E278B0"/>
    <w:rsid w:val="00E33023"/>
    <w:rsid w:val="00E331F3"/>
    <w:rsid w:val="00E3498D"/>
    <w:rsid w:val="00E42425"/>
    <w:rsid w:val="00E43E55"/>
    <w:rsid w:val="00E4554E"/>
    <w:rsid w:val="00E46D22"/>
    <w:rsid w:val="00E4768F"/>
    <w:rsid w:val="00E53C0E"/>
    <w:rsid w:val="00E54F7E"/>
    <w:rsid w:val="00E560CE"/>
    <w:rsid w:val="00E5674E"/>
    <w:rsid w:val="00E63783"/>
    <w:rsid w:val="00E650E2"/>
    <w:rsid w:val="00E75CAD"/>
    <w:rsid w:val="00E76922"/>
    <w:rsid w:val="00E8595B"/>
    <w:rsid w:val="00E915EC"/>
    <w:rsid w:val="00EA11B1"/>
    <w:rsid w:val="00EA2224"/>
    <w:rsid w:val="00EA7194"/>
    <w:rsid w:val="00EB1329"/>
    <w:rsid w:val="00EB2987"/>
    <w:rsid w:val="00EB2D75"/>
    <w:rsid w:val="00EB34BE"/>
    <w:rsid w:val="00EB571A"/>
    <w:rsid w:val="00EC2804"/>
    <w:rsid w:val="00EC6117"/>
    <w:rsid w:val="00EC6138"/>
    <w:rsid w:val="00ED1DCF"/>
    <w:rsid w:val="00ED43C9"/>
    <w:rsid w:val="00EE2C60"/>
    <w:rsid w:val="00EE2E58"/>
    <w:rsid w:val="00EE487A"/>
    <w:rsid w:val="00EE734C"/>
    <w:rsid w:val="00EF6907"/>
    <w:rsid w:val="00EF6D91"/>
    <w:rsid w:val="00F01F54"/>
    <w:rsid w:val="00F04D4D"/>
    <w:rsid w:val="00F11DD8"/>
    <w:rsid w:val="00F12745"/>
    <w:rsid w:val="00F13766"/>
    <w:rsid w:val="00F20A77"/>
    <w:rsid w:val="00F22C60"/>
    <w:rsid w:val="00F231A4"/>
    <w:rsid w:val="00F23252"/>
    <w:rsid w:val="00F27B2A"/>
    <w:rsid w:val="00F31762"/>
    <w:rsid w:val="00F345D3"/>
    <w:rsid w:val="00F356ED"/>
    <w:rsid w:val="00F359B5"/>
    <w:rsid w:val="00F4144F"/>
    <w:rsid w:val="00F433F3"/>
    <w:rsid w:val="00F47F64"/>
    <w:rsid w:val="00F522D9"/>
    <w:rsid w:val="00F52F54"/>
    <w:rsid w:val="00F53584"/>
    <w:rsid w:val="00F61B24"/>
    <w:rsid w:val="00F62DE5"/>
    <w:rsid w:val="00F63F8A"/>
    <w:rsid w:val="00F6514E"/>
    <w:rsid w:val="00F703DC"/>
    <w:rsid w:val="00F71D06"/>
    <w:rsid w:val="00F73B46"/>
    <w:rsid w:val="00F73D01"/>
    <w:rsid w:val="00F7642B"/>
    <w:rsid w:val="00F76A43"/>
    <w:rsid w:val="00F80334"/>
    <w:rsid w:val="00F8139D"/>
    <w:rsid w:val="00F83DF9"/>
    <w:rsid w:val="00F85DA0"/>
    <w:rsid w:val="00F930AF"/>
    <w:rsid w:val="00F9352C"/>
    <w:rsid w:val="00F975B0"/>
    <w:rsid w:val="00FA15F1"/>
    <w:rsid w:val="00FA19F5"/>
    <w:rsid w:val="00FA4A69"/>
    <w:rsid w:val="00FA649A"/>
    <w:rsid w:val="00FB1248"/>
    <w:rsid w:val="00FB208D"/>
    <w:rsid w:val="00FB3CF4"/>
    <w:rsid w:val="00FB4A27"/>
    <w:rsid w:val="00FB4A49"/>
    <w:rsid w:val="00FB69B3"/>
    <w:rsid w:val="00FC6FBE"/>
    <w:rsid w:val="00FD1162"/>
    <w:rsid w:val="00FD2232"/>
    <w:rsid w:val="00FD4AE7"/>
    <w:rsid w:val="00FD65A9"/>
    <w:rsid w:val="00FD7508"/>
    <w:rsid w:val="00FE1E51"/>
    <w:rsid w:val="00FE2496"/>
    <w:rsid w:val="00FE6A2B"/>
    <w:rsid w:val="00FF0275"/>
    <w:rsid w:val="00FF07B3"/>
    <w:rsid w:val="00FF1E37"/>
    <w:rsid w:val="02F120AB"/>
    <w:rsid w:val="032B5196"/>
    <w:rsid w:val="04C3537C"/>
    <w:rsid w:val="079004AC"/>
    <w:rsid w:val="09B83E50"/>
    <w:rsid w:val="0BA148CA"/>
    <w:rsid w:val="0C1165C4"/>
    <w:rsid w:val="0D6D544B"/>
    <w:rsid w:val="0DD136FE"/>
    <w:rsid w:val="0F8E2C57"/>
    <w:rsid w:val="1059665E"/>
    <w:rsid w:val="10AC13BA"/>
    <w:rsid w:val="11980797"/>
    <w:rsid w:val="128B487A"/>
    <w:rsid w:val="145A6C1B"/>
    <w:rsid w:val="14B73493"/>
    <w:rsid w:val="167A2FF9"/>
    <w:rsid w:val="17D40F13"/>
    <w:rsid w:val="17E05399"/>
    <w:rsid w:val="18581C69"/>
    <w:rsid w:val="186D28E5"/>
    <w:rsid w:val="1AD00E75"/>
    <w:rsid w:val="1AEC0734"/>
    <w:rsid w:val="1C203C3A"/>
    <w:rsid w:val="1D557113"/>
    <w:rsid w:val="1DEF20B0"/>
    <w:rsid w:val="201D2EC4"/>
    <w:rsid w:val="214243FA"/>
    <w:rsid w:val="21452B1A"/>
    <w:rsid w:val="21AD613C"/>
    <w:rsid w:val="22467189"/>
    <w:rsid w:val="257A14F5"/>
    <w:rsid w:val="27196C26"/>
    <w:rsid w:val="29EF086F"/>
    <w:rsid w:val="2A014A0F"/>
    <w:rsid w:val="2EFFE297"/>
    <w:rsid w:val="301437CA"/>
    <w:rsid w:val="32791381"/>
    <w:rsid w:val="349D1F0A"/>
    <w:rsid w:val="34DD0473"/>
    <w:rsid w:val="365622AD"/>
    <w:rsid w:val="37AD418A"/>
    <w:rsid w:val="3BD8131C"/>
    <w:rsid w:val="3C181CA7"/>
    <w:rsid w:val="3C684897"/>
    <w:rsid w:val="40180394"/>
    <w:rsid w:val="40F74F4C"/>
    <w:rsid w:val="41C6204F"/>
    <w:rsid w:val="41D1374D"/>
    <w:rsid w:val="433E495C"/>
    <w:rsid w:val="48015ECB"/>
    <w:rsid w:val="489F2FD7"/>
    <w:rsid w:val="49373C3E"/>
    <w:rsid w:val="4AC27CB3"/>
    <w:rsid w:val="4AF560D2"/>
    <w:rsid w:val="4B3004F1"/>
    <w:rsid w:val="4BF72BEF"/>
    <w:rsid w:val="4FA90297"/>
    <w:rsid w:val="4FC41A43"/>
    <w:rsid w:val="51DB3C59"/>
    <w:rsid w:val="550C0952"/>
    <w:rsid w:val="55762E42"/>
    <w:rsid w:val="568D0F6A"/>
    <w:rsid w:val="57A7B272"/>
    <w:rsid w:val="58470068"/>
    <w:rsid w:val="58747CAC"/>
    <w:rsid w:val="5A1720F9"/>
    <w:rsid w:val="5B9C37C2"/>
    <w:rsid w:val="5BA7C654"/>
    <w:rsid w:val="60A54109"/>
    <w:rsid w:val="61D01CDF"/>
    <w:rsid w:val="626D784A"/>
    <w:rsid w:val="64C0607C"/>
    <w:rsid w:val="65756C86"/>
    <w:rsid w:val="674D385B"/>
    <w:rsid w:val="676F09E1"/>
    <w:rsid w:val="677523D4"/>
    <w:rsid w:val="687B3851"/>
    <w:rsid w:val="71793A80"/>
    <w:rsid w:val="7357290B"/>
    <w:rsid w:val="798524E4"/>
    <w:rsid w:val="7A7F1C49"/>
    <w:rsid w:val="7B5B7AE6"/>
    <w:rsid w:val="7B7B6628"/>
    <w:rsid w:val="7BA7071E"/>
    <w:rsid w:val="7BDF6DA8"/>
    <w:rsid w:val="7BDF7589"/>
    <w:rsid w:val="7C7EDC1A"/>
    <w:rsid w:val="7C9E3EC7"/>
    <w:rsid w:val="7CA675DB"/>
    <w:rsid w:val="7CCED98D"/>
    <w:rsid w:val="7D08410F"/>
    <w:rsid w:val="7D2759BE"/>
    <w:rsid w:val="7DB96DED"/>
    <w:rsid w:val="7DD3AD81"/>
    <w:rsid w:val="7F7FE70F"/>
    <w:rsid w:val="7FFF772F"/>
    <w:rsid w:val="95F35EF6"/>
    <w:rsid w:val="9BFFD860"/>
    <w:rsid w:val="AC5F73DE"/>
    <w:rsid w:val="B5DDD2C8"/>
    <w:rsid w:val="B9DFABD9"/>
    <w:rsid w:val="BC0D83FC"/>
    <w:rsid w:val="BF3BDEFB"/>
    <w:rsid w:val="C75F6086"/>
    <w:rsid w:val="C7F7ED2D"/>
    <w:rsid w:val="CFAF854E"/>
    <w:rsid w:val="D8D7928E"/>
    <w:rsid w:val="D8FE3136"/>
    <w:rsid w:val="DDDE60B7"/>
    <w:rsid w:val="DE9F6A22"/>
    <w:rsid w:val="DF4FCE6A"/>
    <w:rsid w:val="E4FED278"/>
    <w:rsid w:val="EDAA365C"/>
    <w:rsid w:val="EDADFC12"/>
    <w:rsid w:val="F2FD229B"/>
    <w:rsid w:val="F7F709E9"/>
    <w:rsid w:val="F7FF3690"/>
    <w:rsid w:val="F9BD3900"/>
    <w:rsid w:val="FC8B9876"/>
    <w:rsid w:val="FEDFF218"/>
    <w:rsid w:val="FEDFFFF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qFormat/>
    <w:uiPriority w:val="0"/>
    <w:pPr>
      <w:keepNext/>
      <w:keepLines/>
      <w:spacing w:before="100" w:beforeAutospacing="1" w:after="100" w:afterAutospacing="1"/>
      <w:outlineLvl w:val="1"/>
    </w:pPr>
    <w:rPr>
      <w:rFonts w:ascii="Cambria" w:hAnsi="Cambria" w:eastAsia="黑体"/>
      <w:b/>
      <w:bCs/>
      <w:kern w:val="0"/>
      <w:sz w:val="36"/>
      <w:szCs w:val="32"/>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3">
    <w:name w:val="Normal Indent"/>
    <w:basedOn w:val="1"/>
    <w:qFormat/>
    <w:uiPriority w:val="0"/>
    <w:pPr>
      <w:ind w:firstLine="200" w:firstLineChars="200"/>
    </w:pPr>
  </w:style>
  <w:style w:type="paragraph" w:styleId="4">
    <w:name w:val="Body Text Indent"/>
    <w:basedOn w:val="1"/>
    <w:qFormat/>
    <w:uiPriority w:val="0"/>
    <w:pPr>
      <w:ind w:firstLine="645"/>
    </w:pPr>
    <w:rPr>
      <w:rFonts w:ascii="仿宋_GB2312" w:hAnsi="Calibri" w:eastAsia="仿宋_GB2312"/>
      <w:sz w:val="32"/>
      <w:szCs w:val="32"/>
    </w:rPr>
  </w:style>
  <w:style w:type="paragraph" w:styleId="5">
    <w:name w:val="Date"/>
    <w:basedOn w:val="1"/>
    <w:next w:val="1"/>
    <w:qFormat/>
    <w:uiPriority w:val="0"/>
    <w:pPr>
      <w:ind w:left="100" w:leftChars="2500"/>
    </w:pPr>
  </w:style>
  <w:style w:type="paragraph" w:styleId="6">
    <w:name w:val="Balloon Text"/>
    <w:basedOn w:val="1"/>
    <w:semiHidden/>
    <w:qFormat/>
    <w:uiPriority w:val="0"/>
    <w:rPr>
      <w:sz w:val="18"/>
      <w:szCs w:val="18"/>
    </w:rPr>
  </w:style>
  <w:style w:type="paragraph" w:styleId="7">
    <w:name w:val="footer"/>
    <w:basedOn w:val="1"/>
    <w:link w:val="14"/>
    <w:qFormat/>
    <w:uiPriority w:val="0"/>
    <w:pPr>
      <w:tabs>
        <w:tab w:val="center" w:pos="4153"/>
        <w:tab w:val="right" w:pos="8306"/>
      </w:tabs>
      <w:snapToGrid w:val="0"/>
      <w:jc w:val="left"/>
    </w:pPr>
    <w:rPr>
      <w:sz w:val="18"/>
      <w:szCs w:val="18"/>
    </w:rPr>
  </w:style>
  <w:style w:type="paragraph" w:styleId="8">
    <w:name w:val="header"/>
    <w:basedOn w:val="1"/>
    <w:link w:val="15"/>
    <w:qFormat/>
    <w:uiPriority w:val="0"/>
    <w:pPr>
      <w:pBdr>
        <w:bottom w:val="single" w:color="auto" w:sz="6" w:space="1"/>
      </w:pBdr>
      <w:tabs>
        <w:tab w:val="center" w:pos="4153"/>
        <w:tab w:val="right" w:pos="8306"/>
      </w:tabs>
      <w:snapToGrid w:val="0"/>
      <w:jc w:val="center"/>
    </w:pPr>
    <w:rPr>
      <w:rFonts w:ascii="Calibri" w:hAnsi="Calibri"/>
      <w:sz w:val="18"/>
      <w:szCs w:val="18"/>
    </w:rPr>
  </w:style>
  <w:style w:type="paragraph" w:styleId="9">
    <w:name w:val="Normal (Web)"/>
    <w:basedOn w:val="1"/>
    <w:unhideWhenUsed/>
    <w:qFormat/>
    <w:uiPriority w:val="0"/>
    <w:pPr>
      <w:spacing w:before="100" w:beforeAutospacing="1" w:after="100" w:afterAutospacing="1"/>
      <w:ind w:right="238"/>
      <w:jc w:val="left"/>
    </w:pPr>
    <w:rPr>
      <w:b/>
      <w:kern w:val="0"/>
      <w:sz w:val="24"/>
      <w:szCs w:val="20"/>
    </w:rPr>
  </w:style>
  <w:style w:type="character" w:styleId="12">
    <w:name w:val="Strong"/>
    <w:qFormat/>
    <w:uiPriority w:val="0"/>
    <w:rPr>
      <w:b/>
    </w:rPr>
  </w:style>
  <w:style w:type="character" w:styleId="13">
    <w:name w:val="page number"/>
    <w:qFormat/>
    <w:uiPriority w:val="0"/>
  </w:style>
  <w:style w:type="character" w:customStyle="1" w:styleId="14">
    <w:name w:val="页脚 Char"/>
    <w:link w:val="7"/>
    <w:qFormat/>
    <w:uiPriority w:val="0"/>
    <w:rPr>
      <w:rFonts w:eastAsia="宋体"/>
      <w:kern w:val="2"/>
      <w:sz w:val="18"/>
      <w:szCs w:val="18"/>
      <w:lang w:val="en-US" w:eastAsia="zh-CN" w:bidi="ar-SA"/>
    </w:rPr>
  </w:style>
  <w:style w:type="character" w:customStyle="1" w:styleId="15">
    <w:name w:val="页眉 Char"/>
    <w:link w:val="8"/>
    <w:qFormat/>
    <w:uiPriority w:val="0"/>
    <w:rPr>
      <w:rFonts w:ascii="Calibri" w:hAnsi="Calibri" w:eastAsia="宋体"/>
      <w:kern w:val="2"/>
      <w:sz w:val="18"/>
      <w:szCs w:val="18"/>
      <w:lang w:val="en-US" w:eastAsia="zh-CN" w:bidi="ar-SA"/>
    </w:rPr>
  </w:style>
  <w:style w:type="paragraph" w:customStyle="1" w:styleId="16">
    <w:name w:val="Char Char Char Char Char Char Char"/>
    <w:basedOn w:val="1"/>
    <w:qFormat/>
    <w:uiPriority w:val="0"/>
    <w:rPr>
      <w:rFonts w:ascii="Tahoma" w:hAnsi="Tahoma"/>
      <w:sz w:val="24"/>
      <w:szCs w:val="20"/>
    </w:rPr>
  </w:style>
  <w:style w:type="paragraph" w:customStyle="1" w:styleId="17">
    <w:name w:val="Char1 Char Char Char"/>
    <w:basedOn w:val="1"/>
    <w:qFormat/>
    <w:uiPriority w:val="0"/>
    <w:pPr>
      <w:widowControl/>
      <w:spacing w:after="160" w:line="240" w:lineRule="exact"/>
      <w:jc w:val="left"/>
    </w:pPr>
    <w:rPr>
      <w:szCs w:val="20"/>
    </w:rPr>
  </w:style>
  <w:style w:type="paragraph" w:customStyle="1" w:styleId="18">
    <w:name w:val="Char"/>
    <w:basedOn w:val="1"/>
    <w:qFormat/>
    <w:uiPriority w:val="0"/>
    <w:rPr>
      <w:rFonts w:ascii="Tahoma" w:hAnsi="Tahoma"/>
      <w:sz w:val="24"/>
      <w:szCs w:val="20"/>
    </w:rPr>
  </w:style>
  <w:style w:type="paragraph" w:customStyle="1" w:styleId="19">
    <w:name w:val="Char Char3 Char Char"/>
    <w:basedOn w:val="1"/>
    <w:qFormat/>
    <w:uiPriority w:val="0"/>
    <w:rPr>
      <w:szCs w:val="21"/>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hart" Target="charts/chart2.xml"/><Relationship Id="rId7" Type="http://schemas.openxmlformats.org/officeDocument/2006/relationships/chart" Target="charts/chart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package" Target="../embeddings/Workbook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Workbook2.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收入</c:v>
                </c:pt>
              </c:strCache>
            </c:strRef>
          </c:tx>
          <c:explosion val="0"/>
          <c:dPt>
            <c:idx val="0"/>
            <c:bubble3D val="0"/>
          </c:dPt>
          <c:dPt>
            <c:idx val="1"/>
            <c:bubble3D val="0"/>
          </c:dPt>
          <c:dPt>
            <c:idx val="2"/>
            <c:bubble3D val="0"/>
          </c:dPt>
          <c:dPt>
            <c:idx val="3"/>
            <c:bubble3D val="0"/>
          </c:dPt>
          <c:dPt>
            <c:idx val="4"/>
            <c:bubble3D val="0"/>
          </c:dPt>
          <c:dPt>
            <c:idx val="5"/>
            <c:bubble3D val="0"/>
          </c:dPt>
          <c:dLbls>
            <c:numFmt formatCode="0.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ext>
            </c:extLst>
          </c:dLbls>
          <c:cat>
            <c:strRef>
              <c:f>Sheet1!$A$2:$A$7</c:f>
              <c:strCache>
                <c:ptCount val="6"/>
                <c:pt idx="0">
                  <c:v>财政拨款收入</c:v>
                </c:pt>
                <c:pt idx="1">
                  <c:v>上级补助收入</c:v>
                </c:pt>
                <c:pt idx="2">
                  <c:v>事业收入</c:v>
                </c:pt>
                <c:pt idx="3">
                  <c:v>经营收入</c:v>
                </c:pt>
                <c:pt idx="4">
                  <c:v>附属单位上缴</c:v>
                </c:pt>
                <c:pt idx="5">
                  <c:v>其他收入</c:v>
                </c:pt>
              </c:strCache>
            </c:strRef>
          </c:cat>
          <c:val>
            <c:numRef>
              <c:f>Sheet1!$B$2:$B$7</c:f>
              <c:numCache>
                <c:formatCode>General</c:formatCode>
                <c:ptCount val="6"/>
                <c:pt idx="0">
                  <c:v>24693.51</c:v>
                </c:pt>
                <c:pt idx="1">
                  <c:v>0</c:v>
                </c:pt>
                <c:pt idx="2">
                  <c:v>0</c:v>
                </c:pt>
                <c:pt idx="3">
                  <c:v>0</c:v>
                </c:pt>
                <c:pt idx="4">
                  <c:v>0</c:v>
                </c:pt>
                <c:pt idx="5">
                  <c:v>0</c:v>
                </c:pt>
              </c:numCache>
            </c:numRef>
          </c:val>
        </c:ser>
        <c:dLbls>
          <c:showLegendKey val="0"/>
          <c:showVal val="1"/>
          <c:showCatName val="0"/>
          <c:showSerName val="0"/>
          <c:showPercent val="0"/>
          <c:showBubbleSize val="0"/>
          <c:showLeaderLines val="1"/>
        </c:dLbls>
        <c:firstSliceAng val="0"/>
      </c:pieChart>
    </c:plotArea>
    <c:legend>
      <c:legendPos val="r"/>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extLst>
      <c:ext uri="{0b15fc19-7d7d-44ad-8c2d-2c3a37ce22c3}">
        <chartProps xmlns="https://web.wps.cn/et/2018/main" chartId="{b426584d-506d-4a62-a754-d3f2d2e0f3c4}"/>
      </c:ext>
    </c:extLst>
  </c:chart>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Sheet0!$B$1</c:f>
              <c:strCache>
                <c:ptCount val="1"/>
                <c:pt idx="0">
                  <c:v>支出</c:v>
                </c:pt>
              </c:strCache>
            </c:strRef>
          </c:tx>
          <c:explosion val="0"/>
          <c:dPt>
            <c:idx val="0"/>
            <c:bubble3D val="0"/>
            <c:spPr>
              <a:solidFill>
                <a:srgbClr val="4F81BD"/>
              </a:solidFill>
              <a:ln w="19050">
                <a:solidFill>
                  <a:srgbClr val="FFFFFF"/>
                </a:solidFill>
              </a:ln>
              <a:effectLst/>
            </c:spPr>
          </c:dPt>
          <c:dPt>
            <c:idx val="1"/>
            <c:bubble3D val="0"/>
            <c:spPr>
              <a:solidFill>
                <a:srgbClr val="C0504D"/>
              </a:solidFill>
              <a:ln w="19050">
                <a:solidFill>
                  <a:srgbClr val="FFFFFF"/>
                </a:solidFill>
              </a:ln>
              <a:effectLst/>
            </c:spPr>
          </c:dPt>
          <c:dPt>
            <c:idx val="2"/>
            <c:bubble3D val="0"/>
            <c:spPr>
              <a:solidFill>
                <a:srgbClr val="9BBB59"/>
              </a:solidFill>
              <a:ln w="19050">
                <a:solidFill>
                  <a:srgbClr val="FFFFFF"/>
                </a:solidFill>
              </a:ln>
              <a:effectLst/>
            </c:spPr>
          </c:dPt>
          <c:dPt>
            <c:idx val="3"/>
            <c:bubble3D val="0"/>
            <c:spPr>
              <a:solidFill>
                <a:srgbClr val="8064A2"/>
              </a:solidFill>
              <a:ln w="19050">
                <a:solidFill>
                  <a:srgbClr val="FFFFFF"/>
                </a:solidFill>
              </a:ln>
              <a:effectLst/>
            </c:spPr>
          </c:dPt>
          <c:dPt>
            <c:idx val="4"/>
            <c:bubble3D val="0"/>
            <c:spPr>
              <a:solidFill>
                <a:srgbClr val="4BACC6"/>
              </a:solidFill>
              <a:ln w="19050">
                <a:solidFill>
                  <a:srgbClr val="FFFFFF"/>
                </a:solidFill>
              </a:ln>
              <a:effectLst/>
            </c:spPr>
          </c:dPt>
          <c:dLbls>
            <c:dLbl>
              <c:idx val="2"/>
              <c:layout>
                <c:manualLayout>
                  <c:x val="-0.03900372940115"/>
                  <c:y val="0.0328271436107878"/>
                </c:manualLayout>
              </c:layout>
              <c:dLblPos val="bestFit"/>
              <c:showLegendKey val="0"/>
              <c:showVal val="0"/>
              <c:showCatName val="0"/>
              <c:showSerName val="0"/>
              <c:showPercent val="1"/>
              <c:showBubbleSize val="0"/>
              <c:extLst>
                <c:ext xmlns:c15="http://schemas.microsoft.com/office/drawing/2012/chart" uri="{CE6537A1-D6FC-4f65-9D91-7224C49458BB}">
                  <c15:layout/>
                </c:ext>
              </c:extLst>
            </c:dLbl>
            <c:dLbl>
              <c:idx val="4"/>
              <c:layout>
                <c:manualLayout>
                  <c:x val="0.0389887693586102"/>
                  <c:y val="0.0105112295100623"/>
                </c:manualLayout>
              </c:layout>
              <c:dLblPos val="bestFit"/>
              <c:showLegendKey val="0"/>
              <c:showVal val="0"/>
              <c:showCatName val="0"/>
              <c:showSerName val="0"/>
              <c:showPercent val="1"/>
              <c:showBubbleSize val="0"/>
              <c:extLst>
                <c:ext xmlns:c15="http://schemas.microsoft.com/office/drawing/2012/chart" uri="{CE6537A1-D6FC-4f65-9D91-7224C49458BB}">
                  <c15:layout/>
                </c:ext>
              </c:extLst>
            </c:dLbl>
            <c:numFmt formatCode="0.00%" sourceLinked="0"/>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solidFill>
                    <a:latin typeface="+mn-lt"/>
                    <a:ea typeface="+mn-ea"/>
                    <a:cs typeface="+mn-cs"/>
                  </a:defRPr>
                </a:pPr>
              </a:p>
            </c:txPr>
            <c:dLblPos val="bestFit"/>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rgbClr val="A6A6A6">
                          <a:lumMod val="35000"/>
                          <a:lumOff val="65000"/>
                        </a:srgbClr>
                      </a:solidFill>
                      <a:prstDash val="solid"/>
                      <a:round/>
                    </a:ln>
                    <a:effectLst/>
                  </c:spPr>
                </c15:leaderLines>
              </c:ext>
            </c:extLst>
          </c:dLbls>
          <c:cat>
            <c:strRef>
              <c:f>Sheet0!$A$2:$A$6</c:f>
              <c:strCache>
                <c:ptCount val="5"/>
                <c:pt idx="0">
                  <c:v>基本支出</c:v>
                </c:pt>
                <c:pt idx="1">
                  <c:v>项目支出</c:v>
                </c:pt>
                <c:pt idx="2">
                  <c:v>上缴上级支出</c:v>
                </c:pt>
                <c:pt idx="3">
                  <c:v>经营支出</c:v>
                </c:pt>
                <c:pt idx="4">
                  <c:v>对附属单位补助支出</c:v>
                </c:pt>
              </c:strCache>
            </c:strRef>
          </c:cat>
          <c:val>
            <c:numRef>
              <c:f>Sheet0!$B$2:$B$6</c:f>
              <c:numCache>
                <c:formatCode>General</c:formatCode>
                <c:ptCount val="5"/>
                <c:pt idx="0">
                  <c:v>4132.26</c:v>
                </c:pt>
                <c:pt idx="1">
                  <c:v>20603.13</c:v>
                </c:pt>
                <c:pt idx="2">
                  <c:v>0</c:v>
                </c:pt>
                <c:pt idx="3">
                  <c:v>0</c:v>
                </c:pt>
                <c:pt idx="4">
                  <c:v>0</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b"/>
      <c:legendEntry>
        <c:idx val="0"/>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p>
        </c:txPr>
      </c:legendEntry>
      <c:legendEntry>
        <c:idx val="1"/>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p>
        </c:txPr>
      </c:legendEntry>
      <c:legendEntry>
        <c:idx val="2"/>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p>
        </c:txPr>
      </c:legendEntry>
      <c:legendEntry>
        <c:idx val="3"/>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p>
        </c:txPr>
      </c:legendEntry>
      <c:legendEntry>
        <c:idx val="4"/>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p>
        </c:txPr>
      </c:legendEntry>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p>
      </c:txPr>
    </c:legend>
    <c:plotVisOnly val="1"/>
    <c:dispBlanksAs val="gap"/>
    <c:showDLblsOverMax val="0"/>
    <c:extLst>
      <c:ext uri="{0b15fc19-7d7d-44ad-8c2d-2c3a37ce22c3}">
        <chartProps xmlns="https://web.wps.cn/et/2018/main" chartId="{6d6d1404-7398-4a9c-b985-0b69200d1cee}"/>
      </c:ext>
    </c:extLst>
  </c:chart>
  <c:spPr>
    <a:ln w="9525" cap="flat" cmpd="sng" algn="ctr">
      <a:solidFill>
        <a:srgbClr val="D9D9D9">
          <a:lumMod val="15000"/>
          <a:lumOff val="85000"/>
        </a:srgbClr>
      </a:solidFill>
      <a:prstDash val="solid"/>
      <a:round/>
    </a:ln>
    <a:effectLst/>
  </c:spPr>
  <c:txPr>
    <a:bodyPr/>
    <a:lstStyle/>
    <a:p>
      <a:pPr>
        <a:defRPr lang="zh-CN"/>
      </a:pPr>
    </a:p>
  </c:txPr>
  <c:externalData r:id="rId1">
    <c:autoUpdate val="0"/>
  </c:externalData>
</c:chartSpace>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26</Pages>
  <Words>6517</Words>
  <Characters>8611</Characters>
  <Lines>47</Lines>
  <Paragraphs>13</Paragraphs>
  <TotalTime>59</TotalTime>
  <ScaleCrop>false</ScaleCrop>
  <LinksUpToDate>false</LinksUpToDate>
  <CharactersWithSpaces>8629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2017-07-11T15:16:00Z</dcterms:created>
  <dc:creator>常程</dc:creator>
  <cp:lastModifiedBy>韩丹</cp:lastModifiedBy>
  <cp:lastPrinted>2020-08-07T11:39:00Z</cp:lastPrinted>
  <dcterms:modified xsi:type="dcterms:W3CDTF">2026-08-20T01:46:40Z</dcterms:modified>
  <dc:title>北京市财政局关于做好向市人大常委会报送2015年度市级部门决算（草案）</dc:title>
  <cp:revision>24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435078ACFECC4A5A8A519EF4C3681114_13</vt:lpwstr>
  </property>
  <property fmtid="{D5CDD505-2E9C-101B-9397-08002B2CF9AE}" pid="4" name="KSOTemplateDocerSaveRecord">
    <vt:lpwstr>eyJoZGlkIjoiYTg4YzYzZWRiZjY0NDUyNDBjYmM5Yjk1ODNkYzI4YzQiLCJ1c2VySWQiOiIxMzg5Mzc2MzkzIn0=</vt:lpwstr>
  </property>
</Properties>
</file>