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70901">
      <w:pPr>
        <w:rPr>
          <w:rFonts w:ascii="CESI黑体-GB2312" w:hAnsi="CESI黑体-GB2312" w:eastAsia="CESI黑体-GB2312" w:cs="CESI黑体-GB2312"/>
          <w:sz w:val="32"/>
          <w:szCs w:val="24"/>
        </w:rPr>
      </w:pPr>
      <w:r>
        <w:rPr>
          <w:rFonts w:hint="eastAsia" w:ascii="CESI黑体-GB2312" w:hAnsi="CESI黑体-GB2312" w:eastAsia="CESI黑体-GB2312" w:cs="CESI黑体-GB2312"/>
          <w:sz w:val="32"/>
          <w:szCs w:val="24"/>
        </w:rPr>
        <w:t>附件</w:t>
      </w:r>
      <w:r>
        <w:rPr>
          <w:rFonts w:ascii="CESI黑体-GB2312" w:hAnsi="CESI黑体-GB2312" w:eastAsia="CESI黑体-GB2312" w:cs="CESI黑体-GB2312"/>
          <w:sz w:val="32"/>
          <w:szCs w:val="24"/>
        </w:rPr>
        <w:t>2</w:t>
      </w:r>
      <w:r>
        <w:rPr>
          <w:rFonts w:hint="eastAsia" w:ascii="CESI黑体-GB2312" w:hAnsi="CESI黑体-GB2312" w:eastAsia="CESI黑体-GB2312" w:cs="CESI黑体-GB2312"/>
          <w:sz w:val="32"/>
          <w:szCs w:val="24"/>
        </w:rPr>
        <w:t>：</w:t>
      </w:r>
    </w:p>
    <w:p w14:paraId="5DB807AD">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rPr>
        <w:t>北京市门头沟区山区生态公益林生态效益补偿金</w:t>
      </w:r>
    </w:p>
    <w:p w14:paraId="3920D377">
      <w:pPr>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lang w:val="en-US" w:eastAsia="zh-CN"/>
        </w:rPr>
        <w:t>2025年</w:t>
      </w:r>
      <w:r>
        <w:rPr>
          <w:rFonts w:hint="eastAsia" w:ascii="方正小标宋简体" w:hAnsi="方正小标宋简体" w:eastAsia="方正小标宋简体" w:cs="方正小标宋简体"/>
          <w:bCs/>
          <w:spacing w:val="-11"/>
          <w:sz w:val="44"/>
          <w:szCs w:val="44"/>
        </w:rPr>
        <w:t>绩效</w:t>
      </w:r>
      <w:r>
        <w:rPr>
          <w:rFonts w:ascii="方正小标宋简体" w:hAnsi="方正小标宋简体" w:eastAsia="方正小标宋简体" w:cs="方正小标宋简体"/>
          <w:bCs/>
          <w:spacing w:val="-11"/>
          <w:sz w:val="44"/>
          <w:szCs w:val="44"/>
        </w:rPr>
        <w:t>自评报告</w:t>
      </w:r>
    </w:p>
    <w:p w14:paraId="7F0CE640">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一、基本情况</w:t>
      </w:r>
    </w:p>
    <w:p w14:paraId="4D65C84D">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（一）项目概况</w:t>
      </w:r>
    </w:p>
    <w:p w14:paraId="7FF4D4B0">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清水镇2010年实施集体林权制度</w:t>
      </w:r>
      <w:bookmarkStart w:id="0" w:name="_GoBack"/>
      <w:bookmarkEnd w:id="0"/>
      <w:r>
        <w:rPr>
          <w:rFonts w:hint="eastAsia" w:ascii="仿宋_GB2312" w:eastAsia="仿宋_GB2312"/>
          <w:color w:val="000000"/>
          <w:sz w:val="32"/>
          <w:szCs w:val="32"/>
        </w:rPr>
        <w:t>改革，32个行政村及1个搬迁村均勘界确权确股。全镇共确权生态公益林398257.84亩，项目预算总额1189.49 万元。按照确权面积对集体经济组织成员进行生态补偿，能够有效</w:t>
      </w:r>
      <w:r>
        <w:rPr>
          <w:rFonts w:hint="eastAsia" w:ascii="仿宋_GB2312" w:eastAsia="仿宋_GB2312"/>
          <w:color w:val="000000"/>
          <w:sz w:val="32"/>
          <w:szCs w:val="32"/>
          <w:lang w:eastAsia="zh-CN"/>
        </w:rPr>
        <w:t>地</w:t>
      </w:r>
      <w:r>
        <w:rPr>
          <w:rFonts w:hint="eastAsia" w:ascii="仿宋_GB2312" w:eastAsia="仿宋_GB2312"/>
          <w:color w:val="000000"/>
          <w:sz w:val="32"/>
          <w:szCs w:val="32"/>
        </w:rPr>
        <w:t>保护山区生态环境，保障山区农民收益。根据《中共北京市委北京市人民政府关于推进集体林权制度改革的意见》 (京发[2008]9号)、《北京市人民政府关于建立山区生态公益林生态效益促进发展机制的通知》和《北京市山区生态公益林生态效益促进发展资金管理暂行办法》，《门头沟区山区生态公益林生态效益促进发展机制资金管理实施细则》的通知，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年继续实施山区生态公益林补偿政策。</w:t>
      </w:r>
    </w:p>
    <w:p w14:paraId="36F64033">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（二）项目资金投入及使用情况</w:t>
      </w:r>
    </w:p>
    <w:p w14:paraId="4C7B34EB">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北京市门头沟区山区生态公益林生态效益补偿金</w:t>
      </w:r>
      <w:r>
        <w:rPr>
          <w:rFonts w:hint="eastAsia" w:ascii="仿宋_GB2312" w:eastAsia="仿宋_GB2312"/>
          <w:color w:val="000000"/>
          <w:sz w:val="32"/>
          <w:szCs w:val="32"/>
          <w:lang w:val="en-US" w:eastAsia="zh-CN"/>
        </w:rPr>
        <w:t>2025年</w:t>
      </w:r>
      <w:r>
        <w:rPr>
          <w:rFonts w:hint="eastAsia" w:ascii="仿宋_GB2312" w:eastAsia="仿宋_GB2312"/>
          <w:color w:val="000000"/>
          <w:sz w:val="32"/>
          <w:szCs w:val="32"/>
        </w:rPr>
        <w:t>项目预算总额1189.49 万元</w:t>
      </w:r>
      <w:r>
        <w:rPr>
          <w:rFonts w:hint="eastAsia" w:ascii="仿宋_GB2312" w:eastAsia="仿宋_GB2312"/>
          <w:color w:val="000000"/>
          <w:sz w:val="32"/>
          <w:szCs w:val="32"/>
          <w:lang w:eastAsia="zh-CN"/>
        </w:rPr>
        <w:t>，支出</w:t>
      </w:r>
      <w:r>
        <w:rPr>
          <w:rFonts w:hint="eastAsia" w:ascii="仿宋_GB2312" w:eastAsia="仿宋_GB2312"/>
          <w:color w:val="000000"/>
          <w:sz w:val="32"/>
          <w:szCs w:val="32"/>
        </w:rPr>
        <w:t>1189.49 万元</w:t>
      </w:r>
      <w:r>
        <w:rPr>
          <w:rFonts w:ascii="仿宋_GB2312" w:eastAsia="仿宋_GB2312"/>
          <w:color w:val="000000"/>
          <w:sz w:val="32"/>
          <w:szCs w:val="32"/>
        </w:rPr>
        <w:t>。</w:t>
      </w:r>
    </w:p>
    <w:p w14:paraId="59083119">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（三）项目资金管理情况分析</w:t>
      </w:r>
    </w:p>
    <w:p w14:paraId="4908DCED">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山区生态公益林补偿资金由财政直接发放至个人账户，根据各村四议两公开手续提交至清水镇政府，经由清水镇党委审议通过后，进行发放。</w:t>
      </w:r>
    </w:p>
    <w:p w14:paraId="233759E5">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二、绩效自评结论</w:t>
      </w:r>
    </w:p>
    <w:p w14:paraId="33BA49AB">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100</w:t>
      </w:r>
      <w:r>
        <w:rPr>
          <w:rFonts w:hint="eastAsia" w:ascii="仿宋_GB2312" w:hAnsi="黑体" w:eastAsia="仿宋_GB2312" w:cs="黑体"/>
          <w:bCs/>
          <w:sz w:val="32"/>
          <w:szCs w:val="32"/>
        </w:rPr>
        <w:t>分</w:t>
      </w:r>
    </w:p>
    <w:p w14:paraId="7CC40C9C">
      <w:pPr>
        <w:spacing w:line="520" w:lineRule="exact"/>
        <w:ind w:firstLine="640" w:firstLineChars="200"/>
        <w:rPr>
          <w:rFonts w:hint="eastAsia" w:ascii="仿宋_GB2312" w:hAnsi="黑体" w:eastAsia="仿宋_GB2312" w:cs="黑体"/>
          <w:bCs/>
          <w:sz w:val="32"/>
          <w:szCs w:val="32"/>
          <w:lang w:eastAsia="zh-CN"/>
        </w:rPr>
      </w:pPr>
      <w:r>
        <w:rPr>
          <w:rFonts w:hint="eastAsia" w:ascii="仿宋_GB2312" w:hAnsi="黑体" w:eastAsia="仿宋_GB2312" w:cs="黑体"/>
          <w:bCs/>
          <w:sz w:val="32"/>
          <w:szCs w:val="32"/>
        </w:rPr>
        <w:t>绩效自评等级：优秀</w:t>
      </w:r>
      <w:r>
        <w:rPr>
          <w:rFonts w:hint="eastAsia" w:ascii="仿宋_GB2312" w:hAnsi="黑体" w:eastAsia="仿宋_GB2312" w:cs="黑体"/>
          <w:bCs/>
          <w:sz w:val="32"/>
          <w:szCs w:val="32"/>
          <w:lang w:eastAsia="zh-CN"/>
        </w:rPr>
        <w:t>。</w:t>
      </w:r>
    </w:p>
    <w:p w14:paraId="01DCF72C">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14:paraId="56EA4597">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（一）项目绩效目标、绩效指标设定情况</w:t>
      </w:r>
    </w:p>
    <w:p w14:paraId="7ECD38B0">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通过实施202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山区生态公益林生态效益促进发展机制生态补偿项目，规范农村集体林资产收益分配，明确林业分类经营，解放和发展林业生产力，切实保障农民利益，调动农民的积极性，实现资源的合理利用、林业的健康发展。</w:t>
      </w:r>
    </w:p>
    <w:p w14:paraId="1B56310F">
      <w:pPr>
        <w:spacing w:line="560" w:lineRule="exact"/>
        <w:ind w:firstLine="640" w:firstLineChars="200"/>
        <w:outlineLvl w:val="0"/>
        <w:rPr>
          <w:rFonts w:ascii="楷体_GB2312" w:hAnsi="楷体" w:eastAsia="楷体_GB2312" w:cs="仿宋_GB2312"/>
          <w:sz w:val="32"/>
          <w:szCs w:val="32"/>
        </w:rPr>
      </w:pPr>
      <w:r>
        <w:rPr>
          <w:rFonts w:hint="eastAsia" w:ascii="楷体_GB2312" w:hAnsi="楷体" w:eastAsia="楷体_GB2312" w:cs="仿宋_GB2312"/>
          <w:sz w:val="32"/>
          <w:szCs w:val="32"/>
        </w:rPr>
        <w:t>（二）总体绩效目标完成情况分析</w:t>
      </w:r>
    </w:p>
    <w:p w14:paraId="014C2A97">
      <w:pPr>
        <w:spacing w:line="56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总体绩效目标基本按照项目绩效目标、指标完成已全部完成支出，切实保障农民利益，调动农民的积极性，实现资源的合理利用，林业健康发展。</w:t>
      </w:r>
    </w:p>
    <w:p w14:paraId="6F09A6ED">
      <w:pPr>
        <w:spacing w:line="560" w:lineRule="exact"/>
        <w:ind w:firstLine="640" w:firstLineChars="200"/>
        <w:outlineLvl w:val="0"/>
        <w:rPr>
          <w:rFonts w:ascii="仿宋_GB2312" w:hAnsi="黑体" w:eastAsia="仿宋_GB2312" w:cs="黑体"/>
          <w:bCs/>
          <w:sz w:val="32"/>
          <w:szCs w:val="32"/>
        </w:rPr>
      </w:pPr>
      <w:r>
        <w:rPr>
          <w:rFonts w:hint="eastAsia" w:ascii="楷体_GB2312" w:hAnsi="楷体" w:eastAsia="楷体_GB2312" w:cs="仿宋_GB2312"/>
          <w:sz w:val="32"/>
          <w:szCs w:val="32"/>
        </w:rPr>
        <w:t>（三）项目绩效指标完成情况分析</w:t>
      </w:r>
    </w:p>
    <w:p w14:paraId="2989EBE5">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14:paraId="5146E215">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（1）数量指标。</w:t>
      </w:r>
    </w:p>
    <w:p w14:paraId="08A98ECA">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32个行政村及1个搬迁村均勘界确权确股，全镇共确权生态公益林398257.84亩，每亩补偿42元。</w:t>
      </w:r>
    </w:p>
    <w:p w14:paraId="570C35D7">
      <w:pPr>
        <w:numPr>
          <w:ilvl w:val="0"/>
          <w:numId w:val="1"/>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质量指标。</w:t>
      </w:r>
    </w:p>
    <w:p w14:paraId="7F21A2A1">
      <w:pPr>
        <w:numPr>
          <w:ilvl w:val="0"/>
          <w:numId w:val="0"/>
        </w:numPr>
        <w:spacing w:line="52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养护合格率达到95%，并且全年实际已完成。</w:t>
      </w:r>
    </w:p>
    <w:p w14:paraId="23EA25A2">
      <w:pPr>
        <w:numPr>
          <w:ilvl w:val="0"/>
          <w:numId w:val="1"/>
        </w:numPr>
        <w:spacing w:line="520" w:lineRule="exact"/>
        <w:ind w:left="0" w:leftChars="0" w:firstLine="640" w:firstLineChars="200"/>
        <w:rPr>
          <w:rFonts w:hint="eastAsia" w:ascii="仿宋_GB2312" w:eastAsia="仿宋_GB2312"/>
          <w:sz w:val="32"/>
          <w:szCs w:val="32"/>
        </w:rPr>
      </w:pPr>
      <w:r>
        <w:rPr>
          <w:rFonts w:hint="eastAsia" w:ascii="仿宋_GB2312" w:eastAsia="仿宋_GB2312"/>
          <w:sz w:val="32"/>
          <w:szCs w:val="32"/>
        </w:rPr>
        <w:t>时效指标。</w:t>
      </w:r>
    </w:p>
    <w:p w14:paraId="697AAF2B">
      <w:pPr>
        <w:numPr>
          <w:ilvl w:val="0"/>
          <w:numId w:val="0"/>
        </w:numPr>
        <w:spacing w:line="520" w:lineRule="exact"/>
        <w:ind w:leftChars="200" w:firstLine="320" w:firstLineChars="100"/>
        <w:rPr>
          <w:rFonts w:hint="eastAsia" w:ascii="仿宋_GB2312" w:eastAsia="仿宋_GB2312"/>
          <w:sz w:val="32"/>
          <w:szCs w:val="32"/>
          <w:lang w:eastAsia="zh-CN"/>
        </w:rPr>
      </w:pPr>
      <w:r>
        <w:rPr>
          <w:rFonts w:hint="eastAsia" w:ascii="仿宋_GB2312" w:eastAsia="仿宋_GB2312"/>
          <w:sz w:val="32"/>
          <w:szCs w:val="32"/>
        </w:rPr>
        <w:t>发放时间</w:t>
      </w:r>
      <w:r>
        <w:rPr>
          <w:rFonts w:hint="eastAsia" w:ascii="仿宋_GB2312" w:eastAsia="仿宋_GB2312"/>
          <w:sz w:val="32"/>
          <w:szCs w:val="32"/>
          <w:lang w:eastAsia="zh-CN"/>
        </w:rPr>
        <w:t>为</w:t>
      </w:r>
      <w:r>
        <w:rPr>
          <w:rFonts w:hint="eastAsia" w:ascii="仿宋_GB2312" w:eastAsia="仿宋_GB2312"/>
          <w:sz w:val="32"/>
          <w:szCs w:val="32"/>
        </w:rPr>
        <w:t>2025年12月底前</w:t>
      </w:r>
      <w:r>
        <w:rPr>
          <w:rFonts w:hint="eastAsia" w:ascii="仿宋_GB2312" w:eastAsia="仿宋_GB2312"/>
          <w:sz w:val="32"/>
          <w:szCs w:val="32"/>
          <w:lang w:eastAsia="zh-CN"/>
        </w:rPr>
        <w:t>，实际情况已完成。</w:t>
      </w:r>
    </w:p>
    <w:p w14:paraId="57005FB2">
      <w:pPr>
        <w:spacing w:line="52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成本指标。</w:t>
      </w:r>
    </w:p>
    <w:p w14:paraId="6BED3E31">
      <w:pPr>
        <w:spacing w:line="520" w:lineRule="exact"/>
        <w:ind w:firstLine="640" w:firstLineChars="200"/>
        <w:rPr>
          <w:rFonts w:hint="eastAsia" w:ascii="仿宋_GB2312" w:eastAsia="仿宋_GB2312"/>
          <w:bCs/>
          <w:sz w:val="32"/>
          <w:szCs w:val="32"/>
        </w:rPr>
      </w:pPr>
      <w:r>
        <w:rPr>
          <w:rFonts w:hint="eastAsia" w:ascii="仿宋_GB2312" w:eastAsia="仿宋_GB2312"/>
          <w:bCs/>
          <w:sz w:val="32"/>
          <w:szCs w:val="32"/>
        </w:rPr>
        <w:t>（1）经济成本指标。</w:t>
      </w:r>
    </w:p>
    <w:p w14:paraId="37A5F19B">
      <w:pPr>
        <w:spacing w:line="520" w:lineRule="exact"/>
        <w:ind w:firstLine="640" w:firstLineChars="200"/>
        <w:rPr>
          <w:rFonts w:ascii="仿宋_GB2312" w:eastAsia="仿宋_GB2312"/>
          <w:sz w:val="32"/>
          <w:szCs w:val="32"/>
        </w:rPr>
      </w:pPr>
      <w:r>
        <w:rPr>
          <w:rFonts w:hint="eastAsia" w:ascii="仿宋_GB2312" w:eastAsia="仿宋_GB2312"/>
          <w:bCs/>
          <w:sz w:val="32"/>
          <w:szCs w:val="32"/>
        </w:rPr>
        <w:t>郁闭度</w:t>
      </w:r>
      <w:r>
        <w:rPr>
          <w:rFonts w:hint="eastAsia" w:ascii="仿宋_GB2312" w:eastAsia="仿宋_GB2312"/>
          <w:bCs/>
          <w:sz w:val="32"/>
          <w:szCs w:val="32"/>
          <w:lang w:eastAsia="zh-CN"/>
        </w:rPr>
        <w:t>达到</w:t>
      </w:r>
      <w:r>
        <w:rPr>
          <w:rFonts w:hint="eastAsia" w:ascii="仿宋_GB2312" w:eastAsia="仿宋_GB2312"/>
          <w:bCs/>
          <w:sz w:val="32"/>
          <w:szCs w:val="32"/>
          <w:lang w:val="en-US" w:eastAsia="zh-CN"/>
        </w:rPr>
        <w:t>90%，实际情况已完成。</w:t>
      </w:r>
    </w:p>
    <w:p w14:paraId="50C95878">
      <w:pPr>
        <w:spacing w:line="52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.效益指标完成情况分析。</w:t>
      </w:r>
    </w:p>
    <w:p w14:paraId="48FAAAD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（1）社会效益。</w:t>
      </w:r>
    </w:p>
    <w:p w14:paraId="1ED64DE6">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一定程度上改善了清水镇的产业结构，规范农村集体林资产收益分配，增强农民保护森林资源的意识，对创建国家森林城市意义重大。</w:t>
      </w:r>
      <w:r>
        <w:rPr>
          <w:rFonts w:hint="eastAsia" w:ascii="仿宋_GB2312" w:eastAsia="仿宋_GB2312"/>
          <w:sz w:val="32"/>
          <w:szCs w:val="32"/>
          <w:lang w:eastAsia="zh-CN"/>
        </w:rPr>
        <w:t>其次</w:t>
      </w:r>
      <w:r>
        <w:rPr>
          <w:rFonts w:hint="eastAsia" w:ascii="仿宋_GB2312" w:eastAsia="仿宋_GB2312"/>
          <w:sz w:val="32"/>
          <w:szCs w:val="32"/>
        </w:rPr>
        <w:t>解决山区农民就业问题，实现农民增收</w:t>
      </w:r>
      <w:r>
        <w:rPr>
          <w:rFonts w:hint="eastAsia" w:ascii="仿宋_GB2312" w:eastAsia="仿宋_GB2312"/>
          <w:sz w:val="32"/>
          <w:szCs w:val="32"/>
          <w:lang w:eastAsia="zh-CN"/>
        </w:rPr>
        <w:t>。</w:t>
      </w:r>
    </w:p>
    <w:p w14:paraId="133206E9">
      <w:pPr>
        <w:numPr>
          <w:ilvl w:val="0"/>
          <w:numId w:val="2"/>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满意度指标完成情况分析。</w:t>
      </w:r>
    </w:p>
    <w:p w14:paraId="01496992">
      <w:pPr>
        <w:numPr>
          <w:ilvl w:val="0"/>
          <w:numId w:val="0"/>
        </w:num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可持续影响时间大于1年。</w:t>
      </w:r>
    </w:p>
    <w:p w14:paraId="5D4FBEDD">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14:paraId="608521FF">
      <w:pPr>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因各行政村山区生态公益林补偿资金发放进度不统一，在以后的工作中加强监管，规定村内公益林补偿金支出</w:t>
      </w:r>
      <w:r>
        <w:rPr>
          <w:rFonts w:hint="eastAsia" w:ascii="仿宋_GB2312" w:eastAsia="仿宋_GB2312"/>
          <w:sz w:val="32"/>
          <w:szCs w:val="32"/>
          <w:lang w:eastAsia="zh-CN"/>
        </w:rPr>
        <w:t>以</w:t>
      </w:r>
      <w:r>
        <w:rPr>
          <w:rFonts w:hint="eastAsia" w:ascii="仿宋_GB2312" w:eastAsia="仿宋_GB2312"/>
          <w:sz w:val="32"/>
          <w:szCs w:val="32"/>
        </w:rPr>
        <w:t>提高总体提升山区生态公益林补偿金支出进度。</w:t>
      </w:r>
    </w:p>
    <w:p w14:paraId="04EA2CDA">
      <w:pPr>
        <w:spacing w:line="560" w:lineRule="exact"/>
        <w:ind w:firstLine="640" w:firstLineChars="200"/>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五、有关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14:paraId="722AAE11">
      <w:pPr>
        <w:spacing w:line="560" w:lineRule="exact"/>
        <w:ind w:firstLine="640" w:firstLineChars="200"/>
        <w:outlineLvl w:val="0"/>
        <w:rPr>
          <w:rFonts w:hint="eastAsia" w:ascii="仿宋_GB2312" w:eastAsia="仿宋_GB2312"/>
          <w:sz w:val="32"/>
          <w:szCs w:val="32"/>
          <w:lang w:eastAsia="zh-CN"/>
        </w:rPr>
      </w:pPr>
      <w:r>
        <w:rPr>
          <w:rFonts w:hint="eastAsia" w:ascii="仿宋_GB2312" w:eastAsia="仿宋_GB2312"/>
          <w:sz w:val="32"/>
          <w:szCs w:val="32"/>
          <w:lang w:eastAsia="zh-CN"/>
        </w:rPr>
        <w:t>无。</w:t>
      </w:r>
    </w:p>
    <w:p w14:paraId="67AC8240">
      <w:pPr>
        <w:spacing w:line="520" w:lineRule="exact"/>
        <w:ind w:firstLine="640" w:firstLineChars="200"/>
        <w:rPr>
          <w:rFonts w:ascii="仿宋_GB2312" w:eastAsia="仿宋_GB2312"/>
          <w:sz w:val="32"/>
          <w:szCs w:val="32"/>
        </w:rPr>
      </w:pPr>
    </w:p>
    <w:p w14:paraId="331FA86D">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黑体-GB2312">
    <w:altName w:val="黑体"/>
    <w:panose1 w:val="00000000000000000000"/>
    <w:charset w:val="86"/>
    <w:family w:val="auto"/>
    <w:pitch w:val="default"/>
    <w:sig w:usb0="00000000" w:usb1="00000000" w:usb2="00000012"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7E7AA"/>
    <w:multiLevelType w:val="singleLevel"/>
    <w:tmpl w:val="EA27E7AA"/>
    <w:lvl w:ilvl="0" w:tentative="0">
      <w:start w:val="2"/>
      <w:numFmt w:val="decimal"/>
      <w:suff w:val="nothing"/>
      <w:lvlText w:val="（%1）"/>
      <w:lvlJc w:val="left"/>
    </w:lvl>
  </w:abstractNum>
  <w:abstractNum w:abstractNumId="1">
    <w:nsid w:val="7154832E"/>
    <w:multiLevelType w:val="singleLevel"/>
    <w:tmpl w:val="7154832E"/>
    <w:lvl w:ilvl="0" w:tentative="0">
      <w:start w:val="4"/>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083C6B28"/>
    <w:rsid w:val="363D569F"/>
    <w:rsid w:val="4D271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1097</Words>
  <Characters>1168</Characters>
  <Lines>6</Lines>
  <Paragraphs>1</Paragraphs>
  <TotalTime>3</TotalTime>
  <ScaleCrop>false</ScaleCrop>
  <LinksUpToDate>false</LinksUpToDate>
  <CharactersWithSpaces>1233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2026-04-24T06:59:00Z</dcterms:created>
  <dc:creator>井文胜</dc:creator>
  <cp:lastModifiedBy>韩丹</cp:lastModifiedBy>
  <dcterms:modified xsi:type="dcterms:W3CDTF">2026-08-21T01:38:36Z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eyJoZGlkIjoiYTg4YzYzZWRiZjY0NDUyNDBjYmM5Yjk1ODNkYzI4YzQiLCJ1c2VySWQiOiIxMzg5Mzc2MzkzIn0=</vt:lpwstr>
  </property>
  <property fmtid="{D5CDD505-2E9C-101B-9397-08002B2CF9AE}" pid="3" name="KSOProductBuildVer">
    <vt:lpwstr>2052-12.1.0.28043</vt:lpwstr>
  </property>
  <property fmtid="{D5CDD505-2E9C-101B-9397-08002B2CF9AE}" pid="4" name="ICV">
    <vt:lpwstr>9A13C5B6F4D941A993329852EB5A67AF_12</vt:lpwstr>
  </property>
</Properties>
</file>