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keepLines/>
        <w:spacing w:line="312" w:lineRule="auto"/>
        <w:outlineLvl w:val="1"/>
        <w:rPr>
          <w:rFonts w:cs="Times New Roman" w:asciiTheme="majorEastAsia" w:hAnsiTheme="majorEastAsia" w:eastAsiaTheme="majorEastAsia"/>
          <w:b/>
          <w:bCs/>
          <w:sz w:val="28"/>
          <w:szCs w:val="28"/>
        </w:rPr>
      </w:pPr>
      <w:r>
        <w:rPr>
          <w:rFonts w:hint="eastAsia" w:cs="Times New Roman" w:asciiTheme="majorEastAsia" w:hAnsiTheme="majorEastAsia" w:eastAsiaTheme="majorEastAsia"/>
          <w:b/>
          <w:bCs/>
          <w:sz w:val="28"/>
          <w:szCs w:val="28"/>
        </w:rPr>
        <w:t>附件1-3</w:t>
      </w:r>
    </w:p>
    <w:p>
      <w:pPr>
        <w:widowControl/>
        <w:spacing w:line="560" w:lineRule="exact"/>
        <w:ind w:firstLine="716" w:firstLineChars="200"/>
        <w:jc w:val="center"/>
        <w:rPr>
          <w:rFonts w:ascii="宋体" w:hAnsi="宋体" w:eastAsia="宋体" w:cs="宋体"/>
          <w:b/>
          <w:sz w:val="36"/>
          <w:szCs w:val="36"/>
        </w:rPr>
      </w:pPr>
      <w:r>
        <w:rPr>
          <w:rFonts w:hint="eastAsia" w:ascii="宋体" w:hAnsi="宋体" w:eastAsia="宋体" w:cs="宋体"/>
          <w:b/>
          <w:sz w:val="36"/>
          <w:szCs w:val="36"/>
          <w:u w:val="single"/>
          <w:lang w:eastAsia="zh-CN"/>
        </w:rPr>
        <w:t>雁翅镇</w:t>
      </w:r>
      <w:r>
        <w:rPr>
          <w:rFonts w:hint="eastAsia" w:ascii="宋体" w:hAnsi="宋体" w:eastAsia="宋体" w:cs="宋体"/>
          <w:b/>
          <w:sz w:val="36"/>
          <w:szCs w:val="36"/>
        </w:rPr>
        <w:t>部门</w:t>
      </w:r>
      <w:r>
        <w:rPr>
          <w:rFonts w:ascii="宋体" w:hAnsi="宋体" w:eastAsia="宋体" w:cs="宋体"/>
          <w:b/>
          <w:sz w:val="36"/>
          <w:szCs w:val="36"/>
        </w:rPr>
        <w:t>2024</w:t>
      </w:r>
      <w:r>
        <w:rPr>
          <w:rFonts w:hint="eastAsia" w:ascii="宋体" w:hAnsi="宋体" w:eastAsia="宋体" w:cs="宋体"/>
          <w:b/>
          <w:sz w:val="36"/>
          <w:szCs w:val="36"/>
        </w:rPr>
        <w:t>年度部门整体支出绩效自评报告</w:t>
      </w:r>
    </w:p>
    <w:p>
      <w:pPr>
        <w:widowControl/>
        <w:spacing w:line="560" w:lineRule="exact"/>
        <w:ind w:firstLine="636" w:firstLineChars="200"/>
        <w:rPr>
          <w:rFonts w:ascii="黑体" w:hAnsi="黑体" w:eastAsia="黑体" w:cs="宋体"/>
          <w:sz w:val="32"/>
          <w:szCs w:val="32"/>
        </w:rPr>
      </w:pPr>
    </w:p>
    <w:p>
      <w:pPr>
        <w:widowControl/>
        <w:adjustRightInd w:val="0"/>
        <w:snapToGrid w:val="0"/>
        <w:spacing w:line="520" w:lineRule="exact"/>
        <w:ind w:firstLine="636" w:firstLineChars="200"/>
        <w:rPr>
          <w:rFonts w:ascii="黑体" w:hAnsi="黑体" w:eastAsia="黑体" w:cs="Times New Roman"/>
          <w:sz w:val="32"/>
          <w:szCs w:val="32"/>
        </w:rPr>
      </w:pPr>
      <w:r>
        <w:rPr>
          <w:rFonts w:hint="eastAsia" w:ascii="黑体" w:hAnsi="黑体" w:eastAsia="黑体" w:cs="宋体"/>
          <w:sz w:val="32"/>
          <w:szCs w:val="32"/>
        </w:rPr>
        <w:t>一、部门概况</w:t>
      </w:r>
    </w:p>
    <w:p>
      <w:pPr>
        <w:adjustRightInd w:val="0"/>
        <w:snapToGrid w:val="0"/>
        <w:spacing w:line="520" w:lineRule="exact"/>
        <w:ind w:firstLine="636" w:firstLineChars="200"/>
        <w:rPr>
          <w:rFonts w:ascii="楷体_GB2312" w:hAnsi="仿宋" w:eastAsia="楷体_GB2312" w:cs="Times New Roman"/>
          <w:b/>
          <w:sz w:val="32"/>
          <w:szCs w:val="32"/>
        </w:rPr>
      </w:pPr>
      <w:bookmarkStart w:id="0" w:name="_Toc268005755"/>
      <w:r>
        <w:rPr>
          <w:rFonts w:hint="eastAsia" w:ascii="楷体_GB2312" w:hAnsi="仿宋" w:eastAsia="楷体_GB2312" w:cs="Times New Roman"/>
          <w:b/>
          <w:sz w:val="32"/>
          <w:szCs w:val="32"/>
        </w:rPr>
        <w:t>（一）部门职责情况</w:t>
      </w:r>
    </w:p>
    <w:p>
      <w:pPr>
        <w:adjustRightInd w:val="0"/>
        <w:snapToGrid w:val="0"/>
        <w:spacing w:line="520" w:lineRule="exact"/>
        <w:ind w:firstLine="636" w:firstLineChars="200"/>
        <w:rPr>
          <w:rFonts w:hint="eastAsia" w:ascii="仿宋_GB2312" w:hAnsi="仿宋" w:eastAsia="仿宋_GB2312" w:cs="Times New Roman"/>
          <w:sz w:val="32"/>
          <w:szCs w:val="32"/>
        </w:rPr>
      </w:pPr>
      <w:r>
        <w:rPr>
          <w:rFonts w:hint="eastAsia" w:ascii="仿宋_GB2312" w:hAnsi="仿宋" w:eastAsia="仿宋_GB2312" w:cs="Times New Roman"/>
          <w:sz w:val="32"/>
          <w:szCs w:val="32"/>
        </w:rPr>
        <w:t>雁翅镇人民政府隶属于门头沟区人民政府，属于政府职能部门，其职责是加强对雁翅镇经济和社会发展的统筹规划和组织协调服务；加强社会主义民主政治和法制建设，依法行政，规范管理；完善农村社会化服务体系，为农业和农村经济发展创造条件。</w:t>
      </w:r>
    </w:p>
    <w:p>
      <w:pPr>
        <w:adjustRightInd w:val="0"/>
        <w:snapToGrid w:val="0"/>
        <w:spacing w:line="520" w:lineRule="exact"/>
        <w:ind w:firstLine="636" w:firstLineChars="200"/>
        <w:rPr>
          <w:rFonts w:hint="eastAsia" w:ascii="仿宋_GB2312" w:hAnsi="仿宋" w:eastAsia="仿宋_GB2312" w:cs="Times New Roman"/>
          <w:sz w:val="32"/>
          <w:szCs w:val="32"/>
        </w:rPr>
      </w:pPr>
      <w:r>
        <w:rPr>
          <w:rFonts w:hint="eastAsia" w:ascii="仿宋_GB2312" w:hAnsi="仿宋" w:eastAsia="仿宋_GB2312" w:cs="Times New Roman"/>
          <w:sz w:val="32"/>
          <w:szCs w:val="32"/>
        </w:rPr>
        <w:t>主要职能职责如下：</w:t>
      </w:r>
    </w:p>
    <w:p>
      <w:pPr>
        <w:adjustRightInd w:val="0"/>
        <w:snapToGrid w:val="0"/>
        <w:spacing w:line="520" w:lineRule="exact"/>
        <w:ind w:firstLine="636" w:firstLineChars="200"/>
        <w:rPr>
          <w:rFonts w:hint="eastAsia" w:ascii="仿宋_GB2312" w:hAnsi="仿宋" w:eastAsia="仿宋_GB2312" w:cs="Times New Roman"/>
          <w:sz w:val="32"/>
          <w:szCs w:val="32"/>
        </w:rPr>
      </w:pPr>
      <w:r>
        <w:rPr>
          <w:rFonts w:hint="eastAsia" w:ascii="仿宋_GB2312" w:hAnsi="仿宋" w:eastAsia="仿宋_GB2312" w:cs="Times New Roman"/>
          <w:sz w:val="32"/>
          <w:szCs w:val="32"/>
        </w:rPr>
        <w:t>1、党委工作职责：（1）保证党的路线、方针、政策的坚决贯彻执行。（2）保证监督职能。（3）服从和服务于经济建设的职能。（4）负责抓好本乡党建工作、群团工作、精神文明建设工作、新闻宣传工作。（5）完成上级政府交给的其他工作任务。</w:t>
      </w:r>
    </w:p>
    <w:p>
      <w:pPr>
        <w:adjustRightInd w:val="0"/>
        <w:snapToGrid w:val="0"/>
        <w:spacing w:line="520" w:lineRule="exact"/>
        <w:ind w:firstLine="636" w:firstLineChars="200"/>
        <w:rPr>
          <w:rFonts w:hint="eastAsia" w:ascii="仿宋_GB2312" w:hAnsi="仿宋" w:eastAsia="仿宋_GB2312" w:cs="Times New Roman"/>
          <w:sz w:val="32"/>
          <w:szCs w:val="32"/>
        </w:rPr>
      </w:pPr>
      <w:r>
        <w:rPr>
          <w:rFonts w:hint="eastAsia" w:ascii="仿宋_GB2312" w:hAnsi="仿宋" w:eastAsia="仿宋_GB2312" w:cs="Times New Roman"/>
          <w:sz w:val="32"/>
          <w:szCs w:val="32"/>
        </w:rPr>
        <w:t>2、政府职能：（1）制定并组织实施村镇建设规划，部署重点工程建设，地方道路建设及公共设施，水利设施的管理，负责土地、林木、水等自然资源和生态环境的保护，做好护林防火工作。（2）负责本行政区域内的民政、计划生育、文化教育、卫生、体育等社会公益事业的综合性工作，维护一切经济单位和个人的正当经济权益，取缔非法经济活动，调解和处理民事纠纷，打击刑事犯罪维护社会稳定。（3）按计划组织本级财政收入和地方税的征收，完成国家财政计划，不断培植税源，管好财政资金，增强财政实力。（4）抓好精神文明建设，丰富群众文化生活，提倡移风易俗，反对封建迷信，破除陈规陋习，树立社会主义新风尚。（5）完成上级政府交办的其它事项。</w:t>
      </w:r>
    </w:p>
    <w:p>
      <w:pPr>
        <w:adjustRightInd w:val="0"/>
        <w:snapToGrid w:val="0"/>
        <w:spacing w:line="520" w:lineRule="exact"/>
        <w:ind w:firstLine="636" w:firstLineChars="200"/>
        <w:rPr>
          <w:rFonts w:ascii="楷体_GB2312" w:hAnsi="仿宋" w:eastAsia="楷体_GB2312" w:cs="Times New Roman"/>
          <w:b/>
          <w:sz w:val="32"/>
          <w:szCs w:val="32"/>
        </w:rPr>
      </w:pPr>
      <w:r>
        <w:rPr>
          <w:rFonts w:hint="eastAsia" w:ascii="楷体_GB2312" w:hAnsi="仿宋" w:eastAsia="楷体_GB2312" w:cs="Times New Roman"/>
          <w:b/>
          <w:sz w:val="32"/>
          <w:szCs w:val="32"/>
        </w:rPr>
        <w:t>（二）部门机构设置情况</w:t>
      </w:r>
    </w:p>
    <w:p>
      <w:pPr>
        <w:adjustRightInd w:val="0"/>
        <w:snapToGrid w:val="0"/>
        <w:spacing w:beforeLines="0" w:afterLines="0" w:line="560" w:lineRule="atLeast"/>
        <w:ind w:firstLine="634"/>
        <w:rPr>
          <w:rFonts w:hint="eastAsia" w:ascii="仿宋_GB2312" w:hAnsi="仿宋"/>
          <w:sz w:val="32"/>
        </w:rPr>
      </w:pPr>
      <w:r>
        <w:rPr>
          <w:rFonts w:hint="eastAsia" w:ascii="仿宋_GB2312" w:hAnsi="仿宋"/>
          <w:sz w:val="32"/>
        </w:rPr>
        <w:t>1.机构设置情况</w:t>
      </w:r>
    </w:p>
    <w:p>
      <w:pPr>
        <w:snapToGrid w:val="0"/>
        <w:spacing w:line="520" w:lineRule="exact"/>
        <w:ind w:firstLine="636" w:firstLineChars="200"/>
        <w:rPr>
          <w:rFonts w:hint="eastAsia" w:ascii="仿宋_GB2312" w:hAnsi="宋体" w:eastAsia="仿宋_GB2312" w:cs="宋体"/>
          <w:kern w:val="0"/>
          <w:sz w:val="32"/>
          <w:szCs w:val="32"/>
          <w:highlight w:val="none"/>
          <w:lang w:val="en-US" w:eastAsia="zh-CN"/>
        </w:rPr>
      </w:pPr>
      <w:r>
        <w:rPr>
          <w:rFonts w:hint="eastAsia" w:ascii="仿宋_GB2312" w:hAnsi="宋体" w:eastAsia="仿宋_GB2312" w:cs="宋体"/>
          <w:kern w:val="0"/>
          <w:sz w:val="32"/>
          <w:szCs w:val="32"/>
          <w:highlight w:val="none"/>
          <w:lang w:val="en-US" w:eastAsia="zh-CN"/>
        </w:rPr>
        <w:t>雁翅镇内设机构共7个；包括综合办公室、党群工作办公室、平安建设办公室、城乡建设办公室、民生保障办公室、经济发展办公室，另有一个综合行政执法队；下设5个事业单位，包括雁翅镇市民活动中心（党群活动中心）、雁翅镇市民诉求处置中心（综治中心）、雁翅镇便民服务中心（退役军人服务站）、雁翅镇农业综合服务中心（区域经济发展服务中心）、雁翅镇农村经济经营管理站（农村三资管理服务中心），另有一个事业单位雁翅林业工作站，编制隶属于区园林绿化局。</w:t>
      </w:r>
    </w:p>
    <w:p>
      <w:pPr>
        <w:numPr>
          <w:ilvl w:val="0"/>
          <w:numId w:val="1"/>
        </w:numPr>
        <w:adjustRightInd w:val="0"/>
        <w:snapToGrid w:val="0"/>
        <w:spacing w:beforeLines="0" w:afterLines="0" w:line="560" w:lineRule="atLeast"/>
        <w:ind w:firstLine="634"/>
        <w:rPr>
          <w:rFonts w:hint="eastAsia" w:ascii="仿宋_GB2312" w:hAnsi="宋体" w:eastAsia="仿宋_GB2312" w:cs="宋体"/>
          <w:kern w:val="0"/>
          <w:sz w:val="32"/>
          <w:szCs w:val="32"/>
          <w:highlight w:val="none"/>
          <w:lang w:val="en-US" w:eastAsia="zh-CN"/>
        </w:rPr>
      </w:pPr>
      <w:r>
        <w:rPr>
          <w:rFonts w:hint="eastAsia" w:ascii="仿宋_GB2312" w:hAnsi="仿宋"/>
          <w:color w:val="auto"/>
          <w:sz w:val="32"/>
        </w:rPr>
        <w:t>人员构成情况</w:t>
      </w:r>
    </w:p>
    <w:p>
      <w:pPr>
        <w:snapToGrid w:val="0"/>
        <w:spacing w:line="520" w:lineRule="exact"/>
        <w:ind w:firstLine="636" w:firstLineChars="200"/>
        <w:rPr>
          <w:rFonts w:hint="eastAsia" w:ascii="仿宋_GB2312" w:hAnsi="宋体" w:eastAsia="仿宋_GB2312" w:cs="宋体"/>
          <w:kern w:val="0"/>
          <w:sz w:val="32"/>
          <w:szCs w:val="32"/>
          <w:highlight w:val="none"/>
          <w:lang w:val="en-US" w:eastAsia="zh-CN"/>
        </w:rPr>
      </w:pPr>
      <w:r>
        <w:rPr>
          <w:rFonts w:hint="eastAsia" w:ascii="仿宋_GB2312" w:hAnsi="仿宋" w:eastAsia="仿宋_GB2312"/>
          <w:sz w:val="32"/>
          <w:szCs w:val="32"/>
          <w:highlight w:val="none"/>
          <w:lang w:val="en-US" w:eastAsia="zh-CN"/>
        </w:rPr>
        <w:t xml:space="preserve">雁翅镇部门行政编制52名，另有机关工勤1名，执法大队4名，行政实际48人，机关工勤1人，执法大队实际4人；事业编制55名，林业站编制6名，我镇下属事业单位实际48人，林业站实际5人；离退休人员55人，其中：行政退休31人，事业退休24人。  </w:t>
      </w:r>
    </w:p>
    <w:p>
      <w:pPr>
        <w:adjustRightInd w:val="0"/>
        <w:snapToGrid w:val="0"/>
        <w:spacing w:line="520" w:lineRule="exact"/>
        <w:ind w:firstLine="636" w:firstLineChars="200"/>
        <w:rPr>
          <w:rFonts w:ascii="楷体_GB2312" w:hAnsi="仿宋" w:eastAsia="楷体_GB2312" w:cs="Times New Roman"/>
          <w:b/>
          <w:sz w:val="32"/>
          <w:szCs w:val="32"/>
        </w:rPr>
      </w:pPr>
      <w:r>
        <w:rPr>
          <w:rFonts w:hint="eastAsia" w:ascii="楷体_GB2312" w:hAnsi="仿宋" w:eastAsia="楷体_GB2312" w:cs="Times New Roman"/>
          <w:b/>
          <w:sz w:val="32"/>
          <w:szCs w:val="32"/>
        </w:rPr>
        <w:t>（三）</w:t>
      </w:r>
      <w:r>
        <w:rPr>
          <w:rFonts w:ascii="楷体_GB2312" w:hAnsi="仿宋" w:eastAsia="楷体_GB2312" w:cs="Times New Roman"/>
          <w:b/>
          <w:sz w:val="32"/>
          <w:szCs w:val="32"/>
        </w:rPr>
        <w:t>2024</w:t>
      </w:r>
      <w:r>
        <w:rPr>
          <w:rFonts w:hint="eastAsia" w:ascii="楷体_GB2312" w:hAnsi="仿宋" w:eastAsia="楷体_GB2312" w:cs="Times New Roman"/>
          <w:b/>
          <w:sz w:val="32"/>
          <w:szCs w:val="32"/>
        </w:rPr>
        <w:t>年主要工作任务</w:t>
      </w:r>
    </w:p>
    <w:bookmarkEnd w:id="0"/>
    <w:p>
      <w:pPr>
        <w:adjustRightInd w:val="0"/>
        <w:snapToGrid w:val="0"/>
        <w:spacing w:line="520" w:lineRule="exact"/>
        <w:ind w:firstLine="636" w:firstLineChars="200"/>
        <w:rPr>
          <w:rFonts w:hint="eastAsia" w:ascii="仿宋_GB2312" w:hAnsi="仿宋" w:eastAsia="仿宋_GB2312" w:cs="Times New Roman"/>
          <w:sz w:val="32"/>
          <w:szCs w:val="32"/>
        </w:rPr>
      </w:pPr>
      <w:bookmarkStart w:id="1" w:name="_Toc268005759"/>
      <w:bookmarkStart w:id="2" w:name="_Toc263686375"/>
      <w:r>
        <w:rPr>
          <w:rFonts w:hint="eastAsia" w:ascii="仿宋_GB2312" w:hAnsi="仿宋" w:eastAsia="仿宋_GB2312" w:cs="Times New Roman"/>
          <w:sz w:val="32"/>
          <w:szCs w:val="32"/>
        </w:rPr>
        <w:t>202</w:t>
      </w:r>
      <w:r>
        <w:rPr>
          <w:rFonts w:hint="eastAsia" w:ascii="仿宋_GB2312" w:hAnsi="仿宋" w:eastAsia="仿宋_GB2312" w:cs="Times New Roman"/>
          <w:sz w:val="32"/>
          <w:szCs w:val="32"/>
          <w:lang w:val="en-US" w:eastAsia="zh-CN"/>
        </w:rPr>
        <w:t>3</w:t>
      </w:r>
      <w:r>
        <w:rPr>
          <w:rFonts w:hint="eastAsia" w:ascii="仿宋_GB2312" w:hAnsi="仿宋" w:eastAsia="仿宋_GB2312" w:cs="Times New Roman"/>
          <w:sz w:val="32"/>
          <w:szCs w:val="32"/>
        </w:rPr>
        <w:t>年，我镇的财政工作在党委、政府的领导下，在上级主管部门的指导与支持下，立足实际、结合镇情、抢抓机遇、攻坚破难，坚持以发展为中心，强化财政管理，不断提高财政资金使用效益，切实缩减“三公经费”支出，优化财政支出结构，推动全镇经济社会全面协调可持续发展，圆满地完成202</w:t>
      </w:r>
      <w:r>
        <w:rPr>
          <w:rFonts w:hint="eastAsia" w:ascii="仿宋_GB2312" w:hAnsi="仿宋" w:eastAsia="仿宋_GB2312" w:cs="Times New Roman"/>
          <w:sz w:val="32"/>
          <w:szCs w:val="32"/>
          <w:lang w:val="en-US" w:eastAsia="zh-CN"/>
        </w:rPr>
        <w:t>3</w:t>
      </w:r>
      <w:r>
        <w:rPr>
          <w:rFonts w:hint="eastAsia" w:ascii="仿宋_GB2312" w:hAnsi="仿宋" w:eastAsia="仿宋_GB2312" w:cs="Times New Roman"/>
          <w:sz w:val="32"/>
          <w:szCs w:val="32"/>
        </w:rPr>
        <w:t>年财政工作任务。</w:t>
      </w:r>
    </w:p>
    <w:p>
      <w:pPr>
        <w:adjustRightInd w:val="0"/>
        <w:snapToGrid w:val="0"/>
        <w:spacing w:line="520" w:lineRule="exact"/>
        <w:ind w:firstLine="636" w:firstLineChars="200"/>
        <w:rPr>
          <w:rFonts w:hint="eastAsia" w:ascii="仿宋_GB2312" w:hAnsi="仿宋" w:eastAsia="仿宋_GB2312" w:cs="Times New Roman"/>
          <w:sz w:val="32"/>
          <w:szCs w:val="32"/>
        </w:rPr>
      </w:pPr>
      <w:r>
        <w:rPr>
          <w:rFonts w:hint="eastAsia" w:ascii="仿宋_GB2312" w:hAnsi="仿宋" w:eastAsia="仿宋_GB2312" w:cs="Times New Roman"/>
          <w:sz w:val="32"/>
          <w:szCs w:val="32"/>
          <w:lang w:eastAsia="zh-CN"/>
        </w:rPr>
        <w:t>（</w:t>
      </w:r>
      <w:r>
        <w:rPr>
          <w:rFonts w:hint="eastAsia" w:ascii="仿宋_GB2312" w:hAnsi="仿宋" w:eastAsia="仿宋_GB2312" w:cs="Times New Roman"/>
          <w:sz w:val="32"/>
          <w:szCs w:val="32"/>
          <w:lang w:val="en-US" w:eastAsia="zh-CN"/>
        </w:rPr>
        <w:t>1</w:t>
      </w:r>
      <w:r>
        <w:rPr>
          <w:rFonts w:hint="eastAsia" w:ascii="仿宋_GB2312" w:hAnsi="仿宋" w:eastAsia="仿宋_GB2312" w:cs="Times New Roman"/>
          <w:sz w:val="32"/>
          <w:szCs w:val="32"/>
          <w:lang w:eastAsia="zh-CN"/>
        </w:rPr>
        <w:t>）</w:t>
      </w:r>
      <w:r>
        <w:rPr>
          <w:rFonts w:hint="eastAsia" w:ascii="仿宋_GB2312" w:hAnsi="仿宋" w:eastAsia="仿宋_GB2312" w:cs="Times New Roman"/>
          <w:sz w:val="32"/>
          <w:szCs w:val="32"/>
        </w:rPr>
        <w:t>维持正常运转投入及成效,我镇人员及办公经费</w:t>
      </w:r>
      <w:r>
        <w:rPr>
          <w:rFonts w:hint="eastAsia" w:ascii="仿宋_GB2312" w:hAnsi="仿宋" w:eastAsia="仿宋_GB2312"/>
          <w:sz w:val="32"/>
        </w:rPr>
        <w:t>3,570.75万元</w:t>
      </w:r>
      <w:r>
        <w:rPr>
          <w:rFonts w:hint="eastAsia" w:ascii="仿宋_GB2312" w:hAnsi="仿宋" w:eastAsia="仿宋_GB2312" w:cs="Times New Roman"/>
          <w:sz w:val="32"/>
          <w:szCs w:val="32"/>
        </w:rPr>
        <w:t>，足额保障了我镇人员工资和日常定额支出，使我镇能够正常运转。</w:t>
      </w:r>
    </w:p>
    <w:p>
      <w:pPr>
        <w:adjustRightInd w:val="0"/>
        <w:snapToGrid w:val="0"/>
        <w:spacing w:line="520" w:lineRule="exact"/>
        <w:ind w:firstLine="636" w:firstLineChars="200"/>
        <w:rPr>
          <w:rFonts w:hint="eastAsia" w:ascii="仿宋_GB2312" w:hAnsi="仿宋" w:eastAsia="仿宋_GB2312" w:cs="Times New Roman"/>
          <w:sz w:val="32"/>
          <w:szCs w:val="32"/>
        </w:rPr>
      </w:pPr>
      <w:r>
        <w:rPr>
          <w:rFonts w:hint="eastAsia" w:ascii="仿宋_GB2312" w:hAnsi="仿宋" w:eastAsia="仿宋_GB2312" w:cs="Times New Roman"/>
          <w:sz w:val="32"/>
          <w:szCs w:val="32"/>
        </w:rPr>
        <w:t>（2）各项工作的顺利进行，预算项目支出共计32,964</w:t>
      </w:r>
      <w:r>
        <w:rPr>
          <w:rFonts w:hint="eastAsia" w:ascii="仿宋_GB2312" w:hAnsi="仿宋" w:eastAsia="仿宋_GB2312" w:cs="Times New Roman"/>
          <w:sz w:val="32"/>
          <w:szCs w:val="32"/>
          <w:lang w:val="en-US" w:eastAsia="zh-CN"/>
        </w:rPr>
        <w:t>.</w:t>
      </w:r>
      <w:r>
        <w:rPr>
          <w:rFonts w:hint="eastAsia" w:ascii="仿宋_GB2312" w:hAnsi="仿宋" w:eastAsia="仿宋_GB2312" w:cs="Times New Roman"/>
          <w:sz w:val="32"/>
          <w:szCs w:val="32"/>
        </w:rPr>
        <w:t>8</w:t>
      </w:r>
      <w:r>
        <w:rPr>
          <w:rFonts w:hint="eastAsia" w:ascii="仿宋_GB2312" w:hAnsi="仿宋" w:eastAsia="仿宋_GB2312" w:cs="Times New Roman"/>
          <w:sz w:val="32"/>
          <w:szCs w:val="32"/>
          <w:lang w:val="en-US" w:eastAsia="zh-CN"/>
        </w:rPr>
        <w:t>9</w:t>
      </w:r>
      <w:r>
        <w:rPr>
          <w:rFonts w:hint="eastAsia" w:ascii="仿宋_GB2312" w:hAnsi="仿宋" w:eastAsia="仿宋_GB2312" w:cs="Times New Roman"/>
          <w:sz w:val="32"/>
          <w:szCs w:val="32"/>
        </w:rPr>
        <w:t xml:space="preserve">万元，提供农村地区农民就业机会，增加农民收入；不断改善农村地区人居环境，提高居住水平；社会事业发展，包含文化事业及旅游事业等项目，用于提高我镇文化及旅游发展水平，不断丰富群众文化生活，改善镇域内旅游基础设施水平，促进村民增收。具体体现在：（一）党群工作方面：通过基层党建工作，全面增强基层党组织政治功能和组织力。（二）平安建设方面：通过辖区平安建设工作，维护辖区社会稳定和长治久安。（三）城乡建设管理方面：通过制定并落实村镇建设发展规划，配合做好城乡规划管理有关工作，负责市政市容环境综合治理，全面改善居民生产生活条件。（四）民生保障服务方面：统筹完成落实各项民生保障政策，推进社区建设与发展，提高辖区人民生活保障水平。（五）市民诉求处理方面：协调解决城市管理分平台各类诉求，分析研判市民诉求热点问题，提高辖区居民幸福感。（六）经济发展方面：通过制定镇经济发展规划并组织实施，负责产业发展建设与各项事务管理，促进辖区经济健康有序发展。（七）机关运行方面：通过机关重要事项组织和综合协调等工作，保障机关正常运行。 </w:t>
      </w:r>
    </w:p>
    <w:p>
      <w:pPr>
        <w:adjustRightInd w:val="0"/>
        <w:snapToGrid w:val="0"/>
        <w:spacing w:line="520" w:lineRule="exact"/>
        <w:ind w:firstLine="636" w:firstLineChars="200"/>
        <w:rPr>
          <w:rFonts w:hint="eastAsia" w:ascii="楷体_GB2312" w:hAnsi="仿宋" w:eastAsia="楷体_GB2312" w:cs="Times New Roman"/>
          <w:b/>
          <w:sz w:val="32"/>
          <w:szCs w:val="32"/>
        </w:rPr>
      </w:pPr>
      <w:r>
        <w:rPr>
          <w:rFonts w:hint="eastAsia" w:ascii="楷体_GB2312" w:hAnsi="仿宋" w:eastAsia="楷体_GB2312" w:cs="Times New Roman"/>
          <w:b/>
          <w:sz w:val="32"/>
          <w:szCs w:val="32"/>
        </w:rPr>
        <w:t>（四）部门</w:t>
      </w:r>
      <w:bookmarkEnd w:id="1"/>
      <w:r>
        <w:rPr>
          <w:rFonts w:hint="eastAsia" w:ascii="楷体_GB2312" w:hAnsi="仿宋" w:eastAsia="楷体_GB2312" w:cs="Times New Roman"/>
          <w:b/>
          <w:sz w:val="32"/>
          <w:szCs w:val="32"/>
        </w:rPr>
        <w:t>整体绩效目标设立情况</w:t>
      </w:r>
    </w:p>
    <w:tbl>
      <w:tblPr>
        <w:tblStyle w:val="6"/>
        <w:tblW w:w="9243"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04"/>
        <w:gridCol w:w="1800"/>
        <w:gridCol w:w="4110"/>
        <w:gridCol w:w="25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857" w:hRule="atLeast"/>
        </w:trPr>
        <w:tc>
          <w:tcPr>
            <w:tcW w:w="804" w:type="dxa"/>
            <w:tcBorders>
              <w:top w:val="single" w:color="auto" w:sz="4" w:space="0"/>
              <w:left w:val="single" w:color="auto" w:sz="4" w:space="0"/>
              <w:bottom w:val="single" w:color="auto" w:sz="4" w:space="0"/>
              <w:right w:val="single" w:color="auto" w:sz="4" w:space="0"/>
              <w:tl2br w:val="nil"/>
              <w:tr2bl w:val="nil"/>
            </w:tcBorders>
            <w:vAlign w:val="bottom"/>
          </w:tcPr>
          <w:p>
            <w:pPr>
              <w:widowControl/>
              <w:spacing w:beforeLines="0" w:afterLines="0" w:line="560" w:lineRule="atLeast"/>
              <w:ind w:firstLine="0" w:firstLineChars="0"/>
              <w:jc w:val="center"/>
              <w:rPr>
                <w:rFonts w:hint="eastAsia" w:ascii="仿宋_GB2312" w:hAnsi="仿宋"/>
                <w:sz w:val="28"/>
              </w:rPr>
            </w:pPr>
            <w:r>
              <w:rPr>
                <w:rFonts w:hint="eastAsia" w:ascii="仿宋_GB2312" w:hAnsi="仿宋"/>
                <w:sz w:val="28"/>
              </w:rPr>
              <w:t>序号</w:t>
            </w:r>
          </w:p>
        </w:tc>
        <w:tc>
          <w:tcPr>
            <w:tcW w:w="1800" w:type="dxa"/>
            <w:tcBorders>
              <w:top w:val="single" w:color="auto" w:sz="4" w:space="0"/>
              <w:left w:val="single" w:color="auto" w:sz="4" w:space="0"/>
              <w:bottom w:val="single" w:color="auto" w:sz="4" w:space="0"/>
              <w:right w:val="single" w:color="auto" w:sz="4" w:space="0"/>
              <w:tl2br w:val="nil"/>
              <w:tr2bl w:val="nil"/>
            </w:tcBorders>
            <w:vAlign w:val="bottom"/>
          </w:tcPr>
          <w:p>
            <w:pPr>
              <w:widowControl/>
              <w:spacing w:beforeLines="0" w:afterLines="0" w:line="560" w:lineRule="atLeast"/>
              <w:ind w:firstLine="0" w:firstLineChars="0"/>
              <w:jc w:val="center"/>
              <w:rPr>
                <w:rFonts w:hint="eastAsia" w:ascii="仿宋_GB2312" w:hAnsi="仿宋"/>
                <w:sz w:val="28"/>
              </w:rPr>
            </w:pPr>
            <w:r>
              <w:rPr>
                <w:rFonts w:hint="eastAsia" w:ascii="仿宋_GB2312" w:hAnsi="仿宋"/>
                <w:sz w:val="28"/>
              </w:rPr>
              <w:t>职责</w:t>
            </w:r>
          </w:p>
        </w:tc>
        <w:tc>
          <w:tcPr>
            <w:tcW w:w="4110" w:type="dxa"/>
            <w:tcBorders>
              <w:top w:val="single" w:color="auto" w:sz="4" w:space="0"/>
              <w:left w:val="single" w:color="auto" w:sz="4" w:space="0"/>
              <w:bottom w:val="single" w:color="auto" w:sz="4" w:space="0"/>
              <w:right w:val="single" w:color="auto" w:sz="4" w:space="0"/>
              <w:tl2br w:val="nil"/>
              <w:tr2bl w:val="nil"/>
            </w:tcBorders>
            <w:vAlign w:val="bottom"/>
          </w:tcPr>
          <w:p>
            <w:pPr>
              <w:widowControl/>
              <w:spacing w:beforeLines="0" w:afterLines="0" w:line="560" w:lineRule="atLeast"/>
              <w:ind w:firstLine="0" w:firstLineChars="0"/>
              <w:jc w:val="center"/>
              <w:rPr>
                <w:rFonts w:hint="eastAsia" w:ascii="仿宋_GB2312" w:hAnsi="仿宋"/>
                <w:sz w:val="28"/>
              </w:rPr>
            </w:pPr>
            <w:r>
              <w:rPr>
                <w:rFonts w:hint="eastAsia" w:ascii="仿宋_GB2312" w:hAnsi="仿宋"/>
                <w:sz w:val="28"/>
              </w:rPr>
              <w:t>年度任务</w:t>
            </w:r>
          </w:p>
        </w:tc>
        <w:tc>
          <w:tcPr>
            <w:tcW w:w="2529" w:type="dxa"/>
            <w:tcBorders>
              <w:top w:val="single" w:color="auto" w:sz="4" w:space="0"/>
              <w:left w:val="single" w:color="auto" w:sz="4" w:space="0"/>
              <w:bottom w:val="single" w:color="auto" w:sz="4" w:space="0"/>
              <w:right w:val="single" w:color="auto" w:sz="4" w:space="0"/>
              <w:tl2br w:val="nil"/>
              <w:tr2bl w:val="nil"/>
            </w:tcBorders>
            <w:vAlign w:val="bottom"/>
          </w:tcPr>
          <w:p>
            <w:pPr>
              <w:widowControl/>
              <w:spacing w:beforeLines="0" w:afterLines="0" w:line="560" w:lineRule="atLeast"/>
              <w:ind w:firstLine="0" w:firstLineChars="0"/>
              <w:jc w:val="center"/>
              <w:rPr>
                <w:rFonts w:hint="eastAsia" w:ascii="仿宋_GB2312" w:hAnsi="仿宋"/>
                <w:sz w:val="28"/>
              </w:rPr>
            </w:pPr>
            <w:r>
              <w:rPr>
                <w:rFonts w:hint="eastAsia" w:ascii="仿宋_GB2312" w:hAnsi="仿宋"/>
                <w:sz w:val="28"/>
              </w:rPr>
              <w:t>绩效指标及指标值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1113" w:hRule="atLeast"/>
        </w:trPr>
        <w:tc>
          <w:tcPr>
            <w:tcW w:w="804" w:type="dxa"/>
            <w:tcBorders>
              <w:top w:val="single" w:color="auto" w:sz="4" w:space="0"/>
              <w:left w:val="single" w:color="auto" w:sz="4" w:space="0"/>
              <w:bottom w:val="single" w:color="auto" w:sz="4" w:space="0"/>
              <w:right w:val="single" w:color="auto" w:sz="4" w:space="0"/>
              <w:tl2br w:val="nil"/>
              <w:tr2bl w:val="nil"/>
            </w:tcBorders>
            <w:vAlign w:val="bottom"/>
          </w:tcPr>
          <w:p>
            <w:pPr>
              <w:widowControl/>
              <w:spacing w:beforeLines="0" w:afterLines="0" w:line="560" w:lineRule="atLeast"/>
              <w:ind w:firstLine="0" w:firstLineChars="0"/>
              <w:jc w:val="left"/>
              <w:rPr>
                <w:rFonts w:hint="eastAsia" w:ascii="仿宋_GB2312" w:hAnsi="仿宋"/>
                <w:sz w:val="28"/>
              </w:rPr>
            </w:pPr>
            <w:r>
              <w:rPr>
                <w:rFonts w:hint="eastAsia" w:ascii="仿宋_GB2312" w:hAnsi="仿宋"/>
                <w:sz w:val="28"/>
              </w:rPr>
              <w:t>　1</w:t>
            </w:r>
          </w:p>
        </w:tc>
        <w:tc>
          <w:tcPr>
            <w:tcW w:w="1800" w:type="dxa"/>
            <w:tcBorders>
              <w:top w:val="single" w:color="auto" w:sz="4" w:space="0"/>
              <w:left w:val="single" w:color="auto" w:sz="4" w:space="0"/>
              <w:bottom w:val="single" w:color="auto" w:sz="4" w:space="0"/>
              <w:right w:val="single" w:color="auto" w:sz="4" w:space="0"/>
              <w:tl2br w:val="nil"/>
              <w:tr2bl w:val="nil"/>
            </w:tcBorders>
            <w:vAlign w:val="bottom"/>
          </w:tcPr>
          <w:p>
            <w:pPr>
              <w:widowControl/>
              <w:spacing w:beforeLines="0" w:afterLines="0" w:line="560" w:lineRule="atLeast"/>
              <w:ind w:firstLine="0" w:firstLineChars="0"/>
              <w:jc w:val="left"/>
              <w:rPr>
                <w:rFonts w:hint="eastAsia" w:ascii="仿宋_GB2312" w:hAnsi="仿宋"/>
                <w:sz w:val="28"/>
              </w:rPr>
            </w:pPr>
            <w:r>
              <w:rPr>
                <w:rFonts w:hint="eastAsia" w:ascii="仿宋_GB2312" w:hAnsi="仿宋"/>
                <w:sz w:val="28"/>
              </w:rPr>
              <w:t>党群工作</w:t>
            </w:r>
          </w:p>
        </w:tc>
        <w:tc>
          <w:tcPr>
            <w:tcW w:w="4110" w:type="dxa"/>
            <w:tcBorders>
              <w:top w:val="single" w:color="auto" w:sz="4" w:space="0"/>
              <w:left w:val="single" w:color="auto" w:sz="4" w:space="0"/>
              <w:bottom w:val="single" w:color="auto" w:sz="4" w:space="0"/>
              <w:right w:val="single" w:color="auto" w:sz="4" w:space="0"/>
              <w:tl2br w:val="nil"/>
              <w:tr2bl w:val="nil"/>
            </w:tcBorders>
            <w:vAlign w:val="bottom"/>
          </w:tcPr>
          <w:p>
            <w:pPr>
              <w:widowControl/>
              <w:spacing w:beforeLines="0" w:afterLines="0" w:line="560" w:lineRule="atLeast"/>
              <w:ind w:firstLine="0" w:firstLineChars="0"/>
              <w:jc w:val="left"/>
              <w:rPr>
                <w:rFonts w:hint="eastAsia" w:ascii="仿宋_GB2312" w:hAnsi="仿宋"/>
                <w:sz w:val="28"/>
              </w:rPr>
            </w:pPr>
            <w:r>
              <w:rPr>
                <w:rFonts w:hint="eastAsia" w:ascii="仿宋_GB2312" w:hAnsi="仿宋"/>
                <w:sz w:val="28"/>
              </w:rPr>
              <w:t>全面增强基层党组织政治功能和组织力。</w:t>
            </w:r>
          </w:p>
        </w:tc>
        <w:tc>
          <w:tcPr>
            <w:tcW w:w="2529" w:type="dxa"/>
            <w:tcBorders>
              <w:top w:val="single" w:color="auto" w:sz="4" w:space="0"/>
              <w:left w:val="single" w:color="auto" w:sz="4" w:space="0"/>
              <w:bottom w:val="single" w:color="auto" w:sz="4" w:space="0"/>
              <w:right w:val="single" w:color="auto" w:sz="4" w:space="0"/>
              <w:tl2br w:val="nil"/>
              <w:tr2bl w:val="nil"/>
            </w:tcBorders>
            <w:vAlign w:val="bottom"/>
          </w:tcPr>
          <w:p>
            <w:pPr>
              <w:widowControl/>
              <w:spacing w:beforeLines="0" w:afterLines="0" w:line="560" w:lineRule="atLeast"/>
              <w:ind w:firstLine="0" w:firstLineChars="0"/>
              <w:jc w:val="left"/>
              <w:rPr>
                <w:rFonts w:hint="eastAsia" w:ascii="仿宋_GB2312" w:hAnsi="仿宋"/>
                <w:sz w:val="28"/>
              </w:rPr>
            </w:pPr>
            <w:r>
              <w:rPr>
                <w:rFonts w:hint="eastAsia" w:ascii="仿宋_GB2312" w:hAnsi="仿宋"/>
                <w:sz w:val="28"/>
              </w:rPr>
              <w:t>完成任务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5" w:hRule="atLeast"/>
        </w:trPr>
        <w:tc>
          <w:tcPr>
            <w:tcW w:w="804" w:type="dxa"/>
            <w:tcBorders>
              <w:top w:val="single" w:color="auto" w:sz="4" w:space="0"/>
              <w:left w:val="single" w:color="auto" w:sz="4" w:space="0"/>
              <w:bottom w:val="single" w:color="auto" w:sz="4" w:space="0"/>
              <w:right w:val="single" w:color="auto" w:sz="4" w:space="0"/>
              <w:tl2br w:val="nil"/>
              <w:tr2bl w:val="nil"/>
            </w:tcBorders>
            <w:vAlign w:val="bottom"/>
          </w:tcPr>
          <w:p>
            <w:pPr>
              <w:widowControl/>
              <w:spacing w:beforeLines="0" w:afterLines="0" w:line="560" w:lineRule="atLeast"/>
              <w:ind w:firstLine="0" w:firstLineChars="0"/>
              <w:jc w:val="left"/>
              <w:rPr>
                <w:rFonts w:hint="eastAsia" w:ascii="仿宋_GB2312" w:hAnsi="仿宋"/>
                <w:sz w:val="28"/>
              </w:rPr>
            </w:pPr>
            <w:r>
              <w:rPr>
                <w:rFonts w:hint="eastAsia" w:ascii="仿宋_GB2312" w:hAnsi="仿宋"/>
                <w:sz w:val="28"/>
              </w:rPr>
              <w:t>　2</w:t>
            </w:r>
          </w:p>
        </w:tc>
        <w:tc>
          <w:tcPr>
            <w:tcW w:w="1800" w:type="dxa"/>
            <w:tcBorders>
              <w:top w:val="single" w:color="auto" w:sz="4" w:space="0"/>
              <w:left w:val="single" w:color="auto" w:sz="4" w:space="0"/>
              <w:bottom w:val="single" w:color="auto" w:sz="4" w:space="0"/>
              <w:right w:val="single" w:color="auto" w:sz="4" w:space="0"/>
              <w:tl2br w:val="nil"/>
              <w:tr2bl w:val="nil"/>
            </w:tcBorders>
            <w:vAlign w:val="bottom"/>
          </w:tcPr>
          <w:p>
            <w:pPr>
              <w:widowControl/>
              <w:spacing w:beforeLines="0" w:afterLines="0" w:line="560" w:lineRule="atLeast"/>
              <w:ind w:firstLine="0" w:firstLineChars="0"/>
              <w:jc w:val="left"/>
              <w:rPr>
                <w:rFonts w:hint="eastAsia" w:ascii="仿宋_GB2312" w:hAnsi="仿宋"/>
                <w:sz w:val="28"/>
              </w:rPr>
            </w:pPr>
            <w:r>
              <w:rPr>
                <w:rFonts w:hint="eastAsia" w:ascii="仿宋_GB2312" w:hAnsi="仿宋"/>
                <w:sz w:val="28"/>
              </w:rPr>
              <w:t>平安建设</w:t>
            </w:r>
          </w:p>
        </w:tc>
        <w:tc>
          <w:tcPr>
            <w:tcW w:w="4110" w:type="dxa"/>
            <w:tcBorders>
              <w:top w:val="single" w:color="auto" w:sz="4" w:space="0"/>
              <w:left w:val="single" w:color="auto" w:sz="4" w:space="0"/>
              <w:bottom w:val="single" w:color="auto" w:sz="4" w:space="0"/>
              <w:right w:val="single" w:color="auto" w:sz="4" w:space="0"/>
              <w:tl2br w:val="nil"/>
              <w:tr2bl w:val="nil"/>
            </w:tcBorders>
            <w:vAlign w:val="bottom"/>
          </w:tcPr>
          <w:p>
            <w:pPr>
              <w:widowControl/>
              <w:spacing w:beforeLines="0" w:afterLines="0" w:line="560" w:lineRule="atLeast"/>
              <w:ind w:firstLine="0" w:firstLineChars="0"/>
              <w:jc w:val="left"/>
              <w:rPr>
                <w:rFonts w:hint="eastAsia" w:ascii="仿宋_GB2312" w:hAnsi="仿宋"/>
                <w:sz w:val="28"/>
              </w:rPr>
            </w:pPr>
            <w:r>
              <w:rPr>
                <w:rFonts w:hint="eastAsia" w:ascii="仿宋_GB2312" w:hAnsi="仿宋"/>
                <w:sz w:val="28"/>
              </w:rPr>
              <w:t>维护辖区社会稳定和长治久安。</w:t>
            </w:r>
          </w:p>
        </w:tc>
        <w:tc>
          <w:tcPr>
            <w:tcW w:w="2529" w:type="dxa"/>
            <w:tcBorders>
              <w:top w:val="single" w:color="auto" w:sz="4" w:space="0"/>
              <w:left w:val="single" w:color="auto" w:sz="4" w:space="0"/>
              <w:bottom w:val="single" w:color="auto" w:sz="4" w:space="0"/>
              <w:right w:val="single" w:color="auto" w:sz="4" w:space="0"/>
              <w:tl2br w:val="nil"/>
              <w:tr2bl w:val="nil"/>
            </w:tcBorders>
            <w:vAlign w:val="bottom"/>
          </w:tcPr>
          <w:p>
            <w:pPr>
              <w:widowControl/>
              <w:spacing w:beforeLines="0" w:afterLines="0" w:line="560" w:lineRule="atLeast"/>
              <w:ind w:firstLine="0" w:firstLineChars="0"/>
              <w:jc w:val="left"/>
              <w:rPr>
                <w:rFonts w:hint="eastAsia" w:ascii="仿宋_GB2312" w:hAnsi="仿宋"/>
                <w:sz w:val="28"/>
              </w:rPr>
            </w:pPr>
            <w:r>
              <w:rPr>
                <w:rFonts w:hint="eastAsia" w:ascii="仿宋_GB2312" w:hAnsi="仿宋"/>
                <w:sz w:val="28"/>
              </w:rPr>
              <w:t>完成任务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5" w:hRule="atLeast"/>
        </w:trPr>
        <w:tc>
          <w:tcPr>
            <w:tcW w:w="804" w:type="dxa"/>
            <w:tcBorders>
              <w:top w:val="single" w:color="auto" w:sz="4" w:space="0"/>
              <w:left w:val="single" w:color="auto" w:sz="4" w:space="0"/>
              <w:bottom w:val="single" w:color="auto" w:sz="4" w:space="0"/>
              <w:right w:val="single" w:color="auto" w:sz="4" w:space="0"/>
              <w:tl2br w:val="nil"/>
              <w:tr2bl w:val="nil"/>
            </w:tcBorders>
            <w:vAlign w:val="bottom"/>
          </w:tcPr>
          <w:p>
            <w:pPr>
              <w:widowControl/>
              <w:spacing w:beforeLines="0" w:afterLines="0" w:line="560" w:lineRule="atLeast"/>
              <w:ind w:firstLine="0" w:firstLineChars="0"/>
              <w:jc w:val="left"/>
              <w:rPr>
                <w:rFonts w:hint="eastAsia" w:ascii="仿宋_GB2312" w:hAnsi="仿宋"/>
                <w:sz w:val="28"/>
              </w:rPr>
            </w:pPr>
            <w:r>
              <w:rPr>
                <w:rFonts w:hint="eastAsia" w:ascii="仿宋_GB2312" w:hAnsi="仿宋"/>
                <w:sz w:val="28"/>
              </w:rPr>
              <w:t>　3</w:t>
            </w:r>
          </w:p>
        </w:tc>
        <w:tc>
          <w:tcPr>
            <w:tcW w:w="1800" w:type="dxa"/>
            <w:tcBorders>
              <w:top w:val="single" w:color="auto" w:sz="4" w:space="0"/>
              <w:left w:val="nil"/>
              <w:bottom w:val="single" w:color="auto" w:sz="4" w:space="0"/>
              <w:right w:val="single" w:color="auto" w:sz="4" w:space="0"/>
              <w:tl2br w:val="nil"/>
              <w:tr2bl w:val="nil"/>
            </w:tcBorders>
            <w:vAlign w:val="bottom"/>
          </w:tcPr>
          <w:p>
            <w:pPr>
              <w:widowControl/>
              <w:spacing w:beforeLines="0" w:afterLines="0" w:line="560" w:lineRule="atLeast"/>
              <w:ind w:firstLine="0" w:firstLineChars="0"/>
              <w:jc w:val="left"/>
              <w:rPr>
                <w:rFonts w:hint="eastAsia" w:ascii="仿宋_GB2312" w:hAnsi="仿宋"/>
                <w:sz w:val="28"/>
              </w:rPr>
            </w:pPr>
            <w:r>
              <w:rPr>
                <w:rFonts w:hint="eastAsia" w:ascii="仿宋_GB2312" w:hAnsi="仿宋"/>
                <w:sz w:val="28"/>
              </w:rPr>
              <w:t>城乡建设管理</w:t>
            </w:r>
          </w:p>
        </w:tc>
        <w:tc>
          <w:tcPr>
            <w:tcW w:w="4110" w:type="dxa"/>
            <w:tcBorders>
              <w:top w:val="single" w:color="auto" w:sz="4" w:space="0"/>
              <w:left w:val="nil"/>
              <w:bottom w:val="single" w:color="auto" w:sz="4" w:space="0"/>
              <w:right w:val="single" w:color="auto" w:sz="4" w:space="0"/>
              <w:tl2br w:val="nil"/>
              <w:tr2bl w:val="nil"/>
            </w:tcBorders>
            <w:vAlign w:val="bottom"/>
          </w:tcPr>
          <w:p>
            <w:pPr>
              <w:widowControl/>
              <w:spacing w:beforeLines="0" w:afterLines="0" w:line="560" w:lineRule="atLeast"/>
              <w:ind w:firstLine="0" w:firstLineChars="0"/>
              <w:jc w:val="left"/>
              <w:rPr>
                <w:rFonts w:hint="eastAsia" w:ascii="仿宋_GB2312" w:hAnsi="仿宋"/>
                <w:sz w:val="28"/>
              </w:rPr>
            </w:pPr>
            <w:r>
              <w:rPr>
                <w:rFonts w:hint="eastAsia" w:ascii="仿宋_GB2312" w:hAnsi="仿宋"/>
                <w:sz w:val="28"/>
              </w:rPr>
              <w:t>负责市政市容环境综合治理，全面改善居民生产生活条件。完善配套政策，优化提升社区管理服务水平，加强基层民主政治建设</w:t>
            </w:r>
          </w:p>
        </w:tc>
        <w:tc>
          <w:tcPr>
            <w:tcW w:w="2529" w:type="dxa"/>
            <w:tcBorders>
              <w:top w:val="single" w:color="auto" w:sz="4" w:space="0"/>
              <w:left w:val="nil"/>
              <w:bottom w:val="single" w:color="auto" w:sz="4" w:space="0"/>
              <w:right w:val="single" w:color="auto" w:sz="4" w:space="0"/>
              <w:tl2br w:val="nil"/>
              <w:tr2bl w:val="nil"/>
            </w:tcBorders>
            <w:vAlign w:val="bottom"/>
          </w:tcPr>
          <w:p>
            <w:pPr>
              <w:widowControl/>
              <w:spacing w:beforeLines="0" w:afterLines="0" w:line="560" w:lineRule="atLeast"/>
              <w:ind w:firstLine="0" w:firstLineChars="0"/>
              <w:jc w:val="left"/>
              <w:rPr>
                <w:rFonts w:hint="eastAsia" w:ascii="仿宋_GB2312" w:hAnsi="仿宋"/>
                <w:sz w:val="28"/>
              </w:rPr>
            </w:pPr>
            <w:r>
              <w:rPr>
                <w:rFonts w:hint="eastAsia" w:ascii="仿宋_GB2312" w:hAnsi="仿宋"/>
                <w:sz w:val="28"/>
              </w:rPr>
              <w:t>完成任务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5" w:hRule="atLeast"/>
        </w:trPr>
        <w:tc>
          <w:tcPr>
            <w:tcW w:w="804" w:type="dxa"/>
            <w:tcBorders>
              <w:top w:val="single" w:color="auto" w:sz="4" w:space="0"/>
              <w:left w:val="single" w:color="auto" w:sz="4" w:space="0"/>
              <w:bottom w:val="single" w:color="auto" w:sz="4" w:space="0"/>
              <w:right w:val="single" w:color="auto" w:sz="4" w:space="0"/>
              <w:tl2br w:val="nil"/>
              <w:tr2bl w:val="nil"/>
            </w:tcBorders>
            <w:vAlign w:val="bottom"/>
          </w:tcPr>
          <w:p>
            <w:pPr>
              <w:widowControl/>
              <w:spacing w:beforeLines="0" w:afterLines="0" w:line="560" w:lineRule="atLeast"/>
              <w:ind w:firstLine="0" w:firstLineChars="0"/>
              <w:jc w:val="left"/>
              <w:rPr>
                <w:rFonts w:hint="eastAsia" w:ascii="仿宋_GB2312" w:hAnsi="仿宋"/>
                <w:sz w:val="28"/>
              </w:rPr>
            </w:pPr>
            <w:r>
              <w:rPr>
                <w:rFonts w:hint="eastAsia" w:ascii="仿宋_GB2312" w:hAnsi="仿宋"/>
                <w:sz w:val="28"/>
              </w:rPr>
              <w:t>　4</w:t>
            </w:r>
          </w:p>
        </w:tc>
        <w:tc>
          <w:tcPr>
            <w:tcW w:w="1800" w:type="dxa"/>
            <w:tcBorders>
              <w:top w:val="single" w:color="auto" w:sz="4" w:space="0"/>
              <w:left w:val="single" w:color="auto" w:sz="4" w:space="0"/>
              <w:bottom w:val="single" w:color="auto" w:sz="4" w:space="0"/>
              <w:right w:val="single" w:color="auto" w:sz="4" w:space="0"/>
              <w:tl2br w:val="nil"/>
              <w:tr2bl w:val="nil"/>
            </w:tcBorders>
            <w:vAlign w:val="bottom"/>
          </w:tcPr>
          <w:p>
            <w:pPr>
              <w:widowControl/>
              <w:spacing w:beforeLines="0" w:afterLines="0" w:line="560" w:lineRule="atLeast"/>
              <w:ind w:firstLine="0" w:firstLineChars="0"/>
              <w:jc w:val="left"/>
              <w:rPr>
                <w:rFonts w:hint="eastAsia" w:ascii="仿宋_GB2312" w:hAnsi="仿宋"/>
                <w:sz w:val="28"/>
              </w:rPr>
            </w:pPr>
            <w:r>
              <w:rPr>
                <w:rFonts w:hint="eastAsia" w:ascii="仿宋_GB2312" w:hAnsi="仿宋"/>
                <w:sz w:val="28"/>
              </w:rPr>
              <w:t>民生服务保障</w:t>
            </w:r>
          </w:p>
        </w:tc>
        <w:tc>
          <w:tcPr>
            <w:tcW w:w="4110" w:type="dxa"/>
            <w:tcBorders>
              <w:top w:val="single" w:color="auto" w:sz="4" w:space="0"/>
              <w:left w:val="single" w:color="auto" w:sz="4" w:space="0"/>
              <w:bottom w:val="single" w:color="auto" w:sz="4" w:space="0"/>
              <w:right w:val="single" w:color="auto" w:sz="4" w:space="0"/>
              <w:tl2br w:val="nil"/>
              <w:tr2bl w:val="nil"/>
            </w:tcBorders>
            <w:vAlign w:val="bottom"/>
          </w:tcPr>
          <w:p>
            <w:pPr>
              <w:widowControl/>
              <w:spacing w:beforeLines="0" w:afterLines="0" w:line="560" w:lineRule="atLeast"/>
              <w:ind w:firstLine="0" w:firstLineChars="0"/>
              <w:jc w:val="left"/>
              <w:rPr>
                <w:rFonts w:hint="eastAsia" w:ascii="仿宋_GB2312" w:hAnsi="仿宋"/>
                <w:sz w:val="28"/>
              </w:rPr>
            </w:pPr>
            <w:r>
              <w:rPr>
                <w:rFonts w:hint="eastAsia" w:ascii="仿宋_GB2312" w:hAnsi="仿宋"/>
                <w:sz w:val="28"/>
              </w:rPr>
              <w:t>统筹完成落实各项民生保障政策，推进社区建设与发展，提高辖区人民生活保障水平。</w:t>
            </w:r>
          </w:p>
        </w:tc>
        <w:tc>
          <w:tcPr>
            <w:tcW w:w="2529" w:type="dxa"/>
            <w:tcBorders>
              <w:top w:val="single" w:color="auto" w:sz="4" w:space="0"/>
              <w:left w:val="single" w:color="auto" w:sz="4" w:space="0"/>
              <w:bottom w:val="single" w:color="auto" w:sz="4" w:space="0"/>
              <w:right w:val="single" w:color="auto" w:sz="4" w:space="0"/>
              <w:tl2br w:val="nil"/>
              <w:tr2bl w:val="nil"/>
            </w:tcBorders>
            <w:vAlign w:val="bottom"/>
          </w:tcPr>
          <w:p>
            <w:pPr>
              <w:widowControl/>
              <w:spacing w:beforeLines="0" w:afterLines="0" w:line="560" w:lineRule="atLeast"/>
              <w:ind w:firstLine="0" w:firstLineChars="0"/>
              <w:jc w:val="left"/>
              <w:rPr>
                <w:rFonts w:hint="eastAsia" w:ascii="仿宋_GB2312" w:hAnsi="仿宋"/>
                <w:sz w:val="28"/>
              </w:rPr>
            </w:pPr>
            <w:r>
              <w:rPr>
                <w:rFonts w:hint="eastAsia" w:ascii="仿宋_GB2312" w:hAnsi="仿宋"/>
                <w:sz w:val="28"/>
              </w:rPr>
              <w:t>完成任务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5" w:hRule="atLeast"/>
        </w:trPr>
        <w:tc>
          <w:tcPr>
            <w:tcW w:w="804" w:type="dxa"/>
            <w:tcBorders>
              <w:top w:val="single" w:color="auto" w:sz="4" w:space="0"/>
              <w:left w:val="single" w:color="auto" w:sz="4" w:space="0"/>
              <w:bottom w:val="single" w:color="auto" w:sz="4" w:space="0"/>
              <w:right w:val="single" w:color="auto" w:sz="4" w:space="0"/>
              <w:tl2br w:val="nil"/>
              <w:tr2bl w:val="nil"/>
            </w:tcBorders>
            <w:vAlign w:val="bottom"/>
          </w:tcPr>
          <w:p>
            <w:pPr>
              <w:widowControl/>
              <w:spacing w:beforeLines="0" w:afterLines="0" w:line="560" w:lineRule="atLeast"/>
              <w:ind w:firstLine="278" w:firstLineChars="100"/>
              <w:jc w:val="left"/>
              <w:rPr>
                <w:rFonts w:hint="eastAsia" w:ascii="仿宋_GB2312" w:hAnsi="仿宋"/>
                <w:sz w:val="28"/>
              </w:rPr>
            </w:pPr>
            <w:r>
              <w:rPr>
                <w:rFonts w:hint="eastAsia" w:ascii="仿宋_GB2312" w:hAnsi="仿宋"/>
                <w:sz w:val="28"/>
              </w:rPr>
              <w:t>5</w:t>
            </w:r>
          </w:p>
        </w:tc>
        <w:tc>
          <w:tcPr>
            <w:tcW w:w="1800" w:type="dxa"/>
            <w:tcBorders>
              <w:top w:val="single" w:color="auto" w:sz="4" w:space="0"/>
              <w:left w:val="single" w:color="auto" w:sz="4" w:space="0"/>
              <w:bottom w:val="single" w:color="auto" w:sz="4" w:space="0"/>
              <w:right w:val="single" w:color="auto" w:sz="4" w:space="0"/>
              <w:tl2br w:val="nil"/>
              <w:tr2bl w:val="nil"/>
            </w:tcBorders>
            <w:vAlign w:val="bottom"/>
          </w:tcPr>
          <w:p>
            <w:pPr>
              <w:widowControl/>
              <w:spacing w:beforeLines="0" w:afterLines="0" w:line="560" w:lineRule="atLeast"/>
              <w:ind w:firstLine="0" w:firstLineChars="0"/>
              <w:jc w:val="left"/>
              <w:rPr>
                <w:rFonts w:hint="eastAsia" w:ascii="仿宋_GB2312" w:hAnsi="仿宋"/>
                <w:sz w:val="28"/>
              </w:rPr>
            </w:pPr>
            <w:r>
              <w:rPr>
                <w:rFonts w:hint="eastAsia" w:ascii="仿宋_GB2312" w:hAnsi="仿宋"/>
                <w:sz w:val="28"/>
              </w:rPr>
              <w:t>市民诉求处理</w:t>
            </w:r>
          </w:p>
        </w:tc>
        <w:tc>
          <w:tcPr>
            <w:tcW w:w="4110" w:type="dxa"/>
            <w:tcBorders>
              <w:top w:val="single" w:color="auto" w:sz="4" w:space="0"/>
              <w:left w:val="single" w:color="auto" w:sz="4" w:space="0"/>
              <w:bottom w:val="single" w:color="auto" w:sz="4" w:space="0"/>
              <w:right w:val="single" w:color="auto" w:sz="4" w:space="0"/>
              <w:tl2br w:val="nil"/>
              <w:tr2bl w:val="nil"/>
            </w:tcBorders>
            <w:vAlign w:val="bottom"/>
          </w:tcPr>
          <w:p>
            <w:pPr>
              <w:widowControl/>
              <w:spacing w:beforeLines="0" w:afterLines="0" w:line="560" w:lineRule="atLeast"/>
              <w:ind w:firstLine="0" w:firstLineChars="0"/>
              <w:jc w:val="left"/>
              <w:rPr>
                <w:rFonts w:hint="eastAsia" w:ascii="仿宋_GB2312" w:hAnsi="仿宋"/>
                <w:sz w:val="28"/>
              </w:rPr>
            </w:pPr>
            <w:r>
              <w:rPr>
                <w:rFonts w:hint="eastAsia" w:ascii="仿宋_GB2312" w:hAnsi="仿宋"/>
                <w:sz w:val="28"/>
              </w:rPr>
              <w:t>协调解决城市管理分平台各类诉求，分析研判市民诉求热点问题。</w:t>
            </w:r>
          </w:p>
        </w:tc>
        <w:tc>
          <w:tcPr>
            <w:tcW w:w="2529" w:type="dxa"/>
            <w:tcBorders>
              <w:top w:val="single" w:color="auto" w:sz="4" w:space="0"/>
              <w:left w:val="single" w:color="auto" w:sz="4" w:space="0"/>
              <w:bottom w:val="single" w:color="auto" w:sz="4" w:space="0"/>
              <w:right w:val="single" w:color="auto" w:sz="4" w:space="0"/>
              <w:tl2br w:val="nil"/>
              <w:tr2bl w:val="nil"/>
            </w:tcBorders>
            <w:vAlign w:val="bottom"/>
          </w:tcPr>
          <w:p>
            <w:pPr>
              <w:widowControl/>
              <w:spacing w:beforeLines="0" w:afterLines="0" w:line="560" w:lineRule="atLeast"/>
              <w:ind w:firstLine="0" w:firstLineChars="0"/>
              <w:jc w:val="left"/>
              <w:rPr>
                <w:rFonts w:hint="eastAsia" w:ascii="仿宋_GB2312" w:hAnsi="仿宋"/>
                <w:sz w:val="28"/>
              </w:rPr>
            </w:pPr>
            <w:r>
              <w:rPr>
                <w:rFonts w:hint="eastAsia" w:ascii="仿宋_GB2312" w:hAnsi="仿宋"/>
                <w:sz w:val="28"/>
              </w:rPr>
              <w:t>完成任务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5" w:hRule="atLeast"/>
        </w:trPr>
        <w:tc>
          <w:tcPr>
            <w:tcW w:w="804" w:type="dxa"/>
            <w:tcBorders>
              <w:top w:val="single" w:color="auto" w:sz="4" w:space="0"/>
              <w:left w:val="single" w:color="auto" w:sz="4" w:space="0"/>
              <w:bottom w:val="single" w:color="auto" w:sz="4" w:space="0"/>
              <w:right w:val="single" w:color="auto" w:sz="4" w:space="0"/>
              <w:tl2br w:val="nil"/>
              <w:tr2bl w:val="nil"/>
            </w:tcBorders>
            <w:vAlign w:val="bottom"/>
          </w:tcPr>
          <w:p>
            <w:pPr>
              <w:widowControl/>
              <w:spacing w:beforeLines="0" w:afterLines="0" w:line="560" w:lineRule="atLeast"/>
              <w:ind w:firstLine="278" w:firstLineChars="100"/>
              <w:jc w:val="left"/>
              <w:rPr>
                <w:rFonts w:hint="eastAsia" w:ascii="仿宋_GB2312" w:hAnsi="仿宋"/>
                <w:sz w:val="28"/>
              </w:rPr>
            </w:pPr>
            <w:r>
              <w:rPr>
                <w:rFonts w:hint="eastAsia" w:ascii="仿宋_GB2312" w:hAnsi="仿宋"/>
                <w:sz w:val="28"/>
              </w:rPr>
              <w:t>6</w:t>
            </w:r>
          </w:p>
        </w:tc>
        <w:tc>
          <w:tcPr>
            <w:tcW w:w="1800" w:type="dxa"/>
            <w:tcBorders>
              <w:top w:val="single" w:color="auto" w:sz="4" w:space="0"/>
              <w:left w:val="single" w:color="auto" w:sz="4" w:space="0"/>
              <w:bottom w:val="single" w:color="auto" w:sz="4" w:space="0"/>
              <w:right w:val="single" w:color="auto" w:sz="4" w:space="0"/>
              <w:tl2br w:val="nil"/>
              <w:tr2bl w:val="nil"/>
            </w:tcBorders>
            <w:vAlign w:val="bottom"/>
          </w:tcPr>
          <w:p>
            <w:pPr>
              <w:widowControl/>
              <w:spacing w:beforeLines="0" w:afterLines="0" w:line="560" w:lineRule="atLeast"/>
              <w:ind w:firstLine="0" w:firstLineChars="0"/>
              <w:jc w:val="left"/>
              <w:rPr>
                <w:rFonts w:hint="eastAsia" w:ascii="仿宋_GB2312" w:hAnsi="仿宋"/>
                <w:sz w:val="28"/>
              </w:rPr>
            </w:pPr>
            <w:r>
              <w:rPr>
                <w:rFonts w:hint="eastAsia" w:ascii="仿宋_GB2312" w:hAnsi="仿宋"/>
                <w:sz w:val="28"/>
              </w:rPr>
              <w:t>经济发展</w:t>
            </w:r>
          </w:p>
        </w:tc>
        <w:tc>
          <w:tcPr>
            <w:tcW w:w="4110" w:type="dxa"/>
            <w:tcBorders>
              <w:top w:val="single" w:color="auto" w:sz="4" w:space="0"/>
              <w:left w:val="single" w:color="auto" w:sz="4" w:space="0"/>
              <w:bottom w:val="single" w:color="auto" w:sz="4" w:space="0"/>
              <w:right w:val="single" w:color="auto" w:sz="4" w:space="0"/>
              <w:tl2br w:val="nil"/>
              <w:tr2bl w:val="nil"/>
            </w:tcBorders>
            <w:vAlign w:val="bottom"/>
          </w:tcPr>
          <w:p>
            <w:pPr>
              <w:widowControl/>
              <w:spacing w:beforeLines="0" w:afterLines="0" w:line="560" w:lineRule="atLeast"/>
              <w:ind w:firstLine="0" w:firstLineChars="0"/>
              <w:jc w:val="left"/>
              <w:rPr>
                <w:rFonts w:hint="eastAsia" w:ascii="仿宋_GB2312" w:hAnsi="仿宋"/>
                <w:sz w:val="28"/>
              </w:rPr>
            </w:pPr>
            <w:r>
              <w:rPr>
                <w:rFonts w:hint="eastAsia" w:ascii="仿宋_GB2312" w:hAnsi="仿宋"/>
                <w:sz w:val="28"/>
              </w:rPr>
              <w:t>做好农村集体资产及土地承包管理工作，完善村镇产业结构，做好财政及财务管理工作，整合统计与经济发展职能。</w:t>
            </w:r>
          </w:p>
        </w:tc>
        <w:tc>
          <w:tcPr>
            <w:tcW w:w="2529" w:type="dxa"/>
            <w:tcBorders>
              <w:top w:val="single" w:color="auto" w:sz="4" w:space="0"/>
              <w:left w:val="single" w:color="auto" w:sz="4" w:space="0"/>
              <w:bottom w:val="single" w:color="auto" w:sz="4" w:space="0"/>
              <w:right w:val="single" w:color="auto" w:sz="4" w:space="0"/>
              <w:tl2br w:val="nil"/>
              <w:tr2bl w:val="nil"/>
            </w:tcBorders>
            <w:vAlign w:val="bottom"/>
          </w:tcPr>
          <w:p>
            <w:pPr>
              <w:widowControl/>
              <w:spacing w:beforeLines="0" w:afterLines="0" w:line="560" w:lineRule="atLeast"/>
              <w:ind w:firstLine="0" w:firstLineChars="0"/>
              <w:jc w:val="left"/>
              <w:rPr>
                <w:rFonts w:hint="eastAsia" w:ascii="仿宋_GB2312" w:hAnsi="仿宋"/>
                <w:sz w:val="28"/>
              </w:rPr>
            </w:pPr>
            <w:r>
              <w:rPr>
                <w:rFonts w:hint="eastAsia" w:ascii="仿宋_GB2312" w:hAnsi="仿宋"/>
                <w:sz w:val="28"/>
              </w:rPr>
              <w:t>完成任务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5" w:hRule="atLeast"/>
        </w:trPr>
        <w:tc>
          <w:tcPr>
            <w:tcW w:w="804" w:type="dxa"/>
            <w:tcBorders>
              <w:top w:val="single" w:color="auto" w:sz="4" w:space="0"/>
              <w:left w:val="single" w:color="auto" w:sz="4" w:space="0"/>
              <w:bottom w:val="single" w:color="auto" w:sz="4" w:space="0"/>
              <w:right w:val="single" w:color="auto" w:sz="4" w:space="0"/>
              <w:tl2br w:val="nil"/>
              <w:tr2bl w:val="nil"/>
            </w:tcBorders>
            <w:vAlign w:val="bottom"/>
          </w:tcPr>
          <w:p>
            <w:pPr>
              <w:widowControl/>
              <w:spacing w:beforeLines="0" w:afterLines="0" w:line="560" w:lineRule="atLeast"/>
              <w:ind w:firstLine="278" w:firstLineChars="100"/>
              <w:jc w:val="left"/>
              <w:rPr>
                <w:rFonts w:hint="eastAsia" w:ascii="仿宋_GB2312" w:hAnsi="仿宋"/>
                <w:sz w:val="28"/>
              </w:rPr>
            </w:pPr>
            <w:r>
              <w:rPr>
                <w:rFonts w:hint="eastAsia" w:ascii="仿宋_GB2312" w:hAnsi="仿宋"/>
                <w:sz w:val="28"/>
              </w:rPr>
              <w:t>7</w:t>
            </w:r>
          </w:p>
        </w:tc>
        <w:tc>
          <w:tcPr>
            <w:tcW w:w="1800" w:type="dxa"/>
            <w:tcBorders>
              <w:top w:val="single" w:color="auto" w:sz="4" w:space="0"/>
              <w:left w:val="single" w:color="auto" w:sz="4" w:space="0"/>
              <w:bottom w:val="single" w:color="auto" w:sz="4" w:space="0"/>
              <w:right w:val="single" w:color="auto" w:sz="4" w:space="0"/>
              <w:tl2br w:val="nil"/>
              <w:tr2bl w:val="nil"/>
            </w:tcBorders>
            <w:vAlign w:val="bottom"/>
          </w:tcPr>
          <w:p>
            <w:pPr>
              <w:widowControl/>
              <w:spacing w:beforeLines="0" w:afterLines="0" w:line="560" w:lineRule="atLeast"/>
              <w:ind w:firstLine="0" w:firstLineChars="0"/>
              <w:jc w:val="left"/>
              <w:rPr>
                <w:rFonts w:hint="eastAsia" w:ascii="仿宋_GB2312" w:hAnsi="仿宋"/>
                <w:sz w:val="28"/>
              </w:rPr>
            </w:pPr>
            <w:r>
              <w:rPr>
                <w:rFonts w:hint="eastAsia" w:ascii="仿宋_GB2312" w:hAnsi="仿宋"/>
                <w:sz w:val="28"/>
              </w:rPr>
              <w:t>机关运行</w:t>
            </w:r>
          </w:p>
        </w:tc>
        <w:tc>
          <w:tcPr>
            <w:tcW w:w="4110" w:type="dxa"/>
            <w:tcBorders>
              <w:top w:val="single" w:color="auto" w:sz="4" w:space="0"/>
              <w:left w:val="single" w:color="auto" w:sz="4" w:space="0"/>
              <w:bottom w:val="single" w:color="auto" w:sz="4" w:space="0"/>
              <w:right w:val="single" w:color="auto" w:sz="4" w:space="0"/>
              <w:tl2br w:val="nil"/>
              <w:tr2bl w:val="nil"/>
            </w:tcBorders>
            <w:vAlign w:val="bottom"/>
          </w:tcPr>
          <w:p>
            <w:pPr>
              <w:widowControl/>
              <w:spacing w:beforeLines="0" w:afterLines="0" w:line="560" w:lineRule="atLeast"/>
              <w:ind w:firstLine="0" w:firstLineChars="0"/>
              <w:jc w:val="left"/>
              <w:rPr>
                <w:rFonts w:hint="eastAsia" w:ascii="仿宋_GB2312" w:hAnsi="仿宋"/>
                <w:sz w:val="28"/>
              </w:rPr>
            </w:pPr>
            <w:r>
              <w:rPr>
                <w:rFonts w:hint="eastAsia" w:ascii="仿宋_GB2312" w:hAnsi="仿宋"/>
                <w:sz w:val="28"/>
              </w:rPr>
              <w:t>通过机关重要事项组织和综合协调等工作，保障机关正常运行</w:t>
            </w:r>
          </w:p>
        </w:tc>
        <w:tc>
          <w:tcPr>
            <w:tcW w:w="2529" w:type="dxa"/>
            <w:tcBorders>
              <w:top w:val="single" w:color="auto" w:sz="4" w:space="0"/>
              <w:left w:val="single" w:color="auto" w:sz="4" w:space="0"/>
              <w:bottom w:val="single" w:color="auto" w:sz="4" w:space="0"/>
              <w:right w:val="single" w:color="auto" w:sz="4" w:space="0"/>
              <w:tl2br w:val="nil"/>
              <w:tr2bl w:val="nil"/>
            </w:tcBorders>
            <w:vAlign w:val="bottom"/>
          </w:tcPr>
          <w:p>
            <w:pPr>
              <w:widowControl/>
              <w:spacing w:beforeLines="0" w:afterLines="0" w:line="560" w:lineRule="atLeast"/>
              <w:ind w:firstLine="0" w:firstLineChars="0"/>
              <w:jc w:val="left"/>
              <w:rPr>
                <w:rFonts w:hint="eastAsia" w:ascii="仿宋_GB2312" w:hAnsi="仿宋"/>
                <w:sz w:val="28"/>
              </w:rPr>
            </w:pPr>
            <w:r>
              <w:rPr>
                <w:rFonts w:hint="eastAsia" w:ascii="仿宋_GB2312" w:hAnsi="仿宋"/>
                <w:sz w:val="28"/>
              </w:rPr>
              <w:t>完成任务</w:t>
            </w:r>
          </w:p>
        </w:tc>
      </w:tr>
    </w:tbl>
    <w:p>
      <w:pPr>
        <w:adjustRightInd w:val="0"/>
        <w:snapToGrid w:val="0"/>
        <w:spacing w:line="520" w:lineRule="exact"/>
        <w:ind w:firstLine="636" w:firstLineChars="200"/>
        <w:rPr>
          <w:rFonts w:hint="eastAsia" w:ascii="楷体_GB2312" w:hAnsi="仿宋" w:eastAsia="楷体_GB2312" w:cs="Times New Roman"/>
          <w:b/>
          <w:sz w:val="32"/>
          <w:szCs w:val="32"/>
        </w:rPr>
      </w:pPr>
    </w:p>
    <w:p>
      <w:pPr>
        <w:widowControl/>
        <w:adjustRightInd w:val="0"/>
        <w:snapToGrid w:val="0"/>
        <w:spacing w:line="520" w:lineRule="exact"/>
        <w:ind w:firstLine="636" w:firstLineChars="200"/>
        <w:rPr>
          <w:rFonts w:ascii="黑体" w:hAnsi="黑体" w:eastAsia="黑体" w:cs="宋体"/>
          <w:sz w:val="32"/>
          <w:szCs w:val="32"/>
        </w:rPr>
      </w:pPr>
      <w:bookmarkStart w:id="3" w:name="_Toc268005761"/>
      <w:r>
        <w:rPr>
          <w:rFonts w:hint="eastAsia" w:ascii="黑体" w:hAnsi="黑体" w:eastAsia="黑体" w:cs="宋体"/>
          <w:sz w:val="32"/>
          <w:szCs w:val="32"/>
        </w:rPr>
        <w:t>二、当年预算执行情况</w:t>
      </w:r>
    </w:p>
    <w:p>
      <w:pPr>
        <w:spacing w:line="520" w:lineRule="exact"/>
        <w:ind w:firstLine="636" w:firstLineChars="200"/>
        <w:rPr>
          <w:rFonts w:ascii="仿宋_GB2312" w:hAnsi="仿宋" w:eastAsia="仿宋_GB2312" w:cs="Times New Roman"/>
          <w:sz w:val="32"/>
          <w:szCs w:val="32"/>
        </w:rPr>
      </w:pPr>
      <w:r>
        <w:rPr>
          <w:rFonts w:ascii="仿宋_GB2312" w:hAnsi="仿宋" w:eastAsia="仿宋_GB2312" w:cs="Times New Roman"/>
          <w:sz w:val="32"/>
          <w:szCs w:val="32"/>
        </w:rPr>
        <w:t>2024</w:t>
      </w:r>
      <w:r>
        <w:rPr>
          <w:rFonts w:hint="eastAsia" w:ascii="仿宋_GB2312" w:hAnsi="仿宋" w:eastAsia="仿宋_GB2312" w:cs="Times New Roman"/>
          <w:sz w:val="32"/>
          <w:szCs w:val="32"/>
        </w:rPr>
        <w:t>年全年预算数36,535</w:t>
      </w:r>
      <w:r>
        <w:rPr>
          <w:rFonts w:hint="eastAsia" w:ascii="仿宋_GB2312" w:hAnsi="仿宋" w:eastAsia="仿宋_GB2312" w:cs="Times New Roman"/>
          <w:sz w:val="32"/>
          <w:szCs w:val="32"/>
          <w:lang w:val="en-US" w:eastAsia="zh-CN"/>
        </w:rPr>
        <w:t>.</w:t>
      </w:r>
      <w:r>
        <w:rPr>
          <w:rFonts w:hint="eastAsia" w:ascii="仿宋_GB2312" w:hAnsi="仿宋" w:eastAsia="仿宋_GB2312" w:cs="Times New Roman"/>
          <w:sz w:val="32"/>
          <w:szCs w:val="32"/>
        </w:rPr>
        <w:t>6</w:t>
      </w:r>
      <w:r>
        <w:rPr>
          <w:rFonts w:hint="eastAsia" w:ascii="仿宋_GB2312" w:hAnsi="仿宋" w:eastAsia="仿宋_GB2312" w:cs="Times New Roman"/>
          <w:sz w:val="32"/>
          <w:szCs w:val="32"/>
          <w:lang w:val="en-US" w:eastAsia="zh-CN"/>
        </w:rPr>
        <w:t>4</w:t>
      </w:r>
      <w:r>
        <w:rPr>
          <w:rFonts w:hint="eastAsia" w:ascii="仿宋_GB2312" w:hAnsi="仿宋" w:eastAsia="仿宋_GB2312" w:cs="Times New Roman"/>
          <w:sz w:val="32"/>
          <w:szCs w:val="32"/>
        </w:rPr>
        <w:t>万元，其中：基本支出3,570</w:t>
      </w:r>
      <w:r>
        <w:rPr>
          <w:rFonts w:hint="eastAsia" w:ascii="仿宋_GB2312" w:hAnsi="仿宋" w:eastAsia="仿宋_GB2312" w:cs="Times New Roman"/>
          <w:sz w:val="32"/>
          <w:szCs w:val="32"/>
          <w:lang w:val="en-US" w:eastAsia="zh-CN"/>
        </w:rPr>
        <w:t>.</w:t>
      </w:r>
      <w:r>
        <w:rPr>
          <w:rFonts w:hint="eastAsia" w:ascii="仿宋_GB2312" w:hAnsi="仿宋" w:eastAsia="仿宋_GB2312" w:cs="Times New Roman"/>
          <w:sz w:val="32"/>
          <w:szCs w:val="32"/>
        </w:rPr>
        <w:t>7</w:t>
      </w:r>
      <w:r>
        <w:rPr>
          <w:rFonts w:hint="eastAsia" w:ascii="仿宋_GB2312" w:hAnsi="仿宋" w:eastAsia="仿宋_GB2312" w:cs="Times New Roman"/>
          <w:sz w:val="32"/>
          <w:szCs w:val="32"/>
          <w:lang w:val="en-US" w:eastAsia="zh-CN"/>
        </w:rPr>
        <w:t>5</w:t>
      </w:r>
      <w:r>
        <w:rPr>
          <w:rFonts w:hint="eastAsia" w:ascii="仿宋_GB2312" w:hAnsi="仿宋" w:eastAsia="仿宋_GB2312" w:cs="Times New Roman"/>
          <w:sz w:val="32"/>
          <w:szCs w:val="32"/>
        </w:rPr>
        <w:t>万元，占比</w:t>
      </w:r>
      <w:r>
        <w:rPr>
          <w:rFonts w:hint="eastAsia" w:ascii="仿宋_GB2312" w:hAnsi="仿宋" w:eastAsia="仿宋_GB2312" w:cs="Times New Roman"/>
          <w:sz w:val="32"/>
          <w:szCs w:val="32"/>
          <w:lang w:val="en-US" w:eastAsia="zh-CN"/>
        </w:rPr>
        <w:t>9.77</w:t>
      </w:r>
      <w:r>
        <w:rPr>
          <w:rFonts w:ascii="仿宋_GB2312" w:hAnsi="仿宋" w:eastAsia="仿宋_GB2312" w:cs="Times New Roman"/>
          <w:sz w:val="32"/>
          <w:szCs w:val="32"/>
        </w:rPr>
        <w:t>%</w:t>
      </w:r>
      <w:r>
        <w:rPr>
          <w:rFonts w:hint="eastAsia" w:ascii="仿宋_GB2312" w:hAnsi="仿宋" w:eastAsia="仿宋_GB2312" w:cs="Times New Roman"/>
          <w:sz w:val="32"/>
          <w:szCs w:val="32"/>
        </w:rPr>
        <w:t>；项目支出32,964</w:t>
      </w:r>
      <w:r>
        <w:rPr>
          <w:rFonts w:hint="eastAsia" w:ascii="仿宋_GB2312" w:hAnsi="仿宋" w:eastAsia="仿宋_GB2312" w:cs="Times New Roman"/>
          <w:sz w:val="32"/>
          <w:szCs w:val="32"/>
          <w:lang w:val="en-US" w:eastAsia="zh-CN"/>
        </w:rPr>
        <w:t>.</w:t>
      </w:r>
      <w:r>
        <w:rPr>
          <w:rFonts w:hint="eastAsia" w:ascii="仿宋_GB2312" w:hAnsi="仿宋" w:eastAsia="仿宋_GB2312" w:cs="Times New Roman"/>
          <w:sz w:val="32"/>
          <w:szCs w:val="32"/>
        </w:rPr>
        <w:t>8</w:t>
      </w:r>
      <w:r>
        <w:rPr>
          <w:rFonts w:hint="eastAsia" w:ascii="仿宋_GB2312" w:hAnsi="仿宋" w:eastAsia="仿宋_GB2312" w:cs="Times New Roman"/>
          <w:sz w:val="32"/>
          <w:szCs w:val="32"/>
          <w:lang w:val="en-US" w:eastAsia="zh-CN"/>
        </w:rPr>
        <w:t>9</w:t>
      </w:r>
      <w:r>
        <w:rPr>
          <w:rFonts w:hint="eastAsia" w:ascii="仿宋_GB2312" w:hAnsi="仿宋" w:eastAsia="仿宋_GB2312" w:cs="Times New Roman"/>
          <w:sz w:val="32"/>
          <w:szCs w:val="32"/>
        </w:rPr>
        <w:t>万元，占比</w:t>
      </w:r>
      <w:r>
        <w:rPr>
          <w:rFonts w:hint="eastAsia" w:ascii="仿宋_GB2312" w:hAnsi="仿宋" w:eastAsia="仿宋_GB2312" w:cs="Times New Roman"/>
          <w:sz w:val="32"/>
          <w:szCs w:val="32"/>
          <w:lang w:val="en-US" w:eastAsia="zh-CN"/>
        </w:rPr>
        <w:t>90.23</w:t>
      </w:r>
      <w:r>
        <w:rPr>
          <w:rFonts w:ascii="仿宋_GB2312" w:hAnsi="仿宋" w:eastAsia="仿宋_GB2312" w:cs="Times New Roman"/>
          <w:sz w:val="32"/>
          <w:szCs w:val="32"/>
        </w:rPr>
        <w:t>%</w:t>
      </w:r>
      <w:r>
        <w:rPr>
          <w:rFonts w:hint="eastAsia" w:ascii="仿宋_GB2312" w:hAnsi="仿宋" w:eastAsia="仿宋_GB2312" w:cs="Times New Roman"/>
          <w:sz w:val="32"/>
          <w:szCs w:val="32"/>
        </w:rPr>
        <w:t>；其他支出</w:t>
      </w:r>
      <w:r>
        <w:rPr>
          <w:rFonts w:hint="eastAsia" w:ascii="仿宋_GB2312" w:hAnsi="仿宋" w:eastAsia="仿宋_GB2312" w:cs="Times New Roman"/>
          <w:sz w:val="32"/>
          <w:szCs w:val="32"/>
          <w:lang w:val="en-US" w:eastAsia="zh-CN"/>
        </w:rPr>
        <w:t>0</w:t>
      </w:r>
      <w:r>
        <w:rPr>
          <w:rFonts w:hint="eastAsia" w:ascii="仿宋_GB2312" w:hAnsi="仿宋" w:eastAsia="仿宋_GB2312" w:cs="Times New Roman"/>
          <w:sz w:val="32"/>
          <w:szCs w:val="32"/>
        </w:rPr>
        <w:t>万元，占比</w:t>
      </w:r>
      <w:r>
        <w:rPr>
          <w:rFonts w:hint="eastAsia" w:ascii="仿宋_GB2312" w:hAnsi="仿宋" w:eastAsia="仿宋_GB2312" w:cs="Times New Roman"/>
          <w:sz w:val="32"/>
          <w:szCs w:val="32"/>
          <w:lang w:val="en-US" w:eastAsia="zh-CN"/>
        </w:rPr>
        <w:t>0</w:t>
      </w:r>
      <w:r>
        <w:rPr>
          <w:rFonts w:ascii="仿宋_GB2312" w:hAnsi="仿宋" w:eastAsia="仿宋_GB2312" w:cs="Times New Roman"/>
          <w:sz w:val="32"/>
          <w:szCs w:val="32"/>
        </w:rPr>
        <w:t>%</w:t>
      </w:r>
      <w:r>
        <w:rPr>
          <w:rFonts w:hint="eastAsia" w:ascii="仿宋_GB2312" w:hAnsi="仿宋" w:eastAsia="仿宋_GB2312" w:cs="Times New Roman"/>
          <w:sz w:val="32"/>
          <w:szCs w:val="32"/>
        </w:rPr>
        <w:t>。</w:t>
      </w:r>
    </w:p>
    <w:p>
      <w:pPr>
        <w:spacing w:line="520" w:lineRule="exact"/>
        <w:ind w:firstLine="636" w:firstLineChars="200"/>
        <w:rPr>
          <w:rFonts w:ascii="仿宋_GB2312" w:hAnsi="仿宋" w:eastAsia="仿宋_GB2312" w:cs="Times New Roman"/>
          <w:sz w:val="32"/>
          <w:szCs w:val="32"/>
        </w:rPr>
      </w:pPr>
      <w:r>
        <w:rPr>
          <w:rFonts w:hint="eastAsia" w:ascii="仿宋_GB2312" w:hAnsi="仿宋" w:eastAsia="仿宋_GB2312" w:cs="Times New Roman"/>
          <w:sz w:val="32"/>
          <w:szCs w:val="32"/>
        </w:rPr>
        <w:t>截止到</w:t>
      </w:r>
      <w:r>
        <w:rPr>
          <w:rFonts w:ascii="仿宋_GB2312" w:hAnsi="仿宋" w:eastAsia="仿宋_GB2312" w:cs="Times New Roman"/>
          <w:sz w:val="32"/>
          <w:szCs w:val="32"/>
        </w:rPr>
        <w:t>202</w:t>
      </w:r>
      <w:r>
        <w:rPr>
          <w:rFonts w:hint="eastAsia" w:ascii="仿宋_GB2312" w:hAnsi="仿宋" w:eastAsia="仿宋_GB2312" w:cs="Times New Roman"/>
          <w:sz w:val="32"/>
          <w:szCs w:val="32"/>
          <w:lang w:val="en-US" w:eastAsia="zh-CN"/>
        </w:rPr>
        <w:t>5</w:t>
      </w:r>
      <w:r>
        <w:rPr>
          <w:rFonts w:hint="eastAsia" w:ascii="仿宋_GB2312" w:hAnsi="仿宋" w:eastAsia="仿宋_GB2312" w:cs="Times New Roman"/>
          <w:sz w:val="32"/>
          <w:szCs w:val="32"/>
        </w:rPr>
        <w:t>年</w:t>
      </w:r>
      <w:r>
        <w:rPr>
          <w:rFonts w:ascii="仿宋_GB2312" w:hAnsi="仿宋" w:eastAsia="仿宋_GB2312" w:cs="Times New Roman"/>
          <w:sz w:val="32"/>
          <w:szCs w:val="32"/>
        </w:rPr>
        <w:t>12</w:t>
      </w:r>
      <w:r>
        <w:rPr>
          <w:rFonts w:hint="eastAsia" w:ascii="仿宋_GB2312" w:hAnsi="仿宋" w:eastAsia="仿宋_GB2312" w:cs="Times New Roman"/>
          <w:sz w:val="32"/>
          <w:szCs w:val="32"/>
        </w:rPr>
        <w:t>月</w:t>
      </w:r>
      <w:r>
        <w:rPr>
          <w:rFonts w:ascii="仿宋_GB2312" w:hAnsi="仿宋" w:eastAsia="仿宋_GB2312" w:cs="Times New Roman"/>
          <w:sz w:val="32"/>
          <w:szCs w:val="32"/>
        </w:rPr>
        <w:t>31</w:t>
      </w:r>
      <w:r>
        <w:rPr>
          <w:rFonts w:hint="eastAsia" w:ascii="仿宋_GB2312" w:hAnsi="仿宋" w:eastAsia="仿宋_GB2312" w:cs="Times New Roman"/>
          <w:sz w:val="32"/>
          <w:szCs w:val="32"/>
        </w:rPr>
        <w:t>日，预算资金总体支出36,535</w:t>
      </w:r>
      <w:r>
        <w:rPr>
          <w:rFonts w:hint="eastAsia" w:ascii="仿宋_GB2312" w:hAnsi="仿宋" w:eastAsia="仿宋_GB2312" w:cs="Times New Roman"/>
          <w:sz w:val="32"/>
          <w:szCs w:val="32"/>
          <w:lang w:val="en-US" w:eastAsia="zh-CN"/>
        </w:rPr>
        <w:t>.</w:t>
      </w:r>
      <w:r>
        <w:rPr>
          <w:rFonts w:hint="eastAsia" w:ascii="仿宋_GB2312" w:hAnsi="仿宋" w:eastAsia="仿宋_GB2312" w:cs="Times New Roman"/>
          <w:sz w:val="32"/>
          <w:szCs w:val="32"/>
        </w:rPr>
        <w:t>6</w:t>
      </w:r>
      <w:r>
        <w:rPr>
          <w:rFonts w:hint="eastAsia" w:ascii="仿宋_GB2312" w:hAnsi="仿宋" w:eastAsia="仿宋_GB2312" w:cs="Times New Roman"/>
          <w:sz w:val="32"/>
          <w:szCs w:val="32"/>
          <w:lang w:val="en-US" w:eastAsia="zh-CN"/>
        </w:rPr>
        <w:t>4</w:t>
      </w:r>
      <w:r>
        <w:rPr>
          <w:rFonts w:hint="eastAsia" w:ascii="仿宋_GB2312" w:hAnsi="仿宋" w:eastAsia="仿宋_GB2312" w:cs="Times New Roman"/>
          <w:sz w:val="32"/>
          <w:szCs w:val="32"/>
        </w:rPr>
        <w:t>万元，其中：基本支出3,570</w:t>
      </w:r>
      <w:r>
        <w:rPr>
          <w:rFonts w:hint="eastAsia" w:ascii="仿宋_GB2312" w:hAnsi="仿宋" w:eastAsia="仿宋_GB2312" w:cs="Times New Roman"/>
          <w:sz w:val="32"/>
          <w:szCs w:val="32"/>
          <w:lang w:val="en-US" w:eastAsia="zh-CN"/>
        </w:rPr>
        <w:t>.</w:t>
      </w:r>
      <w:r>
        <w:rPr>
          <w:rFonts w:hint="eastAsia" w:ascii="仿宋_GB2312" w:hAnsi="仿宋" w:eastAsia="仿宋_GB2312" w:cs="Times New Roman"/>
          <w:sz w:val="32"/>
          <w:szCs w:val="32"/>
        </w:rPr>
        <w:t>7</w:t>
      </w:r>
      <w:r>
        <w:rPr>
          <w:rFonts w:hint="eastAsia" w:ascii="仿宋_GB2312" w:hAnsi="仿宋" w:eastAsia="仿宋_GB2312" w:cs="Times New Roman"/>
          <w:sz w:val="32"/>
          <w:szCs w:val="32"/>
          <w:lang w:val="en-US" w:eastAsia="zh-CN"/>
        </w:rPr>
        <w:t>5</w:t>
      </w:r>
      <w:r>
        <w:rPr>
          <w:rFonts w:hint="eastAsia" w:ascii="仿宋_GB2312" w:hAnsi="仿宋" w:eastAsia="仿宋_GB2312" w:cs="Times New Roman"/>
          <w:sz w:val="32"/>
          <w:szCs w:val="32"/>
        </w:rPr>
        <w:t>万元，占比</w:t>
      </w:r>
      <w:r>
        <w:rPr>
          <w:rFonts w:hint="eastAsia" w:ascii="仿宋_GB2312" w:hAnsi="仿宋" w:eastAsia="仿宋_GB2312" w:cs="Times New Roman"/>
          <w:sz w:val="32"/>
          <w:szCs w:val="32"/>
          <w:lang w:val="en-US" w:eastAsia="zh-CN"/>
        </w:rPr>
        <w:t>9.77</w:t>
      </w:r>
      <w:r>
        <w:rPr>
          <w:rFonts w:ascii="仿宋_GB2312" w:hAnsi="仿宋" w:eastAsia="仿宋_GB2312" w:cs="Times New Roman"/>
          <w:sz w:val="32"/>
          <w:szCs w:val="32"/>
        </w:rPr>
        <w:t>%</w:t>
      </w:r>
      <w:r>
        <w:rPr>
          <w:rFonts w:hint="eastAsia" w:ascii="仿宋_GB2312" w:hAnsi="仿宋" w:eastAsia="仿宋_GB2312" w:cs="Times New Roman"/>
          <w:sz w:val="32"/>
          <w:szCs w:val="32"/>
        </w:rPr>
        <w:t>；项目支出32,964</w:t>
      </w:r>
      <w:r>
        <w:rPr>
          <w:rFonts w:hint="eastAsia" w:ascii="仿宋_GB2312" w:hAnsi="仿宋" w:eastAsia="仿宋_GB2312" w:cs="Times New Roman"/>
          <w:sz w:val="32"/>
          <w:szCs w:val="32"/>
          <w:lang w:val="en-US" w:eastAsia="zh-CN"/>
        </w:rPr>
        <w:t>.</w:t>
      </w:r>
      <w:r>
        <w:rPr>
          <w:rFonts w:hint="eastAsia" w:ascii="仿宋_GB2312" w:hAnsi="仿宋" w:eastAsia="仿宋_GB2312" w:cs="Times New Roman"/>
          <w:sz w:val="32"/>
          <w:szCs w:val="32"/>
        </w:rPr>
        <w:t>8</w:t>
      </w:r>
      <w:r>
        <w:rPr>
          <w:rFonts w:hint="eastAsia" w:ascii="仿宋_GB2312" w:hAnsi="仿宋" w:eastAsia="仿宋_GB2312" w:cs="Times New Roman"/>
          <w:sz w:val="32"/>
          <w:szCs w:val="32"/>
          <w:lang w:val="en-US" w:eastAsia="zh-CN"/>
        </w:rPr>
        <w:t>9</w:t>
      </w:r>
      <w:r>
        <w:rPr>
          <w:rFonts w:hint="eastAsia" w:ascii="仿宋_GB2312" w:hAnsi="仿宋" w:eastAsia="仿宋_GB2312" w:cs="Times New Roman"/>
          <w:sz w:val="32"/>
          <w:szCs w:val="32"/>
        </w:rPr>
        <w:t>万元，占比</w:t>
      </w:r>
      <w:r>
        <w:rPr>
          <w:rFonts w:hint="eastAsia" w:ascii="仿宋_GB2312" w:hAnsi="仿宋" w:eastAsia="仿宋_GB2312" w:cs="Times New Roman"/>
          <w:sz w:val="32"/>
          <w:szCs w:val="32"/>
          <w:lang w:val="en-US" w:eastAsia="zh-CN"/>
        </w:rPr>
        <w:t>90.23</w:t>
      </w:r>
      <w:r>
        <w:rPr>
          <w:rFonts w:ascii="仿宋_GB2312" w:hAnsi="仿宋" w:eastAsia="仿宋_GB2312" w:cs="Times New Roman"/>
          <w:sz w:val="32"/>
          <w:szCs w:val="32"/>
        </w:rPr>
        <w:t>%</w:t>
      </w:r>
      <w:r>
        <w:rPr>
          <w:rFonts w:hint="eastAsia" w:ascii="仿宋_GB2312" w:hAnsi="仿宋" w:eastAsia="仿宋_GB2312" w:cs="Times New Roman"/>
          <w:sz w:val="32"/>
          <w:szCs w:val="32"/>
        </w:rPr>
        <w:t>；其他支出</w:t>
      </w:r>
      <w:r>
        <w:rPr>
          <w:rFonts w:hint="eastAsia" w:ascii="仿宋_GB2312" w:hAnsi="仿宋" w:eastAsia="仿宋_GB2312" w:cs="Times New Roman"/>
          <w:sz w:val="32"/>
          <w:szCs w:val="32"/>
          <w:lang w:val="en-US" w:eastAsia="zh-CN"/>
        </w:rPr>
        <w:t>0</w:t>
      </w:r>
      <w:r>
        <w:rPr>
          <w:rFonts w:hint="eastAsia" w:ascii="仿宋_GB2312" w:hAnsi="仿宋" w:eastAsia="仿宋_GB2312" w:cs="Times New Roman"/>
          <w:sz w:val="32"/>
          <w:szCs w:val="32"/>
        </w:rPr>
        <w:t>万元，占比</w:t>
      </w:r>
      <w:r>
        <w:rPr>
          <w:rFonts w:hint="eastAsia" w:ascii="仿宋_GB2312" w:hAnsi="仿宋" w:eastAsia="仿宋_GB2312" w:cs="Times New Roman"/>
          <w:sz w:val="32"/>
          <w:szCs w:val="32"/>
          <w:lang w:val="en-US" w:eastAsia="zh-CN"/>
        </w:rPr>
        <w:t>0</w:t>
      </w:r>
      <w:r>
        <w:rPr>
          <w:rFonts w:ascii="仿宋_GB2312" w:hAnsi="仿宋" w:eastAsia="仿宋_GB2312" w:cs="Times New Roman"/>
          <w:sz w:val="32"/>
          <w:szCs w:val="32"/>
        </w:rPr>
        <w:t>%</w:t>
      </w:r>
      <w:r>
        <w:rPr>
          <w:rFonts w:hint="eastAsia" w:ascii="仿宋_GB2312" w:hAnsi="仿宋" w:eastAsia="仿宋_GB2312" w:cs="Times New Roman"/>
          <w:sz w:val="32"/>
          <w:szCs w:val="32"/>
        </w:rPr>
        <w:t>。部门预算执行率为</w:t>
      </w:r>
      <w:r>
        <w:rPr>
          <w:rFonts w:hint="eastAsia" w:ascii="仿宋_GB2312" w:hAnsi="仿宋" w:eastAsia="仿宋_GB2312" w:cs="Times New Roman"/>
          <w:sz w:val="32"/>
          <w:szCs w:val="32"/>
          <w:lang w:val="en-US" w:eastAsia="zh-CN"/>
        </w:rPr>
        <w:t>100</w:t>
      </w:r>
      <w:r>
        <w:rPr>
          <w:rFonts w:ascii="仿宋_GB2312" w:hAnsi="仿宋" w:eastAsia="仿宋_GB2312" w:cs="Times New Roman"/>
          <w:sz w:val="32"/>
          <w:szCs w:val="32"/>
        </w:rPr>
        <w:t>%</w:t>
      </w:r>
      <w:r>
        <w:rPr>
          <w:rFonts w:hint="eastAsia" w:ascii="仿宋_GB2312" w:hAnsi="仿宋" w:eastAsia="仿宋_GB2312" w:cs="Times New Roman"/>
          <w:sz w:val="32"/>
          <w:szCs w:val="32"/>
        </w:rPr>
        <w:t>。（支出数按照年底收回节约前的实际支出数填列）。</w:t>
      </w:r>
      <w:r>
        <w:rPr>
          <w:rFonts w:ascii="仿宋_GB2312" w:hAnsi="仿宋" w:eastAsia="仿宋_GB2312" w:cs="Times New Roman"/>
          <w:sz w:val="32"/>
          <w:szCs w:val="32"/>
        </w:rPr>
        <w:t xml:space="preserve">                                     </w:t>
      </w:r>
    </w:p>
    <w:bookmarkEnd w:id="3"/>
    <w:p>
      <w:pPr>
        <w:spacing w:line="520" w:lineRule="exact"/>
        <w:ind w:firstLine="636" w:firstLineChars="200"/>
        <w:rPr>
          <w:rFonts w:ascii="仿宋_GB2312" w:hAnsi="Times New Roman" w:eastAsia="仿宋_GB2312" w:cs="Times New Roman"/>
          <w:sz w:val="32"/>
          <w:szCs w:val="32"/>
        </w:rPr>
      </w:pPr>
      <w:r>
        <w:rPr>
          <w:rFonts w:ascii="仿宋_GB2312" w:hAnsi="仿宋" w:eastAsia="仿宋_GB2312" w:cs="Times New Roman"/>
          <w:sz w:val="32"/>
          <w:szCs w:val="32"/>
        </w:rPr>
        <w:t>2024</w:t>
      </w:r>
      <w:r>
        <w:rPr>
          <w:rFonts w:hint="eastAsia" w:ascii="仿宋_GB2312" w:hAnsi="仿宋" w:eastAsia="仿宋_GB2312" w:cs="Times New Roman"/>
          <w:sz w:val="32"/>
          <w:szCs w:val="32"/>
        </w:rPr>
        <w:t>年年末结转结余资金总额为</w:t>
      </w:r>
      <w:r>
        <w:rPr>
          <w:rFonts w:hint="eastAsia" w:ascii="仿宋_GB2312" w:hAnsi="Times New Roman" w:eastAsia="仿宋_GB2312" w:cs="Times New Roman"/>
          <w:sz w:val="32"/>
          <w:szCs w:val="32"/>
          <w:lang w:val="en-US" w:eastAsia="zh-CN"/>
        </w:rPr>
        <w:t>0</w:t>
      </w:r>
      <w:r>
        <w:rPr>
          <w:rFonts w:hint="eastAsia" w:ascii="仿宋_GB2312" w:hAnsi="Times New Roman" w:eastAsia="仿宋_GB2312" w:cs="Times New Roman"/>
          <w:sz w:val="32"/>
          <w:szCs w:val="32"/>
        </w:rPr>
        <w:t>万元，全年支出预算数为</w:t>
      </w:r>
      <w:r>
        <w:rPr>
          <w:rFonts w:hint="eastAsia" w:ascii="仿宋_GB2312" w:hAnsi="仿宋" w:eastAsia="仿宋_GB2312"/>
          <w:sz w:val="32"/>
        </w:rPr>
        <w:t>36,535.64</w:t>
      </w:r>
      <w:r>
        <w:rPr>
          <w:rFonts w:hint="eastAsia" w:ascii="仿宋_GB2312" w:hAnsi="Times New Roman" w:eastAsia="仿宋_GB2312" w:cs="Times New Roman"/>
          <w:sz w:val="32"/>
          <w:szCs w:val="32"/>
        </w:rPr>
        <w:t>万元，资金结转结余率为</w:t>
      </w:r>
      <w:r>
        <w:rPr>
          <w:rFonts w:hint="eastAsia" w:ascii="仿宋_GB2312" w:hAnsi="Times New Roman" w:eastAsia="仿宋_GB2312" w:cs="Times New Roman"/>
          <w:sz w:val="32"/>
          <w:szCs w:val="32"/>
          <w:lang w:val="en-US" w:eastAsia="zh-CN"/>
        </w:rPr>
        <w:t>0</w:t>
      </w:r>
      <w:r>
        <w:rPr>
          <w:rFonts w:ascii="仿宋_GB2312" w:hAnsi="Times New Roman" w:eastAsia="仿宋_GB2312" w:cs="Times New Roman"/>
          <w:sz w:val="32"/>
          <w:szCs w:val="32"/>
        </w:rPr>
        <w:t>%</w:t>
      </w:r>
      <w:r>
        <w:rPr>
          <w:rFonts w:hint="eastAsia" w:ascii="仿宋_GB2312" w:hAnsi="Times New Roman" w:eastAsia="仿宋_GB2312" w:cs="Times New Roman"/>
          <w:sz w:val="32"/>
          <w:szCs w:val="32"/>
        </w:rPr>
        <w:t>；</w:t>
      </w:r>
      <w:r>
        <w:rPr>
          <w:rFonts w:ascii="仿宋_GB2312" w:hAnsi="仿宋" w:eastAsia="仿宋_GB2312" w:cs="Times New Roman"/>
          <w:sz w:val="32"/>
          <w:szCs w:val="32"/>
        </w:rPr>
        <w:t>2023</w:t>
      </w:r>
      <w:r>
        <w:rPr>
          <w:rFonts w:hint="eastAsia" w:ascii="仿宋_GB2312" w:hAnsi="仿宋" w:eastAsia="仿宋_GB2312" w:cs="Times New Roman"/>
          <w:sz w:val="32"/>
          <w:szCs w:val="32"/>
        </w:rPr>
        <w:t>年年末结转结余资金总额为</w:t>
      </w:r>
      <w:r>
        <w:rPr>
          <w:rFonts w:hint="eastAsia" w:ascii="仿宋_GB2312" w:hAnsi="Times New Roman" w:eastAsia="仿宋_GB2312" w:cs="Times New Roman"/>
          <w:sz w:val="32"/>
          <w:szCs w:val="32"/>
          <w:lang w:val="en-US" w:eastAsia="zh-CN"/>
        </w:rPr>
        <w:t>0</w:t>
      </w:r>
      <w:r>
        <w:rPr>
          <w:rFonts w:hint="eastAsia" w:ascii="仿宋_GB2312" w:hAnsi="Times New Roman" w:eastAsia="仿宋_GB2312" w:cs="Times New Roman"/>
          <w:sz w:val="32"/>
          <w:szCs w:val="32"/>
        </w:rPr>
        <w:t>万元，全年支出预算数为</w:t>
      </w:r>
      <w:r>
        <w:rPr>
          <w:rFonts w:hint="eastAsia" w:ascii="仿宋_GB2312" w:hAnsi="Times New Roman" w:eastAsia="仿宋_GB2312" w:cs="Times New Roman"/>
          <w:sz w:val="32"/>
          <w:szCs w:val="32"/>
          <w:lang w:val="en-US" w:eastAsia="zh-CN"/>
        </w:rPr>
        <w:t>26,162.24</w:t>
      </w:r>
      <w:r>
        <w:rPr>
          <w:rFonts w:hint="eastAsia" w:ascii="仿宋_GB2312" w:hAnsi="Times New Roman" w:eastAsia="仿宋_GB2312" w:cs="Times New Roman"/>
          <w:sz w:val="32"/>
          <w:szCs w:val="32"/>
        </w:rPr>
        <w:t>万元，资金结转结余率为</w:t>
      </w:r>
      <w:r>
        <w:rPr>
          <w:rFonts w:hint="eastAsia" w:ascii="仿宋_GB2312" w:hAnsi="Times New Roman" w:eastAsia="仿宋_GB2312" w:cs="Times New Roman"/>
          <w:sz w:val="32"/>
          <w:szCs w:val="32"/>
          <w:lang w:val="en-US" w:eastAsia="zh-CN"/>
        </w:rPr>
        <w:t>0</w:t>
      </w:r>
      <w:r>
        <w:rPr>
          <w:rFonts w:ascii="仿宋_GB2312" w:hAnsi="Times New Roman" w:eastAsia="仿宋_GB2312" w:cs="Times New Roman"/>
          <w:sz w:val="32"/>
          <w:szCs w:val="32"/>
        </w:rPr>
        <w:t>%</w:t>
      </w:r>
      <w:r>
        <w:rPr>
          <w:rFonts w:hint="eastAsia" w:ascii="仿宋_GB2312" w:hAnsi="Times New Roman" w:eastAsia="仿宋_GB2312" w:cs="Times New Roman"/>
          <w:sz w:val="32"/>
          <w:szCs w:val="32"/>
        </w:rPr>
        <w:t>；</w:t>
      </w:r>
      <w:r>
        <w:rPr>
          <w:rFonts w:ascii="仿宋_GB2312" w:hAnsi="Times New Roman" w:eastAsia="仿宋_GB2312" w:cs="Times New Roman"/>
          <w:sz w:val="32"/>
          <w:szCs w:val="32"/>
        </w:rPr>
        <w:t>2024</w:t>
      </w:r>
      <w:r>
        <w:rPr>
          <w:rFonts w:hint="eastAsia" w:ascii="仿宋_GB2312" w:hAnsi="Times New Roman" w:eastAsia="仿宋_GB2312" w:cs="Times New Roman"/>
          <w:sz w:val="32"/>
          <w:szCs w:val="32"/>
        </w:rPr>
        <w:t>年度部门结转结余率较上一年上升</w:t>
      </w:r>
      <w:r>
        <w:rPr>
          <w:rFonts w:ascii="仿宋_GB2312" w:hAnsi="Times New Roman" w:eastAsia="仿宋_GB2312" w:cs="Times New Roman"/>
          <w:sz w:val="32"/>
          <w:szCs w:val="32"/>
        </w:rPr>
        <w:t>/</w:t>
      </w:r>
      <w:r>
        <w:rPr>
          <w:rFonts w:hint="eastAsia" w:ascii="仿宋_GB2312" w:hAnsi="Times New Roman" w:eastAsia="仿宋_GB2312" w:cs="Times New Roman"/>
          <w:sz w:val="32"/>
          <w:szCs w:val="32"/>
        </w:rPr>
        <w:t>下降了</w:t>
      </w:r>
      <w:r>
        <w:rPr>
          <w:rFonts w:hint="eastAsia" w:ascii="仿宋_GB2312" w:hAnsi="Times New Roman" w:eastAsia="仿宋_GB2312" w:cs="Times New Roman"/>
          <w:sz w:val="32"/>
          <w:szCs w:val="32"/>
          <w:lang w:val="en-US" w:eastAsia="zh-CN"/>
        </w:rPr>
        <w:t>0</w:t>
      </w:r>
      <w:r>
        <w:rPr>
          <w:rFonts w:ascii="仿宋_GB2312" w:hAnsi="Times New Roman" w:eastAsia="仿宋_GB2312" w:cs="Times New Roman"/>
          <w:sz w:val="32"/>
          <w:szCs w:val="32"/>
        </w:rPr>
        <w:t>%</w:t>
      </w:r>
      <w:r>
        <w:rPr>
          <w:rFonts w:hint="eastAsia" w:ascii="仿宋_GB2312" w:hAnsi="Times New Roman" w:eastAsia="仿宋_GB2312" w:cs="Times New Roman"/>
          <w:sz w:val="32"/>
          <w:szCs w:val="32"/>
        </w:rPr>
        <w:t>。</w:t>
      </w:r>
    </w:p>
    <w:p>
      <w:pPr>
        <w:spacing w:line="520" w:lineRule="exact"/>
        <w:ind w:firstLine="636" w:firstLineChars="200"/>
        <w:rPr>
          <w:rFonts w:ascii="黑体" w:hAnsi="黑体" w:eastAsia="黑体" w:cs="Times New Roman"/>
          <w:sz w:val="32"/>
          <w:szCs w:val="32"/>
        </w:rPr>
      </w:pPr>
      <w:r>
        <w:rPr>
          <w:rFonts w:hint="eastAsia" w:ascii="黑体" w:hAnsi="黑体" w:eastAsia="黑体" w:cs="Times New Roman"/>
          <w:sz w:val="32"/>
          <w:szCs w:val="32"/>
        </w:rPr>
        <w:t>三、整体绩效目标实现情况</w:t>
      </w:r>
    </w:p>
    <w:p>
      <w:pPr>
        <w:spacing w:line="520" w:lineRule="exact"/>
        <w:ind w:firstLine="636" w:firstLineChars="200"/>
        <w:rPr>
          <w:rFonts w:ascii="楷体_GB2312" w:hAnsi="Times New Roman" w:eastAsia="楷体_GB2312" w:cs="Times New Roman"/>
          <w:sz w:val="32"/>
          <w:szCs w:val="32"/>
        </w:rPr>
      </w:pPr>
      <w:r>
        <w:rPr>
          <w:rFonts w:hint="eastAsia" w:ascii="楷体_GB2312" w:hAnsi="Times New Roman" w:eastAsia="楷体_GB2312" w:cs="Times New Roman"/>
          <w:sz w:val="32"/>
          <w:szCs w:val="32"/>
        </w:rPr>
        <w:t>（一）产出完成情况分析</w:t>
      </w:r>
    </w:p>
    <w:p>
      <w:pPr>
        <w:spacing w:line="520" w:lineRule="exact"/>
        <w:ind w:firstLine="636" w:firstLineChars="200"/>
        <w:rPr>
          <w:rFonts w:hint="eastAsia" w:ascii="仿宋_GB2312" w:hAnsi="Times New Roman" w:eastAsia="仿宋_GB2312" w:cs="Times New Roman"/>
          <w:sz w:val="32"/>
          <w:szCs w:val="32"/>
          <w:lang w:eastAsia="zh-CN"/>
        </w:rPr>
      </w:pPr>
      <w:r>
        <w:rPr>
          <w:rFonts w:ascii="仿宋_GB2312" w:hAnsi="Times New Roman" w:eastAsia="仿宋_GB2312" w:cs="Times New Roman"/>
          <w:sz w:val="32"/>
          <w:szCs w:val="32"/>
        </w:rPr>
        <w:t>1.</w:t>
      </w:r>
      <w:r>
        <w:rPr>
          <w:rFonts w:hint="eastAsia" w:ascii="仿宋_GB2312" w:hAnsi="Times New Roman" w:eastAsia="仿宋_GB2312" w:cs="Times New Roman"/>
          <w:sz w:val="32"/>
          <w:szCs w:val="32"/>
        </w:rPr>
        <w:t>产出数量</w:t>
      </w:r>
      <w:r>
        <w:rPr>
          <w:rFonts w:hint="eastAsia" w:ascii="仿宋_GB2312" w:hAnsi="Times New Roman" w:eastAsia="仿宋_GB2312" w:cs="Times New Roman"/>
          <w:sz w:val="32"/>
          <w:szCs w:val="32"/>
          <w:lang w:eastAsia="zh-CN"/>
        </w:rPr>
        <w:t>：</w:t>
      </w:r>
      <w:r>
        <w:rPr>
          <w:rFonts w:hint="eastAsia" w:ascii="仿宋_GB2312" w:hAnsi="仿宋" w:eastAsia="仿宋_GB2312"/>
          <w:color w:val="000000"/>
          <w:sz w:val="32"/>
        </w:rPr>
        <w:t>行政村数量23个，社区数量1个</w:t>
      </w:r>
    </w:p>
    <w:p>
      <w:pPr>
        <w:spacing w:line="520" w:lineRule="exact"/>
        <w:ind w:firstLine="636" w:firstLineChars="200"/>
        <w:rPr>
          <w:rFonts w:hint="eastAsia" w:ascii="仿宋_GB2312" w:hAnsi="仿宋" w:eastAsia="仿宋_GB2312" w:cs="Times New Roman"/>
          <w:sz w:val="32"/>
          <w:szCs w:val="32"/>
          <w:lang w:val="en-US" w:eastAsia="zh-CN"/>
        </w:rPr>
      </w:pPr>
      <w:r>
        <w:rPr>
          <w:rFonts w:ascii="仿宋_GB2312" w:hAnsi="仿宋" w:eastAsia="仿宋_GB2312" w:cs="Times New Roman"/>
          <w:sz w:val="32"/>
          <w:szCs w:val="32"/>
        </w:rPr>
        <w:t>2.</w:t>
      </w:r>
      <w:r>
        <w:rPr>
          <w:rFonts w:hint="eastAsia" w:ascii="仿宋_GB2312" w:hAnsi="仿宋" w:eastAsia="仿宋_GB2312" w:cs="Times New Roman"/>
          <w:sz w:val="32"/>
          <w:szCs w:val="32"/>
        </w:rPr>
        <w:t>产出质量</w:t>
      </w:r>
      <w:r>
        <w:rPr>
          <w:rFonts w:hint="eastAsia" w:ascii="仿宋_GB2312" w:hAnsi="仿宋" w:eastAsia="仿宋_GB2312" w:cs="Times New Roman"/>
          <w:sz w:val="32"/>
          <w:szCs w:val="32"/>
          <w:lang w:eastAsia="zh-CN"/>
        </w:rPr>
        <w:t>：工作完成质量合格率</w:t>
      </w:r>
      <w:r>
        <w:rPr>
          <w:rFonts w:hint="eastAsia" w:ascii="仿宋_GB2312" w:hAnsi="仿宋" w:eastAsia="仿宋_GB2312" w:cs="Times New Roman"/>
          <w:sz w:val="32"/>
          <w:szCs w:val="32"/>
          <w:lang w:val="en-US" w:eastAsia="zh-CN"/>
        </w:rPr>
        <w:t>&gt;=90%</w:t>
      </w:r>
    </w:p>
    <w:p>
      <w:pPr>
        <w:spacing w:line="520" w:lineRule="exact"/>
        <w:ind w:firstLine="636" w:firstLineChars="200"/>
        <w:rPr>
          <w:rFonts w:hint="eastAsia" w:ascii="仿宋_GB2312" w:hAnsi="仿宋" w:eastAsia="仿宋_GB2312" w:cs="Times New Roman"/>
          <w:sz w:val="32"/>
          <w:szCs w:val="32"/>
          <w:lang w:val="en-US" w:eastAsia="zh-CN"/>
        </w:rPr>
      </w:pPr>
      <w:r>
        <w:rPr>
          <w:rFonts w:ascii="仿宋_GB2312" w:hAnsi="仿宋" w:eastAsia="仿宋_GB2312" w:cs="Times New Roman"/>
          <w:sz w:val="32"/>
          <w:szCs w:val="32"/>
        </w:rPr>
        <w:t>3.</w:t>
      </w:r>
      <w:r>
        <w:rPr>
          <w:rFonts w:hint="eastAsia" w:ascii="仿宋_GB2312" w:hAnsi="仿宋" w:eastAsia="仿宋_GB2312" w:cs="Times New Roman"/>
          <w:sz w:val="32"/>
          <w:szCs w:val="32"/>
        </w:rPr>
        <w:t>产出进度</w:t>
      </w:r>
      <w:r>
        <w:rPr>
          <w:rFonts w:hint="eastAsia" w:ascii="仿宋_GB2312" w:hAnsi="仿宋" w:eastAsia="仿宋_GB2312" w:cs="Times New Roman"/>
          <w:sz w:val="32"/>
          <w:szCs w:val="32"/>
          <w:lang w:eastAsia="zh-CN"/>
        </w:rPr>
        <w:t>：整体完成时效</w:t>
      </w:r>
      <w:r>
        <w:rPr>
          <w:rFonts w:hint="eastAsia" w:ascii="仿宋_GB2312" w:hAnsi="仿宋" w:eastAsia="仿宋_GB2312" w:cs="Times New Roman"/>
          <w:sz w:val="32"/>
          <w:szCs w:val="32"/>
          <w:lang w:val="en-US" w:eastAsia="zh-CN"/>
        </w:rPr>
        <w:t>&gt;=90%</w:t>
      </w:r>
    </w:p>
    <w:p>
      <w:pPr>
        <w:spacing w:line="520" w:lineRule="exact"/>
        <w:ind w:firstLine="636" w:firstLineChars="200"/>
        <w:rPr>
          <w:rFonts w:hint="eastAsia" w:ascii="仿宋_GB2312" w:hAnsi="仿宋" w:eastAsia="仿宋_GB2312" w:cs="Times New Roman"/>
          <w:sz w:val="32"/>
          <w:szCs w:val="32"/>
          <w:lang w:val="en-US" w:eastAsia="zh-CN"/>
        </w:rPr>
      </w:pPr>
      <w:r>
        <w:rPr>
          <w:rFonts w:ascii="仿宋_GB2312" w:hAnsi="仿宋" w:eastAsia="仿宋_GB2312" w:cs="Times New Roman"/>
          <w:sz w:val="32"/>
          <w:szCs w:val="32"/>
        </w:rPr>
        <w:t>4.</w:t>
      </w:r>
      <w:r>
        <w:rPr>
          <w:rFonts w:hint="eastAsia" w:ascii="仿宋_GB2312" w:hAnsi="仿宋" w:eastAsia="仿宋_GB2312" w:cs="Times New Roman"/>
          <w:sz w:val="32"/>
          <w:szCs w:val="32"/>
        </w:rPr>
        <w:t>产出成本</w:t>
      </w:r>
      <w:r>
        <w:rPr>
          <w:rFonts w:hint="eastAsia" w:ascii="仿宋_GB2312" w:hAnsi="仿宋" w:eastAsia="仿宋_GB2312" w:cs="Times New Roman"/>
          <w:sz w:val="32"/>
          <w:szCs w:val="32"/>
          <w:lang w:eastAsia="zh-CN"/>
        </w:rPr>
        <w:t>：预算控制数为</w:t>
      </w:r>
      <w:r>
        <w:rPr>
          <w:rFonts w:hint="eastAsia" w:ascii="仿宋_GB2312" w:hAnsi="仿宋" w:eastAsia="仿宋_GB2312" w:cs="Times New Roman"/>
          <w:sz w:val="32"/>
          <w:szCs w:val="32"/>
          <w:lang w:val="en-US" w:eastAsia="zh-CN"/>
        </w:rPr>
        <w:t>36,535.64万元</w:t>
      </w:r>
    </w:p>
    <w:p>
      <w:pPr>
        <w:spacing w:line="520" w:lineRule="exact"/>
        <w:ind w:firstLine="636" w:firstLineChars="200"/>
        <w:rPr>
          <w:rFonts w:ascii="楷体_GB2312" w:hAnsi="Times New Roman" w:eastAsia="楷体_GB2312" w:cs="Times New Roman"/>
          <w:sz w:val="32"/>
          <w:szCs w:val="32"/>
        </w:rPr>
      </w:pPr>
      <w:r>
        <w:rPr>
          <w:rFonts w:hint="eastAsia" w:ascii="楷体_GB2312" w:hAnsi="Times New Roman" w:eastAsia="楷体_GB2312" w:cs="Times New Roman"/>
          <w:sz w:val="32"/>
          <w:szCs w:val="32"/>
        </w:rPr>
        <w:t>（二）效果实现情况分析</w:t>
      </w:r>
    </w:p>
    <w:p>
      <w:pPr>
        <w:spacing w:beforeLines="0" w:afterLines="0" w:line="520" w:lineRule="exact"/>
        <w:ind w:firstLine="636" w:firstLineChars="200"/>
        <w:rPr>
          <w:rFonts w:hint="eastAsia" w:ascii="仿宋_GB2312" w:hAnsi="仿宋" w:eastAsia="仿宋_GB2312"/>
          <w:color w:val="000000"/>
          <w:sz w:val="32"/>
        </w:rPr>
      </w:pPr>
      <w:r>
        <w:rPr>
          <w:rFonts w:hint="eastAsia" w:ascii="仿宋_GB2312" w:hAnsi="仿宋" w:eastAsia="仿宋_GB2312"/>
          <w:color w:val="000000"/>
          <w:sz w:val="32"/>
        </w:rPr>
        <w:t>1.经济效益</w:t>
      </w:r>
    </w:p>
    <w:p>
      <w:pPr>
        <w:spacing w:beforeLines="0" w:afterLines="0" w:line="520" w:lineRule="exact"/>
        <w:ind w:firstLine="636" w:firstLineChars="200"/>
        <w:rPr>
          <w:rFonts w:hint="eastAsia" w:ascii="仿宋_GB2312" w:hAnsi="仿宋" w:eastAsia="仿宋_GB2312"/>
          <w:color w:val="000000"/>
          <w:sz w:val="32"/>
        </w:rPr>
      </w:pPr>
      <w:r>
        <w:rPr>
          <w:rFonts w:hint="eastAsia" w:ascii="仿宋_GB2312" w:hAnsi="仿宋" w:eastAsia="仿宋_GB2312"/>
          <w:color w:val="000000"/>
          <w:sz w:val="32"/>
        </w:rPr>
        <w:t>通过项目实施，提高农民经济收入。</w:t>
      </w:r>
    </w:p>
    <w:p>
      <w:pPr>
        <w:spacing w:beforeLines="0" w:afterLines="0" w:line="520" w:lineRule="exact"/>
        <w:ind w:firstLine="636" w:firstLineChars="200"/>
        <w:rPr>
          <w:rFonts w:hint="eastAsia" w:ascii="仿宋_GB2312" w:hAnsi="仿宋" w:eastAsia="仿宋_GB2312"/>
          <w:color w:val="000000"/>
          <w:sz w:val="32"/>
        </w:rPr>
      </w:pPr>
      <w:r>
        <w:rPr>
          <w:rFonts w:hint="eastAsia" w:ascii="仿宋_GB2312" w:hAnsi="仿宋" w:eastAsia="仿宋_GB2312"/>
          <w:color w:val="000000"/>
          <w:sz w:val="32"/>
        </w:rPr>
        <w:t>2.社会效益</w:t>
      </w:r>
    </w:p>
    <w:p>
      <w:pPr>
        <w:spacing w:beforeLines="0" w:afterLines="0" w:line="520" w:lineRule="exact"/>
        <w:ind w:firstLine="636" w:firstLineChars="200"/>
        <w:rPr>
          <w:rFonts w:hint="eastAsia" w:ascii="仿宋_GB2312" w:hAnsi="仿宋" w:eastAsia="仿宋_GB2312"/>
          <w:sz w:val="32"/>
        </w:rPr>
      </w:pPr>
      <w:r>
        <w:rPr>
          <w:rFonts w:hint="eastAsia" w:ascii="仿宋_GB2312" w:hAnsi="仿宋" w:eastAsia="仿宋_GB2312"/>
          <w:sz w:val="32"/>
        </w:rPr>
        <w:t>提高政府、村委会办公效率，更好的提供社会服务；保障居民收入，提高居民生活水平；通过工程的实施，继续完善基础设施建设水平，加强我镇生态保护力度，改善居民生活条件。</w:t>
      </w:r>
    </w:p>
    <w:p>
      <w:pPr>
        <w:spacing w:beforeLines="0" w:afterLines="0" w:line="520" w:lineRule="exact"/>
        <w:ind w:firstLine="636" w:firstLineChars="200"/>
        <w:rPr>
          <w:rFonts w:hint="eastAsia" w:ascii="仿宋_GB2312" w:hAnsi="仿宋" w:eastAsia="仿宋_GB2312"/>
          <w:color w:val="000000"/>
          <w:sz w:val="32"/>
        </w:rPr>
      </w:pPr>
      <w:r>
        <w:rPr>
          <w:rFonts w:hint="eastAsia" w:ascii="仿宋_GB2312" w:hAnsi="仿宋" w:eastAsia="仿宋_GB2312"/>
          <w:color w:val="000000"/>
          <w:sz w:val="32"/>
        </w:rPr>
        <w:t>3.环境效益</w:t>
      </w:r>
    </w:p>
    <w:p>
      <w:pPr>
        <w:spacing w:beforeLines="0" w:afterLines="0" w:line="520" w:lineRule="exact"/>
        <w:ind w:firstLine="636" w:firstLineChars="200"/>
        <w:rPr>
          <w:rFonts w:hint="eastAsia" w:ascii="仿宋_GB2312" w:hAnsi="仿宋" w:eastAsia="仿宋_GB2312"/>
          <w:color w:val="000000"/>
          <w:sz w:val="32"/>
        </w:rPr>
      </w:pPr>
      <w:r>
        <w:rPr>
          <w:rFonts w:hint="eastAsia" w:ascii="仿宋_GB2312" w:hAnsi="仿宋" w:eastAsia="仿宋_GB2312"/>
          <w:color w:val="000000"/>
          <w:sz w:val="32"/>
        </w:rPr>
        <w:t>通过投入，提高人居环境水平，镇村面貌焕然一新，新农村建设稳步提升，群众生活明显改善，社会秩序平安稳定。</w:t>
      </w:r>
    </w:p>
    <w:p>
      <w:pPr>
        <w:spacing w:beforeLines="0" w:afterLines="0" w:line="520" w:lineRule="exact"/>
        <w:ind w:firstLine="636" w:firstLineChars="200"/>
        <w:rPr>
          <w:rFonts w:hint="eastAsia" w:ascii="仿宋_GB2312" w:hAnsi="仿宋" w:eastAsia="仿宋_GB2312"/>
          <w:color w:val="000000"/>
          <w:sz w:val="32"/>
        </w:rPr>
      </w:pPr>
      <w:r>
        <w:rPr>
          <w:rFonts w:hint="eastAsia" w:ascii="仿宋_GB2312" w:hAnsi="仿宋" w:eastAsia="仿宋_GB2312"/>
          <w:color w:val="000000"/>
          <w:sz w:val="32"/>
        </w:rPr>
        <w:t>4.可持续影响</w:t>
      </w:r>
    </w:p>
    <w:p>
      <w:pPr>
        <w:spacing w:beforeLines="0" w:afterLines="0" w:line="520" w:lineRule="exact"/>
        <w:ind w:firstLine="636" w:firstLineChars="200"/>
        <w:rPr>
          <w:rFonts w:hint="eastAsia" w:ascii="仿宋_GB2312" w:hAnsi="仿宋" w:eastAsia="仿宋_GB2312"/>
          <w:color w:val="000000"/>
          <w:sz w:val="32"/>
        </w:rPr>
      </w:pPr>
      <w:r>
        <w:rPr>
          <w:rFonts w:hint="eastAsia" w:ascii="仿宋_GB2312" w:hAnsi="仿宋" w:eastAsia="仿宋_GB2312"/>
          <w:color w:val="000000"/>
          <w:sz w:val="32"/>
        </w:rPr>
        <w:t>可持续影响时间大于1年。</w:t>
      </w:r>
    </w:p>
    <w:p>
      <w:pPr>
        <w:spacing w:beforeLines="0" w:afterLines="0" w:line="520" w:lineRule="exact"/>
        <w:ind w:firstLine="636" w:firstLineChars="200"/>
        <w:rPr>
          <w:rFonts w:hint="eastAsia" w:ascii="仿宋_GB2312" w:hAnsi="仿宋" w:eastAsia="仿宋_GB2312"/>
          <w:color w:val="000000"/>
          <w:sz w:val="32"/>
        </w:rPr>
      </w:pPr>
      <w:r>
        <w:rPr>
          <w:rFonts w:hint="eastAsia" w:ascii="仿宋_GB2312" w:hAnsi="仿宋" w:eastAsia="仿宋_GB2312"/>
          <w:color w:val="000000"/>
          <w:sz w:val="32"/>
        </w:rPr>
        <w:t>5.服务对象满意度</w:t>
      </w:r>
    </w:p>
    <w:p>
      <w:pPr>
        <w:spacing w:beforeLines="0" w:afterLines="0" w:line="520" w:lineRule="exact"/>
        <w:ind w:firstLine="636" w:firstLineChars="200"/>
        <w:rPr>
          <w:rFonts w:hint="eastAsia" w:ascii="仿宋_GB2312" w:hAnsi="仿宋" w:eastAsia="仿宋_GB2312"/>
          <w:color w:val="000000"/>
          <w:sz w:val="32"/>
        </w:rPr>
      </w:pPr>
      <w:r>
        <w:rPr>
          <w:rFonts w:hint="eastAsia" w:ascii="仿宋_GB2312" w:hAnsi="仿宋" w:eastAsia="仿宋_GB2312"/>
          <w:color w:val="000000"/>
          <w:sz w:val="32"/>
        </w:rPr>
        <w:t>机关干部职工满意率达到90%以上，村居及镇域内服务群众满意度达85%以上。</w:t>
      </w:r>
    </w:p>
    <w:p>
      <w:pPr>
        <w:spacing w:line="520" w:lineRule="exact"/>
        <w:ind w:firstLine="636" w:firstLineChars="200"/>
        <w:rPr>
          <w:rFonts w:ascii="黑体" w:hAnsi="黑体" w:eastAsia="黑体" w:cs="Times New Roman"/>
          <w:sz w:val="32"/>
          <w:szCs w:val="32"/>
        </w:rPr>
      </w:pPr>
      <w:r>
        <w:rPr>
          <w:rFonts w:hint="eastAsia" w:ascii="黑体" w:hAnsi="黑体" w:eastAsia="黑体" w:cs="Times New Roman"/>
          <w:sz w:val="32"/>
          <w:szCs w:val="32"/>
        </w:rPr>
        <w:t>四、预算管理情况分析</w:t>
      </w:r>
    </w:p>
    <w:p>
      <w:pPr>
        <w:spacing w:line="520" w:lineRule="exact"/>
        <w:ind w:firstLine="636" w:firstLineChars="200"/>
        <w:rPr>
          <w:rFonts w:hint="eastAsia" w:ascii="仿宋_GB2312" w:hAnsi="仿宋" w:eastAsia="仿宋_GB2312" w:cs="Times New Roman"/>
          <w:sz w:val="32"/>
          <w:szCs w:val="32"/>
        </w:rPr>
      </w:pPr>
      <w:r>
        <w:rPr>
          <w:rFonts w:hint="eastAsia" w:ascii="仿宋_GB2312" w:hAnsi="仿宋" w:eastAsia="仿宋_GB2312" w:cs="Times New Roman"/>
          <w:sz w:val="32"/>
          <w:szCs w:val="32"/>
        </w:rPr>
        <w:t>为保障经济活动内部控制体系设计合理和实施有效，加强经济活动内部控制体系的监督检查和自我评价，建立内部控制体系的长效机制，提升风险管控水平，结合雁翅镇实际情况，制定了《雁翅镇经济活动内部控制体系监督评价办法》。根据《会计法》等相关规定，结合实际情况，制定了《雁翅镇会计基础工作管理办法》，规范会计行为，做好会计基础工作。根据内控管理相关规定，制定了《雁翅镇财政科内部稽核管理办法》，以加强财政科内部管理，保障资金安全高效运行并防范财务风险。为进一步加强雁翅镇财政财务管理工作，规范收入支出管理，保障资金安全，提高资金使用效益，制订了《雁翅镇收入支出管理办法》、《雁翅镇发票管理办法》、《雁翅镇现金管理办法》、《雁翅镇银行账户管理办法》、《雁翅镇支票管理办法》、《雁翅镇公务卡管理办法》。</w:t>
      </w:r>
    </w:p>
    <w:p>
      <w:pPr>
        <w:spacing w:line="520" w:lineRule="exact"/>
        <w:ind w:firstLine="636" w:firstLineChars="200"/>
        <w:rPr>
          <w:rFonts w:ascii="楷体_GB2312" w:hAnsi="Times New Roman" w:eastAsia="楷体_GB2312" w:cs="Times New Roman"/>
          <w:sz w:val="32"/>
          <w:szCs w:val="32"/>
        </w:rPr>
      </w:pPr>
      <w:r>
        <w:rPr>
          <w:rFonts w:hint="eastAsia" w:ascii="楷体_GB2312" w:hAnsi="Times New Roman" w:eastAsia="楷体_GB2312" w:cs="Times New Roman"/>
          <w:sz w:val="32"/>
          <w:szCs w:val="32"/>
        </w:rPr>
        <w:t>（二）资产管理</w:t>
      </w:r>
    </w:p>
    <w:p>
      <w:pPr>
        <w:spacing w:line="520" w:lineRule="exact"/>
        <w:ind w:firstLine="636" w:firstLineChars="200"/>
        <w:rPr>
          <w:rFonts w:hint="eastAsia" w:ascii="仿宋_GB2312" w:hAnsi="仿宋" w:eastAsia="仿宋_GB2312" w:cs="Times New Roman"/>
          <w:sz w:val="32"/>
          <w:szCs w:val="32"/>
        </w:rPr>
      </w:pPr>
      <w:r>
        <w:rPr>
          <w:rFonts w:hint="eastAsia" w:ascii="仿宋_GB2312" w:hAnsi="仿宋" w:eastAsia="仿宋_GB2312" w:cs="Times New Roman"/>
          <w:sz w:val="32"/>
          <w:szCs w:val="32"/>
        </w:rPr>
        <w:t>为加强固定资产管理，提高资产的使用效益，保障资产安全，根据固定资产管理相关规定，结合雁翅镇实际情况，制定了雁翅镇固定资产管理办法。固定资产的管理和使用遵循资产管理与预算管理相结合、资产管理与财务管理相结合、实物管理与价值管理相结合、集中与分级管理相结合的基本原则，做到统一政策、统一领导、责任到人、物尽其用。</w:t>
      </w:r>
    </w:p>
    <w:p>
      <w:pPr>
        <w:spacing w:line="520" w:lineRule="exact"/>
        <w:ind w:firstLine="636" w:firstLineChars="200"/>
        <w:rPr>
          <w:rFonts w:hint="eastAsia" w:ascii="仿宋_GB2312" w:hAnsi="仿宋" w:eastAsia="仿宋_GB2312" w:cs="Times New Roman"/>
          <w:sz w:val="32"/>
          <w:szCs w:val="32"/>
        </w:rPr>
      </w:pPr>
      <w:r>
        <w:rPr>
          <w:rFonts w:hint="eastAsia" w:ascii="仿宋_GB2312" w:hAnsi="仿宋" w:eastAsia="仿宋_GB2312" w:cs="Times New Roman"/>
          <w:sz w:val="32"/>
          <w:szCs w:val="32"/>
        </w:rPr>
        <w:t>镇办公室为固定资产综合管理部门，办公室负债固定资产的采购和事物管理工作，财务负债固定资产账务管理工作，各科室负债本科室固定资产的日常管理工作。在固定资产日常管理中，各科室加强固定资产日常管理。</w:t>
      </w:r>
    </w:p>
    <w:p>
      <w:pPr>
        <w:spacing w:line="520" w:lineRule="exact"/>
        <w:ind w:firstLine="636" w:firstLineChars="200"/>
        <w:rPr>
          <w:rFonts w:ascii="楷体_GB2312" w:hAnsi="Times New Roman" w:eastAsia="楷体_GB2312" w:cs="Times New Roman"/>
          <w:sz w:val="32"/>
          <w:szCs w:val="32"/>
        </w:rPr>
      </w:pPr>
      <w:r>
        <w:rPr>
          <w:rFonts w:hint="eastAsia" w:ascii="楷体_GB2312" w:hAnsi="Times New Roman" w:eastAsia="楷体_GB2312" w:cs="Times New Roman"/>
          <w:sz w:val="32"/>
          <w:szCs w:val="32"/>
        </w:rPr>
        <w:t>（三）绩效管理</w:t>
      </w:r>
    </w:p>
    <w:p>
      <w:pPr>
        <w:spacing w:line="520" w:lineRule="exact"/>
        <w:ind w:firstLine="636" w:firstLineChars="200"/>
        <w:rPr>
          <w:rFonts w:hint="eastAsia" w:ascii="仿宋_GB2312" w:hAnsi="仿宋" w:eastAsia="仿宋_GB2312" w:cs="Times New Roman"/>
          <w:sz w:val="32"/>
          <w:szCs w:val="32"/>
        </w:rPr>
      </w:pPr>
      <w:r>
        <w:rPr>
          <w:rFonts w:ascii="仿宋_GB2312" w:hAnsi="仿宋" w:eastAsia="仿宋_GB2312" w:cs="Times New Roman"/>
          <w:sz w:val="32"/>
          <w:szCs w:val="32"/>
        </w:rPr>
        <w:t>1.</w:t>
      </w:r>
      <w:r>
        <w:rPr>
          <w:rFonts w:hint="eastAsia" w:ascii="仿宋_GB2312" w:hAnsi="仿宋" w:eastAsia="仿宋_GB2312" w:cs="Times New Roman"/>
          <w:sz w:val="32"/>
          <w:szCs w:val="32"/>
        </w:rPr>
        <w:t>预算绩效管理制度情况</w:t>
      </w:r>
    </w:p>
    <w:p>
      <w:pPr>
        <w:spacing w:line="520" w:lineRule="exact"/>
        <w:ind w:firstLine="636" w:firstLineChars="200"/>
        <w:rPr>
          <w:rFonts w:hint="eastAsia" w:ascii="仿宋_GB2312" w:hAnsi="仿宋" w:eastAsia="仿宋_GB2312" w:cs="Times New Roman"/>
          <w:sz w:val="32"/>
          <w:szCs w:val="32"/>
        </w:rPr>
      </w:pPr>
      <w:r>
        <w:rPr>
          <w:rFonts w:hint="eastAsia" w:ascii="仿宋_GB2312" w:hAnsi="仿宋" w:eastAsia="仿宋_GB2312" w:cs="Times New Roman"/>
          <w:sz w:val="32"/>
          <w:szCs w:val="32"/>
        </w:rPr>
        <w:t>为加强雁翅镇财政预决算管理，规范操作程序，确保财政资金科学合理安排和使用，有效促进镇域经济和社会事业的发展，根据《中华人民共和国预算法》和区财政预决算管理的相关规定，结合本镇实际，制订了《雁翅镇预决算管理办法》。预算管理的基本原则是坚持综合预算，各项收支均应纳入财政预算管理；保证重点，兼顾一般，确保各项任务的完成；统筹兼顾、勤俭节约、量力而行、讲求绩效和收支平衡；注重资金的规范管理和使用，严格审批程序。管理制度的内容包括：</w:t>
      </w:r>
    </w:p>
    <w:p>
      <w:pPr>
        <w:spacing w:line="520" w:lineRule="exact"/>
        <w:ind w:firstLine="636" w:firstLineChars="200"/>
        <w:rPr>
          <w:rFonts w:hint="eastAsia" w:ascii="仿宋_GB2312" w:hAnsi="仿宋" w:eastAsia="仿宋_GB2312" w:cs="Times New Roman"/>
          <w:sz w:val="32"/>
          <w:szCs w:val="32"/>
        </w:rPr>
      </w:pPr>
      <w:r>
        <w:rPr>
          <w:rFonts w:hint="eastAsia" w:ascii="仿宋_GB2312" w:hAnsi="仿宋" w:eastAsia="仿宋_GB2312" w:cs="Times New Roman"/>
          <w:sz w:val="32"/>
          <w:szCs w:val="32"/>
        </w:rPr>
        <w:t>（1）预算编制工作</w:t>
      </w:r>
    </w:p>
    <w:p>
      <w:pPr>
        <w:spacing w:line="520" w:lineRule="exact"/>
        <w:ind w:firstLine="636" w:firstLineChars="200"/>
        <w:rPr>
          <w:rFonts w:hint="eastAsia" w:ascii="仿宋_GB2312" w:hAnsi="仿宋" w:eastAsia="仿宋_GB2312" w:cs="Times New Roman"/>
          <w:sz w:val="32"/>
          <w:szCs w:val="32"/>
        </w:rPr>
      </w:pPr>
      <w:r>
        <w:rPr>
          <w:rFonts w:hint="eastAsia" w:ascii="仿宋_GB2312" w:hAnsi="仿宋" w:eastAsia="仿宋_GB2312" w:cs="Times New Roman"/>
          <w:sz w:val="32"/>
          <w:szCs w:val="32"/>
        </w:rPr>
        <w:t xml:space="preserve"> 预算编制的内容包括收入预算、支出预算和政府采购预算。预算编制程序是实行科室申报，财政科审核汇总，镇党委会议研究决定，财政科具体编制，财政局预算批复，镇人代会审查批准等六个工作步骤进行。</w:t>
      </w:r>
    </w:p>
    <w:p>
      <w:pPr>
        <w:spacing w:line="520" w:lineRule="exact"/>
        <w:ind w:firstLine="636" w:firstLineChars="200"/>
        <w:rPr>
          <w:rFonts w:hint="eastAsia" w:ascii="仿宋_GB2312" w:hAnsi="仿宋" w:eastAsia="仿宋_GB2312" w:cs="Times New Roman"/>
          <w:sz w:val="32"/>
          <w:szCs w:val="32"/>
        </w:rPr>
      </w:pPr>
      <w:r>
        <w:rPr>
          <w:rFonts w:hint="eastAsia" w:ascii="仿宋_GB2312" w:hAnsi="仿宋" w:eastAsia="仿宋_GB2312" w:cs="Times New Roman"/>
          <w:sz w:val="32"/>
          <w:szCs w:val="32"/>
        </w:rPr>
        <w:t>（2）预算执行工作</w:t>
      </w:r>
    </w:p>
    <w:p>
      <w:pPr>
        <w:spacing w:line="520" w:lineRule="exact"/>
        <w:ind w:firstLine="636" w:firstLineChars="200"/>
        <w:rPr>
          <w:rFonts w:hint="eastAsia" w:ascii="仿宋_GB2312" w:hAnsi="仿宋" w:eastAsia="仿宋_GB2312" w:cs="Times New Roman"/>
          <w:sz w:val="32"/>
          <w:szCs w:val="32"/>
        </w:rPr>
      </w:pPr>
      <w:r>
        <w:rPr>
          <w:rFonts w:hint="eastAsia" w:ascii="仿宋_GB2312" w:hAnsi="仿宋" w:eastAsia="仿宋_GB2312" w:cs="Times New Roman"/>
          <w:sz w:val="32"/>
          <w:szCs w:val="32"/>
        </w:rPr>
        <w:t>财政支出预算执行，实行分类管理制度。一是3万元（不含）以下的工程类项目建设资金支出，1万元以下（不含）以下的非工程类项目资金支出需经政府专题会议研究通过。二是年度预算安排的单笔3-50万元（不含）镇政府实施的工程类项目资金支出；年度预算安排的除镇政府实施的工程类项目外单笔1-30万元（不含）的其他资金支出，年度预算安排以外的3万元（不含）以下的资金支出需经政府办公会研究通过。三是年度预算安排的单笔50万元（含）以上镇政府实施的工程类项目资金支出，年度预算安排的除镇政府实施的工程类项目外单笔30万元（含）以上的其他资金支出，年度预算安排以外的3万元（含）以上的资金支出需经镇党委会议研究通过。各科室按照本办法相关规定和雁翅镇议事决策管理办法的要求，在年度预算范围内履行预算执行申请审批程序和资金支付审批程序后执行。</w:t>
      </w:r>
    </w:p>
    <w:p>
      <w:pPr>
        <w:spacing w:line="520" w:lineRule="exact"/>
        <w:ind w:firstLine="636" w:firstLineChars="200"/>
        <w:rPr>
          <w:rFonts w:hint="eastAsia" w:ascii="仿宋_GB2312" w:hAnsi="仿宋" w:eastAsia="仿宋_GB2312" w:cs="Times New Roman"/>
          <w:sz w:val="32"/>
          <w:szCs w:val="32"/>
        </w:rPr>
      </w:pPr>
      <w:r>
        <w:rPr>
          <w:rFonts w:hint="eastAsia" w:ascii="仿宋_GB2312" w:hAnsi="仿宋" w:eastAsia="仿宋_GB2312" w:cs="Times New Roman"/>
          <w:sz w:val="32"/>
          <w:szCs w:val="32"/>
        </w:rPr>
        <w:t>预算执行申请审批程序：由用款科室先行按照《雁翅镇关于规范党政领导班子议事规则的实施细则（试行）》要求，提交相应会议决策后填写《雁翅镇预算执行申请审批表》，并由经办人签字、经科室负责人审核、科室主管领导审批后，交财政科，财政科收到《雁翅镇预算执行申请审批表》后，预算会计根据年度下达的预算和执行情况，核实预算资金来源后，提出资金安排意见，经财政科长、财政主管领导审核后，交镇主要领导审批。</w:t>
      </w:r>
    </w:p>
    <w:p>
      <w:pPr>
        <w:spacing w:line="520" w:lineRule="exact"/>
        <w:ind w:firstLine="636" w:firstLineChars="200"/>
        <w:rPr>
          <w:rFonts w:hint="eastAsia" w:ascii="仿宋_GB2312" w:hAnsi="仿宋" w:eastAsia="仿宋_GB2312" w:cs="Times New Roman"/>
          <w:sz w:val="32"/>
          <w:szCs w:val="32"/>
        </w:rPr>
      </w:pPr>
      <w:r>
        <w:rPr>
          <w:rFonts w:hint="eastAsia" w:ascii="仿宋_GB2312" w:hAnsi="仿宋" w:eastAsia="仿宋_GB2312" w:cs="Times New Roman"/>
          <w:sz w:val="32"/>
          <w:szCs w:val="32"/>
        </w:rPr>
        <w:t>资金支付审批程序：由用款科室填写《雁翅镇资金支付审批表》，并由经办人签字、科室负责人审核、主管领导审批后交财政科，财政科会计提出支付意见后，经财政科长审核，财政主管领导审批后办理资金支付。</w:t>
      </w:r>
    </w:p>
    <w:p>
      <w:pPr>
        <w:spacing w:line="520" w:lineRule="exact"/>
        <w:ind w:firstLine="636" w:firstLineChars="200"/>
        <w:rPr>
          <w:rFonts w:hint="eastAsia" w:ascii="仿宋_GB2312" w:hAnsi="仿宋" w:eastAsia="仿宋_GB2312" w:cs="Times New Roman"/>
          <w:sz w:val="32"/>
          <w:szCs w:val="32"/>
        </w:rPr>
      </w:pPr>
      <w:r>
        <w:rPr>
          <w:rFonts w:hint="eastAsia" w:ascii="仿宋_GB2312" w:hAnsi="仿宋" w:eastAsia="仿宋_GB2312" w:cs="Times New Roman"/>
          <w:sz w:val="32"/>
          <w:szCs w:val="32"/>
        </w:rPr>
        <w:t>我镇预算公开工作，按照区财政统一部署，进行向社会公开工作。雁翅镇建立预决算信息内部公开制度，内部信息公开内容包括年度预算内部信息公开、年度决算内部信息公开和年度预算执行情况按季内部信息公开三部分。符合财政部门的管理要求。</w:t>
      </w:r>
    </w:p>
    <w:p>
      <w:pPr>
        <w:numPr>
          <w:ilvl w:val="0"/>
          <w:numId w:val="0"/>
        </w:numPr>
        <w:spacing w:line="520" w:lineRule="exact"/>
        <w:ind w:left="634" w:leftChars="0"/>
        <w:rPr>
          <w:rFonts w:hint="eastAsia" w:ascii="仿宋_GB2312" w:hAnsi="仿宋" w:eastAsia="仿宋_GB2312" w:cs="Times New Roman"/>
          <w:sz w:val="32"/>
          <w:szCs w:val="32"/>
        </w:rPr>
      </w:pPr>
      <w:r>
        <w:rPr>
          <w:rFonts w:hint="eastAsia" w:ascii="仿宋_GB2312" w:hAnsi="仿宋" w:eastAsia="仿宋_GB2312" w:cs="Times New Roman"/>
          <w:sz w:val="32"/>
          <w:szCs w:val="32"/>
          <w:lang w:val="en-US" w:eastAsia="zh-CN"/>
        </w:rPr>
        <w:t>2.</w:t>
      </w:r>
      <w:r>
        <w:rPr>
          <w:rFonts w:hint="eastAsia" w:ascii="仿宋_GB2312" w:hAnsi="仿宋" w:eastAsia="仿宋_GB2312" w:cs="Times New Roman"/>
          <w:sz w:val="32"/>
          <w:szCs w:val="32"/>
        </w:rPr>
        <w:t>绩效目标管理情况</w:t>
      </w:r>
    </w:p>
    <w:p>
      <w:pPr>
        <w:spacing w:line="520" w:lineRule="exact"/>
        <w:ind w:firstLine="636" w:firstLineChars="200"/>
        <w:rPr>
          <w:rFonts w:hint="eastAsia" w:ascii="仿宋_GB2312" w:hAnsi="仿宋" w:eastAsia="仿宋_GB2312" w:cs="Times New Roman"/>
          <w:sz w:val="32"/>
          <w:szCs w:val="32"/>
        </w:rPr>
      </w:pPr>
      <w:r>
        <w:rPr>
          <w:rFonts w:hint="eastAsia" w:ascii="仿宋_GB2312" w:hAnsi="仿宋" w:eastAsia="仿宋_GB2312" w:cs="Times New Roman"/>
          <w:sz w:val="32"/>
          <w:szCs w:val="32"/>
        </w:rPr>
        <w:t>建立并设置绩效管理组织机构，通过在预算上报过程中，对</w:t>
      </w:r>
      <w:bookmarkStart w:id="4" w:name="_GoBack"/>
      <w:r>
        <w:rPr>
          <w:rFonts w:hint="eastAsia" w:ascii="仿宋_GB2312" w:hAnsi="仿宋" w:eastAsia="仿宋_GB2312" w:cs="Times New Roman"/>
          <w:sz w:val="32"/>
          <w:szCs w:val="32"/>
        </w:rPr>
        <w:t>所报预算项目绩效目标的填报情况进行梳理；以及对预算项目绩效目标完成审核，确定项目所设立的绩效目标有依据、有数据、落实处；再通过一年来对预算项目的绩效目标具体实施和管理情况的追踪，对绩效信息进行情况收集及结果管理，通过收集到的信息和实施管理的结果，对绩效管理组织机构和预算科室进行反馈，强化绩效管理，提升绩效目标。</w:t>
      </w:r>
    </w:p>
    <w:p>
      <w:pPr>
        <w:spacing w:line="520" w:lineRule="exact"/>
        <w:ind w:firstLine="636" w:firstLineChars="200"/>
        <w:rPr>
          <w:rFonts w:ascii="仿宋_GB2312" w:hAnsi="微软雅黑" w:eastAsia="仿宋_GB2312" w:cs="微软雅黑"/>
          <w:color w:val="404040"/>
          <w:sz w:val="32"/>
          <w:szCs w:val="32"/>
          <w:shd w:val="clear" w:color="auto" w:fill="FFFFFF"/>
        </w:rPr>
      </w:pPr>
      <w:r>
        <w:rPr>
          <w:rFonts w:ascii="仿宋_GB2312" w:hAnsi="微软雅黑" w:eastAsia="仿宋_GB2312" w:cs="微软雅黑"/>
          <w:color w:val="404040"/>
          <w:sz w:val="32"/>
          <w:szCs w:val="32"/>
          <w:shd w:val="clear" w:color="auto" w:fill="FFFFFF"/>
        </w:rPr>
        <w:t>202</w:t>
      </w:r>
      <w:r>
        <w:rPr>
          <w:rFonts w:hint="eastAsia" w:ascii="仿宋_GB2312" w:hAnsi="微软雅黑" w:eastAsia="仿宋_GB2312" w:cs="微软雅黑"/>
          <w:color w:val="404040"/>
          <w:sz w:val="32"/>
          <w:szCs w:val="32"/>
          <w:shd w:val="clear" w:color="auto" w:fill="FFFFFF"/>
          <w:lang w:val="en-US" w:eastAsia="zh-CN"/>
        </w:rPr>
        <w:t>4</w:t>
      </w:r>
      <w:r>
        <w:rPr>
          <w:rFonts w:hint="eastAsia" w:ascii="仿宋_GB2312" w:hAnsi="微软雅黑" w:eastAsia="仿宋_GB2312" w:cs="微软雅黑"/>
          <w:color w:val="404040"/>
          <w:sz w:val="32"/>
          <w:szCs w:val="32"/>
          <w:shd w:val="clear" w:color="auto" w:fill="FFFFFF"/>
        </w:rPr>
        <w:t>年部门预算项目</w:t>
      </w:r>
      <w:r>
        <w:rPr>
          <w:rFonts w:hint="eastAsia" w:ascii="仿宋_GB2312" w:hAnsi="微软雅黑" w:eastAsia="仿宋_GB2312" w:cs="微软雅黑"/>
          <w:color w:val="404040"/>
          <w:sz w:val="32"/>
          <w:szCs w:val="32"/>
          <w:shd w:val="clear" w:color="auto" w:fill="FFFFFF"/>
          <w:lang w:val="en-US" w:eastAsia="zh-CN"/>
        </w:rPr>
        <w:t>58</w:t>
      </w:r>
      <w:r>
        <w:rPr>
          <w:rFonts w:hint="eastAsia" w:ascii="仿宋_GB2312" w:hAnsi="微软雅黑" w:eastAsia="仿宋_GB2312" w:cs="微软雅黑"/>
          <w:color w:val="404040"/>
          <w:sz w:val="32"/>
          <w:szCs w:val="32"/>
          <w:shd w:val="clear" w:color="auto" w:fill="FFFFFF"/>
        </w:rPr>
        <w:t>个，部门预算公开绩效目标的预算项目</w:t>
      </w:r>
      <w:r>
        <w:rPr>
          <w:rFonts w:hint="eastAsia" w:ascii="仿宋_GB2312" w:hAnsi="微软雅黑" w:eastAsia="仿宋_GB2312" w:cs="微软雅黑"/>
          <w:color w:val="404040"/>
          <w:sz w:val="32"/>
          <w:szCs w:val="32"/>
          <w:shd w:val="clear" w:color="auto" w:fill="FFFFFF"/>
          <w:lang w:val="en-US" w:eastAsia="zh-CN"/>
        </w:rPr>
        <w:t>58</w:t>
      </w:r>
      <w:r>
        <w:rPr>
          <w:rFonts w:hint="eastAsia" w:ascii="仿宋_GB2312" w:hAnsi="微软雅黑" w:eastAsia="仿宋_GB2312" w:cs="微软雅黑"/>
          <w:color w:val="404040"/>
          <w:sz w:val="32"/>
          <w:szCs w:val="32"/>
          <w:shd w:val="clear" w:color="auto" w:fill="FFFFFF"/>
        </w:rPr>
        <w:t>个，占本部门全部预算项目的</w:t>
      </w:r>
      <w:r>
        <w:rPr>
          <w:rFonts w:hint="eastAsia" w:ascii="仿宋_GB2312" w:hAnsi="微软雅黑" w:eastAsia="仿宋_GB2312" w:cs="微软雅黑"/>
          <w:color w:val="404040"/>
          <w:sz w:val="32"/>
          <w:szCs w:val="32"/>
          <w:shd w:val="clear" w:color="auto" w:fill="FFFFFF"/>
          <w:lang w:val="en-US" w:eastAsia="zh-CN"/>
        </w:rPr>
        <w:t>100</w:t>
      </w:r>
      <w:r>
        <w:rPr>
          <w:rFonts w:ascii="仿宋_GB2312" w:hAnsi="微软雅黑" w:eastAsia="仿宋_GB2312" w:cs="微软雅黑"/>
          <w:color w:val="404040"/>
          <w:sz w:val="32"/>
          <w:szCs w:val="32"/>
          <w:shd w:val="clear" w:color="auto" w:fill="FFFFFF"/>
        </w:rPr>
        <w:t>%</w:t>
      </w:r>
      <w:r>
        <w:rPr>
          <w:rFonts w:hint="eastAsia" w:ascii="仿宋_GB2312" w:hAnsi="微软雅黑" w:eastAsia="仿宋_GB2312" w:cs="微软雅黑"/>
          <w:color w:val="404040"/>
          <w:sz w:val="32"/>
          <w:szCs w:val="32"/>
          <w:shd w:val="clear" w:color="auto" w:fill="FFFFFF"/>
        </w:rPr>
        <w:t>。</w:t>
      </w:r>
    </w:p>
    <w:bookmarkEnd w:id="4"/>
    <w:p>
      <w:pPr>
        <w:spacing w:line="520" w:lineRule="exact"/>
        <w:ind w:firstLine="636" w:firstLineChars="200"/>
        <w:rPr>
          <w:rFonts w:ascii="仿宋_GB2312" w:hAnsi="仿宋" w:eastAsia="仿宋_GB2312" w:cs="Times New Roman"/>
          <w:sz w:val="32"/>
          <w:szCs w:val="32"/>
        </w:rPr>
      </w:pPr>
      <w:r>
        <w:rPr>
          <w:rFonts w:ascii="仿宋_GB2312" w:hAnsi="仿宋" w:eastAsia="仿宋_GB2312" w:cs="Times New Roman"/>
          <w:sz w:val="32"/>
          <w:szCs w:val="32"/>
        </w:rPr>
        <w:t>3.</w:t>
      </w:r>
      <w:r>
        <w:rPr>
          <w:rFonts w:hint="eastAsia" w:ascii="仿宋_GB2312" w:hAnsi="仿宋" w:eastAsia="仿宋_GB2312" w:cs="Times New Roman"/>
          <w:sz w:val="32"/>
          <w:szCs w:val="32"/>
        </w:rPr>
        <w:t>绩效运行监控情况</w:t>
      </w:r>
    </w:p>
    <w:p>
      <w:pPr>
        <w:spacing w:line="520" w:lineRule="exact"/>
        <w:ind w:firstLine="636" w:firstLineChars="200"/>
        <w:rPr>
          <w:rFonts w:ascii="仿宋_GB2312" w:hAnsi="仿宋" w:eastAsia="仿宋_GB2312" w:cs="Times New Roman"/>
          <w:sz w:val="32"/>
          <w:szCs w:val="32"/>
        </w:rPr>
      </w:pPr>
      <w:r>
        <w:rPr>
          <w:rFonts w:ascii="仿宋_GB2312" w:hAnsi="仿宋" w:eastAsia="仿宋_GB2312" w:cs="Times New Roman"/>
          <w:sz w:val="32"/>
          <w:szCs w:val="32"/>
        </w:rPr>
        <w:t>202</w:t>
      </w:r>
      <w:r>
        <w:rPr>
          <w:rFonts w:hint="eastAsia" w:ascii="仿宋_GB2312" w:hAnsi="仿宋" w:eastAsia="仿宋_GB2312" w:cs="Times New Roman"/>
          <w:sz w:val="32"/>
          <w:szCs w:val="32"/>
          <w:lang w:val="en-US" w:eastAsia="zh-CN"/>
        </w:rPr>
        <w:t>4</w:t>
      </w:r>
      <w:r>
        <w:rPr>
          <w:rFonts w:hint="eastAsia" w:ascii="仿宋_GB2312" w:hAnsi="仿宋" w:eastAsia="仿宋_GB2312" w:cs="Times New Roman"/>
          <w:sz w:val="32"/>
          <w:szCs w:val="32"/>
        </w:rPr>
        <w:t>年对</w:t>
      </w:r>
      <w:r>
        <w:rPr>
          <w:rFonts w:hint="eastAsia" w:ascii="仿宋_GB2312" w:hAnsi="Times New Roman" w:eastAsia="仿宋_GB2312" w:cs="Times New Roman"/>
          <w:sz w:val="32"/>
          <w:szCs w:val="32"/>
        </w:rPr>
        <w:t>本部门及所属单位</w:t>
      </w:r>
      <w:r>
        <w:rPr>
          <w:rFonts w:hint="eastAsia" w:ascii="仿宋_GB2312" w:hAnsi="仿宋" w:eastAsia="仿宋_GB2312" w:cs="Times New Roman"/>
          <w:sz w:val="32"/>
          <w:szCs w:val="32"/>
          <w:lang w:val="en-US" w:eastAsia="zh-CN"/>
        </w:rPr>
        <w:t>58</w:t>
      </w:r>
      <w:r>
        <w:rPr>
          <w:rFonts w:hint="eastAsia" w:ascii="仿宋_GB2312" w:hAnsi="仿宋" w:eastAsia="仿宋_GB2312" w:cs="Times New Roman"/>
          <w:sz w:val="32"/>
          <w:szCs w:val="32"/>
        </w:rPr>
        <w:t>个预算项目进行绩效运行监控，占部门项目总数的</w:t>
      </w:r>
      <w:r>
        <w:rPr>
          <w:rFonts w:hint="eastAsia" w:ascii="仿宋_GB2312" w:hAnsi="微软雅黑" w:eastAsia="仿宋_GB2312" w:cs="微软雅黑"/>
          <w:color w:val="404040"/>
          <w:sz w:val="32"/>
          <w:szCs w:val="32"/>
          <w:shd w:val="clear" w:color="auto" w:fill="FFFFFF"/>
          <w:lang w:val="en-US" w:eastAsia="zh-CN"/>
        </w:rPr>
        <w:t>100</w:t>
      </w:r>
      <w:r>
        <w:rPr>
          <w:rFonts w:ascii="仿宋_GB2312" w:hAnsi="微软雅黑" w:eastAsia="仿宋_GB2312" w:cs="微软雅黑"/>
          <w:color w:val="404040"/>
          <w:sz w:val="32"/>
          <w:szCs w:val="32"/>
          <w:shd w:val="clear" w:color="auto" w:fill="FFFFFF"/>
        </w:rPr>
        <w:t>%</w:t>
      </w:r>
      <w:r>
        <w:rPr>
          <w:rFonts w:hint="eastAsia" w:ascii="仿宋_GB2312" w:hAnsi="微软雅黑" w:eastAsia="仿宋_GB2312" w:cs="微软雅黑"/>
          <w:color w:val="404040"/>
          <w:sz w:val="32"/>
          <w:szCs w:val="32"/>
          <w:shd w:val="clear" w:color="auto" w:fill="FFFFFF"/>
        </w:rPr>
        <w:t>，涉及资金</w:t>
      </w:r>
      <w:r>
        <w:rPr>
          <w:rFonts w:hint="eastAsia" w:ascii="仿宋_GB2312" w:hAnsi="微软雅黑" w:eastAsia="仿宋_GB2312" w:cs="微软雅黑"/>
          <w:color w:val="404040"/>
          <w:sz w:val="32"/>
          <w:szCs w:val="32"/>
          <w:shd w:val="clear" w:color="auto" w:fill="FFFFFF"/>
          <w:lang w:val="en-US" w:eastAsia="zh-CN"/>
        </w:rPr>
        <w:t>11,841.07</w:t>
      </w:r>
      <w:r>
        <w:rPr>
          <w:rFonts w:hint="eastAsia" w:ascii="仿宋_GB2312" w:hAnsi="微软雅黑" w:eastAsia="仿宋_GB2312" w:cs="微软雅黑"/>
          <w:color w:val="404040"/>
          <w:sz w:val="32"/>
          <w:szCs w:val="32"/>
          <w:shd w:val="clear" w:color="auto" w:fill="FFFFFF"/>
        </w:rPr>
        <w:t>万元。</w:t>
      </w:r>
    </w:p>
    <w:p>
      <w:pPr>
        <w:spacing w:line="520" w:lineRule="exact"/>
        <w:ind w:firstLine="636" w:firstLineChars="200"/>
        <w:rPr>
          <w:rFonts w:ascii="仿宋_GB2312" w:hAnsi="仿宋" w:eastAsia="仿宋_GB2312" w:cs="Times New Roman"/>
          <w:sz w:val="32"/>
          <w:szCs w:val="32"/>
        </w:rPr>
      </w:pPr>
      <w:r>
        <w:rPr>
          <w:rFonts w:ascii="仿宋_GB2312" w:hAnsi="仿宋" w:eastAsia="仿宋_GB2312" w:cs="Times New Roman"/>
          <w:sz w:val="32"/>
          <w:szCs w:val="32"/>
        </w:rPr>
        <w:t>4.</w:t>
      </w:r>
      <w:r>
        <w:rPr>
          <w:rFonts w:hint="eastAsia" w:ascii="仿宋_GB2312" w:hAnsi="仿宋" w:eastAsia="仿宋_GB2312" w:cs="Times New Roman"/>
          <w:sz w:val="32"/>
          <w:szCs w:val="32"/>
        </w:rPr>
        <w:t>绩效自评情况</w:t>
      </w:r>
    </w:p>
    <w:p>
      <w:pPr>
        <w:spacing w:line="520" w:lineRule="exact"/>
        <w:ind w:firstLine="636" w:firstLineChars="200"/>
        <w:rPr>
          <w:rFonts w:ascii="仿宋_GB2312" w:hAnsi="Times New Roman" w:eastAsia="仿宋_GB2312" w:cs="Times New Roman"/>
          <w:sz w:val="32"/>
          <w:szCs w:val="32"/>
        </w:rPr>
      </w:pPr>
      <w:r>
        <w:rPr>
          <w:rFonts w:ascii="仿宋_GB2312" w:hAnsi="仿宋" w:eastAsia="仿宋_GB2312" w:cs="Times New Roman"/>
          <w:sz w:val="32"/>
          <w:szCs w:val="32"/>
        </w:rPr>
        <w:t>202</w:t>
      </w:r>
      <w:r>
        <w:rPr>
          <w:rFonts w:hint="eastAsia" w:ascii="仿宋_GB2312" w:hAnsi="仿宋" w:eastAsia="仿宋_GB2312" w:cs="Times New Roman"/>
          <w:sz w:val="32"/>
          <w:szCs w:val="32"/>
          <w:lang w:val="en-US" w:eastAsia="zh-CN"/>
        </w:rPr>
        <w:t>4</w:t>
      </w:r>
      <w:r>
        <w:rPr>
          <w:rFonts w:hint="eastAsia" w:ascii="仿宋_GB2312" w:hAnsi="仿宋" w:eastAsia="仿宋_GB2312" w:cs="Times New Roman"/>
          <w:sz w:val="32"/>
          <w:szCs w:val="32"/>
        </w:rPr>
        <w:t>年</w:t>
      </w:r>
      <w:r>
        <w:rPr>
          <w:rFonts w:hint="eastAsia" w:ascii="仿宋_GB2312" w:hAnsi="Times New Roman" w:eastAsia="仿宋_GB2312" w:cs="Times New Roman"/>
          <w:sz w:val="32"/>
          <w:szCs w:val="32"/>
        </w:rPr>
        <w:t>对本部门及所属单位</w:t>
      </w:r>
      <w:r>
        <w:rPr>
          <w:rFonts w:ascii="仿宋_GB2312" w:hAnsi="Times New Roman" w:eastAsia="仿宋_GB2312" w:cs="Times New Roman"/>
          <w:sz w:val="32"/>
          <w:szCs w:val="32"/>
        </w:rPr>
        <w:t>202</w:t>
      </w:r>
      <w:r>
        <w:rPr>
          <w:rFonts w:hint="eastAsia" w:ascii="仿宋_GB2312" w:hAnsi="Times New Roman" w:eastAsia="仿宋_GB2312" w:cs="Times New Roman"/>
          <w:sz w:val="32"/>
          <w:szCs w:val="32"/>
          <w:lang w:val="en-US" w:eastAsia="zh-CN"/>
        </w:rPr>
        <w:t>3</w:t>
      </w:r>
      <w:r>
        <w:rPr>
          <w:rFonts w:hint="eastAsia" w:ascii="仿宋_GB2312" w:hAnsi="Times New Roman" w:eastAsia="仿宋_GB2312" w:cs="Times New Roman"/>
          <w:sz w:val="32"/>
          <w:szCs w:val="32"/>
        </w:rPr>
        <w:t>年项目支出实施了绩效自评，评价项目</w:t>
      </w:r>
      <w:r>
        <w:rPr>
          <w:rFonts w:hint="eastAsia" w:ascii="仿宋_GB2312" w:hAnsi="Times New Roman" w:eastAsia="仿宋_GB2312" w:cs="Times New Roman"/>
          <w:sz w:val="32"/>
          <w:szCs w:val="32"/>
          <w:lang w:val="en-US" w:eastAsia="zh-CN"/>
        </w:rPr>
        <w:t>162</w:t>
      </w:r>
      <w:r>
        <w:rPr>
          <w:rFonts w:hint="eastAsia" w:ascii="仿宋_GB2312" w:hAnsi="Times New Roman" w:eastAsia="仿宋_GB2312" w:cs="Times New Roman"/>
          <w:sz w:val="32"/>
          <w:szCs w:val="32"/>
        </w:rPr>
        <w:t>个，涉及金额</w:t>
      </w:r>
      <w:r>
        <w:rPr>
          <w:rFonts w:hint="eastAsia" w:ascii="仿宋_GB2312" w:hAnsi="Times New Roman" w:eastAsia="仿宋_GB2312" w:cs="Times New Roman"/>
          <w:sz w:val="32"/>
          <w:szCs w:val="32"/>
          <w:lang w:val="en-US" w:eastAsia="zh-CN"/>
        </w:rPr>
        <w:t>32,964.89</w:t>
      </w:r>
      <w:r>
        <w:rPr>
          <w:rFonts w:hint="eastAsia" w:ascii="仿宋_GB2312" w:hAnsi="Times New Roman" w:eastAsia="仿宋_GB2312" w:cs="Times New Roman"/>
          <w:sz w:val="32"/>
          <w:szCs w:val="32"/>
        </w:rPr>
        <w:t>万元。</w:t>
      </w:r>
    </w:p>
    <w:p>
      <w:pPr>
        <w:widowControl/>
        <w:spacing w:line="520" w:lineRule="exact"/>
        <w:ind w:firstLine="636" w:firstLineChars="200"/>
        <w:rPr>
          <w:rFonts w:ascii="黑体" w:hAnsi="黑体" w:eastAsia="黑体" w:cs="Times New Roman"/>
          <w:sz w:val="32"/>
          <w:szCs w:val="32"/>
        </w:rPr>
      </w:pPr>
      <w:r>
        <w:rPr>
          <w:rFonts w:hint="eastAsia" w:ascii="黑体" w:hAnsi="黑体" w:eastAsia="黑体" w:cs="宋体"/>
          <w:sz w:val="32"/>
          <w:szCs w:val="32"/>
        </w:rPr>
        <w:t>五、总体评价结论</w:t>
      </w:r>
    </w:p>
    <w:p>
      <w:pPr>
        <w:spacing w:line="520" w:lineRule="exact"/>
        <w:ind w:firstLine="636" w:firstLineChars="200"/>
        <w:rPr>
          <w:rFonts w:ascii="楷体_GB2312" w:hAnsi="仿宋" w:eastAsia="楷体_GB2312" w:cs="Times New Roman"/>
          <w:b/>
          <w:sz w:val="32"/>
          <w:szCs w:val="32"/>
        </w:rPr>
      </w:pPr>
      <w:r>
        <w:rPr>
          <w:rFonts w:hint="eastAsia" w:ascii="楷体_GB2312" w:hAnsi="仿宋" w:eastAsia="楷体_GB2312" w:cs="Times New Roman"/>
          <w:b/>
          <w:sz w:val="32"/>
          <w:szCs w:val="32"/>
        </w:rPr>
        <w:t>（一）评价得分情况</w:t>
      </w:r>
    </w:p>
    <w:p>
      <w:pPr>
        <w:widowControl/>
        <w:spacing w:line="520" w:lineRule="exact"/>
        <w:ind w:firstLine="636" w:firstLineChars="200"/>
        <w:rPr>
          <w:rFonts w:ascii="仿宋_GB2312" w:hAnsi="仿宋" w:eastAsia="仿宋_GB2312" w:cs="Times New Roman"/>
          <w:sz w:val="32"/>
          <w:szCs w:val="32"/>
        </w:rPr>
      </w:pPr>
      <w:r>
        <w:rPr>
          <w:rFonts w:hint="eastAsia" w:ascii="仿宋_GB2312" w:hAnsi="仿宋" w:eastAsia="仿宋_GB2312" w:cs="Times New Roman"/>
          <w:sz w:val="32"/>
          <w:szCs w:val="32"/>
        </w:rPr>
        <w:t>请结合《部门整体支出绩效自评表》中的得分情况填写以下内容。</w:t>
      </w:r>
    </w:p>
    <w:p>
      <w:pPr>
        <w:widowControl/>
        <w:spacing w:line="520" w:lineRule="exact"/>
        <w:ind w:firstLine="636" w:firstLineChars="200"/>
        <w:rPr>
          <w:rFonts w:ascii="仿宋_GB2312" w:hAnsi="仿宋" w:eastAsia="仿宋_GB2312" w:cs="Times New Roman"/>
          <w:sz w:val="32"/>
          <w:szCs w:val="32"/>
        </w:rPr>
      </w:pPr>
      <w:r>
        <w:rPr>
          <w:rFonts w:hint="eastAsia" w:ascii="仿宋_GB2312" w:hAnsi="仿宋" w:eastAsia="仿宋_GB2312" w:cs="Times New Roman"/>
          <w:sz w:val="32"/>
          <w:szCs w:val="32"/>
        </w:rPr>
        <w:t>绩效自评总分：</w:t>
      </w:r>
      <w:r>
        <w:rPr>
          <w:rFonts w:hint="eastAsia" w:ascii="仿宋_GB2312" w:hAnsi="仿宋" w:eastAsia="仿宋_GB2312" w:cs="Times New Roman"/>
          <w:sz w:val="32"/>
          <w:szCs w:val="32"/>
          <w:lang w:val="en-US" w:eastAsia="zh-CN"/>
        </w:rPr>
        <w:t>95</w:t>
      </w:r>
      <w:r>
        <w:rPr>
          <w:rFonts w:hint="eastAsia" w:ascii="仿宋_GB2312" w:hAnsi="仿宋" w:eastAsia="仿宋_GB2312" w:cs="Times New Roman"/>
          <w:sz w:val="32"/>
          <w:szCs w:val="32"/>
        </w:rPr>
        <w:t>分</w:t>
      </w:r>
    </w:p>
    <w:p>
      <w:pPr>
        <w:widowControl/>
        <w:spacing w:line="520" w:lineRule="exact"/>
        <w:ind w:firstLine="636" w:firstLineChars="200"/>
        <w:rPr>
          <w:rFonts w:hint="eastAsia" w:ascii="仿宋_GB2312" w:hAnsi="仿宋" w:eastAsia="仿宋_GB2312" w:cs="Times New Roman"/>
          <w:sz w:val="32"/>
          <w:szCs w:val="32"/>
          <w:lang w:eastAsia="zh-CN"/>
        </w:rPr>
      </w:pPr>
      <w:r>
        <w:rPr>
          <w:rFonts w:hint="eastAsia" w:ascii="仿宋_GB2312" w:hAnsi="仿宋" w:eastAsia="仿宋_GB2312" w:cs="Times New Roman"/>
          <w:sz w:val="32"/>
          <w:szCs w:val="32"/>
        </w:rPr>
        <w:t>绩效自评等级：</w:t>
      </w:r>
      <w:r>
        <w:rPr>
          <w:rFonts w:hint="eastAsia" w:ascii="仿宋_GB2312" w:hAnsi="仿宋" w:eastAsia="仿宋_GB2312" w:cs="Times New Roman"/>
          <w:sz w:val="32"/>
          <w:szCs w:val="32"/>
          <w:lang w:eastAsia="zh-CN"/>
        </w:rPr>
        <w:t>优秀</w:t>
      </w:r>
    </w:p>
    <w:p>
      <w:pPr>
        <w:widowControl/>
        <w:spacing w:line="520" w:lineRule="exact"/>
        <w:ind w:firstLine="636" w:firstLineChars="200"/>
        <w:rPr>
          <w:rFonts w:ascii="仿宋_GB2312" w:hAnsi="仿宋" w:eastAsia="仿宋_GB2312" w:cs="Times New Roman"/>
          <w:sz w:val="32"/>
          <w:szCs w:val="32"/>
        </w:rPr>
      </w:pPr>
      <w:r>
        <w:rPr>
          <w:rFonts w:hint="eastAsia" w:ascii="仿宋_GB2312" w:hAnsi="仿宋" w:eastAsia="仿宋_GB2312" w:cs="Times New Roman"/>
          <w:sz w:val="32"/>
          <w:szCs w:val="32"/>
        </w:rPr>
        <w:t>四类评价等级：优秀（</w:t>
      </w:r>
      <w:r>
        <w:rPr>
          <w:rFonts w:ascii="仿宋_GB2312" w:hAnsi="仿宋" w:eastAsia="仿宋_GB2312" w:cs="Times New Roman"/>
          <w:sz w:val="32"/>
          <w:szCs w:val="32"/>
        </w:rPr>
        <w:t>90</w:t>
      </w:r>
      <w:r>
        <w:rPr>
          <w:rFonts w:hint="eastAsia" w:ascii="仿宋_GB2312" w:hAnsi="仿宋" w:eastAsia="仿宋_GB2312" w:cs="Times New Roman"/>
          <w:sz w:val="32"/>
          <w:szCs w:val="32"/>
        </w:rPr>
        <w:t>（含）</w:t>
      </w:r>
      <w:r>
        <w:rPr>
          <w:rFonts w:ascii="仿宋_GB2312" w:hAnsi="仿宋" w:eastAsia="仿宋_GB2312" w:cs="Times New Roman"/>
          <w:sz w:val="32"/>
          <w:szCs w:val="32"/>
        </w:rPr>
        <w:t>-100</w:t>
      </w:r>
      <w:r>
        <w:rPr>
          <w:rFonts w:hint="eastAsia" w:ascii="仿宋_GB2312" w:hAnsi="仿宋" w:eastAsia="仿宋_GB2312" w:cs="Times New Roman"/>
          <w:sz w:val="32"/>
          <w:szCs w:val="32"/>
        </w:rPr>
        <w:t>分）、良好</w:t>
      </w:r>
      <w:r>
        <w:rPr>
          <w:rFonts w:ascii="仿宋_GB2312" w:hAnsi="仿宋" w:eastAsia="仿宋_GB2312" w:cs="Times New Roman"/>
          <w:sz w:val="32"/>
          <w:szCs w:val="32"/>
        </w:rPr>
        <w:t>80</w:t>
      </w:r>
      <w:r>
        <w:rPr>
          <w:rFonts w:hint="eastAsia" w:ascii="仿宋_GB2312" w:hAnsi="仿宋" w:eastAsia="仿宋_GB2312" w:cs="Times New Roman"/>
          <w:sz w:val="32"/>
          <w:szCs w:val="32"/>
        </w:rPr>
        <w:t>（含）</w:t>
      </w:r>
      <w:r>
        <w:rPr>
          <w:rFonts w:ascii="仿宋_GB2312" w:hAnsi="仿宋" w:eastAsia="仿宋_GB2312" w:cs="Times New Roman"/>
          <w:sz w:val="32"/>
          <w:szCs w:val="32"/>
        </w:rPr>
        <w:t>-90</w:t>
      </w:r>
      <w:r>
        <w:rPr>
          <w:rFonts w:hint="eastAsia" w:ascii="仿宋_GB2312" w:hAnsi="仿宋" w:eastAsia="仿宋_GB2312" w:cs="Times New Roman"/>
          <w:sz w:val="32"/>
          <w:szCs w:val="32"/>
        </w:rPr>
        <w:t>分、一般</w:t>
      </w:r>
      <w:r>
        <w:rPr>
          <w:rFonts w:ascii="仿宋_GB2312" w:hAnsi="仿宋" w:eastAsia="仿宋_GB2312" w:cs="Times New Roman"/>
          <w:sz w:val="32"/>
          <w:szCs w:val="32"/>
        </w:rPr>
        <w:t>60</w:t>
      </w:r>
      <w:r>
        <w:rPr>
          <w:rFonts w:hint="eastAsia" w:ascii="仿宋_GB2312" w:hAnsi="仿宋" w:eastAsia="仿宋_GB2312" w:cs="Times New Roman"/>
          <w:sz w:val="32"/>
          <w:szCs w:val="32"/>
        </w:rPr>
        <w:t>（含）</w:t>
      </w:r>
      <w:r>
        <w:rPr>
          <w:rFonts w:ascii="仿宋_GB2312" w:hAnsi="仿宋" w:eastAsia="仿宋_GB2312" w:cs="Times New Roman"/>
          <w:sz w:val="32"/>
          <w:szCs w:val="32"/>
        </w:rPr>
        <w:t>-80</w:t>
      </w:r>
      <w:r>
        <w:rPr>
          <w:rFonts w:hint="eastAsia" w:ascii="仿宋_GB2312" w:hAnsi="仿宋" w:eastAsia="仿宋_GB2312" w:cs="Times New Roman"/>
          <w:sz w:val="32"/>
          <w:szCs w:val="32"/>
        </w:rPr>
        <w:t>分、较差</w:t>
      </w:r>
      <w:r>
        <w:rPr>
          <w:rFonts w:ascii="仿宋_GB2312" w:hAnsi="仿宋" w:eastAsia="仿宋_GB2312" w:cs="Times New Roman"/>
          <w:sz w:val="32"/>
          <w:szCs w:val="32"/>
        </w:rPr>
        <w:t>60</w:t>
      </w:r>
      <w:r>
        <w:rPr>
          <w:rFonts w:hint="eastAsia" w:ascii="仿宋_GB2312" w:hAnsi="仿宋" w:eastAsia="仿宋_GB2312" w:cs="Times New Roman"/>
          <w:sz w:val="32"/>
          <w:szCs w:val="32"/>
        </w:rPr>
        <w:t>分以下</w:t>
      </w:r>
    </w:p>
    <w:p>
      <w:pPr>
        <w:spacing w:line="520" w:lineRule="exact"/>
        <w:ind w:firstLine="636" w:firstLineChars="200"/>
        <w:rPr>
          <w:rFonts w:ascii="楷体_GB2312" w:hAnsi="仿宋" w:eastAsia="楷体_GB2312" w:cs="Times New Roman"/>
          <w:b/>
          <w:sz w:val="32"/>
          <w:szCs w:val="32"/>
        </w:rPr>
      </w:pPr>
      <w:r>
        <w:rPr>
          <w:rFonts w:hint="eastAsia" w:ascii="楷体_GB2312" w:hAnsi="仿宋" w:eastAsia="楷体_GB2312" w:cs="Times New Roman"/>
          <w:b/>
          <w:sz w:val="32"/>
          <w:szCs w:val="32"/>
        </w:rPr>
        <w:t>（二）存在的问题及原因分析</w:t>
      </w:r>
    </w:p>
    <w:p>
      <w:pPr>
        <w:spacing w:beforeLines="0" w:afterLines="0" w:line="520" w:lineRule="exact"/>
        <w:ind w:firstLine="636" w:firstLineChars="200"/>
        <w:rPr>
          <w:rFonts w:hint="eastAsia" w:ascii="仿宋_GB2312" w:hAnsi="仿宋" w:eastAsia="仿宋_GB2312"/>
          <w:sz w:val="32"/>
        </w:rPr>
      </w:pPr>
      <w:r>
        <w:rPr>
          <w:rFonts w:hint="eastAsia" w:ascii="仿宋_GB2312" w:hAnsi="仿宋" w:eastAsia="仿宋_GB2312"/>
          <w:sz w:val="32"/>
        </w:rPr>
        <w:t>1.资金支出进度相对缓慢,预算执行效率较低。</w:t>
      </w:r>
    </w:p>
    <w:p>
      <w:pPr>
        <w:spacing w:beforeLines="0" w:afterLines="0" w:line="520" w:lineRule="exact"/>
        <w:ind w:firstLine="636" w:firstLineChars="200"/>
        <w:rPr>
          <w:rFonts w:hint="eastAsia" w:ascii="仿宋_GB2312" w:hAnsi="仿宋" w:eastAsia="仿宋_GB2312"/>
          <w:sz w:val="32"/>
        </w:rPr>
      </w:pPr>
      <w:r>
        <w:rPr>
          <w:rFonts w:hint="eastAsia" w:ascii="仿宋_GB2312" w:hAnsi="仿宋" w:eastAsia="仿宋_GB2312"/>
          <w:sz w:val="32"/>
        </w:rPr>
        <w:t>2.对资金支出的合理性审核不严谨；时有超支现象发生。</w:t>
      </w:r>
    </w:p>
    <w:p>
      <w:pPr>
        <w:spacing w:line="520" w:lineRule="exact"/>
        <w:ind w:firstLine="636" w:firstLineChars="200"/>
        <w:rPr>
          <w:rFonts w:hint="eastAsia" w:ascii="楷体_GB2312" w:hAnsi="仿宋" w:eastAsia="楷体_GB2312" w:cs="Times New Roman"/>
          <w:b/>
          <w:sz w:val="32"/>
          <w:szCs w:val="32"/>
        </w:rPr>
      </w:pPr>
      <w:r>
        <w:rPr>
          <w:rFonts w:hint="eastAsia" w:ascii="楷体_GB2312" w:hAnsi="仿宋" w:eastAsia="楷体_GB2312" w:cs="Times New Roman"/>
          <w:b/>
          <w:sz w:val="32"/>
          <w:szCs w:val="32"/>
        </w:rPr>
        <w:t>（三）改进措施（请对照问题，分别填写相应改进措施）</w:t>
      </w:r>
    </w:p>
    <w:p>
      <w:pPr>
        <w:spacing w:beforeLines="0" w:afterLines="0" w:line="520" w:lineRule="exact"/>
        <w:ind w:firstLine="636" w:firstLineChars="200"/>
        <w:rPr>
          <w:rFonts w:hint="eastAsia" w:ascii="仿宋_GB2312" w:hAnsi="仿宋" w:eastAsia="仿宋_GB2312"/>
          <w:sz w:val="32"/>
        </w:rPr>
      </w:pPr>
      <w:r>
        <w:rPr>
          <w:rFonts w:hint="eastAsia" w:ascii="仿宋_GB2312" w:hAnsi="仿宋" w:eastAsia="仿宋_GB2312"/>
          <w:sz w:val="32"/>
        </w:rPr>
        <w:t>1.加快支出进度，提高预算执行效率</w:t>
      </w:r>
    </w:p>
    <w:p>
      <w:pPr>
        <w:spacing w:beforeLines="0" w:afterLines="0" w:line="520" w:lineRule="exact"/>
        <w:ind w:firstLine="636" w:firstLineChars="200"/>
        <w:rPr>
          <w:rFonts w:hint="eastAsia" w:ascii="仿宋_GB2312" w:hAnsi="仿宋" w:eastAsia="仿宋_GB2312"/>
          <w:sz w:val="32"/>
        </w:rPr>
      </w:pPr>
      <w:r>
        <w:rPr>
          <w:rFonts w:hint="eastAsia" w:ascii="仿宋_GB2312" w:hAnsi="仿宋" w:eastAsia="仿宋_GB2312"/>
          <w:sz w:val="32"/>
        </w:rPr>
        <w:t>加强与各业务科室的沟通，提高预算支出各环节执行效率。对支出实施分类管理，确保支出各环节畅通运行。基本支出按照月度用款计划，均衡拨款；村级人员经费类项目支出按季度及时进行拨付，工程类项目按照实施进度和合同约定及时办理拨款手续。</w:t>
      </w:r>
    </w:p>
    <w:p>
      <w:pPr>
        <w:spacing w:beforeLines="0" w:afterLines="0" w:line="520" w:lineRule="exact"/>
        <w:ind w:firstLine="636" w:firstLineChars="200"/>
        <w:rPr>
          <w:rFonts w:hint="eastAsia" w:ascii="仿宋_GB2312" w:hAnsi="仿宋" w:eastAsia="仿宋_GB2312"/>
          <w:sz w:val="32"/>
        </w:rPr>
      </w:pPr>
      <w:r>
        <w:rPr>
          <w:rFonts w:hint="eastAsia" w:ascii="仿宋_GB2312" w:hAnsi="仿宋" w:eastAsia="仿宋_GB2312"/>
          <w:sz w:val="32"/>
        </w:rPr>
        <w:t>2.加强财政财务管理，保障科室工作平稳运行。</w:t>
      </w:r>
    </w:p>
    <w:p>
      <w:pPr>
        <w:spacing w:beforeLines="0" w:afterLines="0" w:line="520" w:lineRule="exact"/>
        <w:ind w:firstLine="636" w:firstLineChars="200"/>
        <w:rPr>
          <w:rFonts w:hint="eastAsia" w:ascii="仿宋_GB2312" w:hAnsi="仿宋" w:eastAsia="仿宋_GB2312"/>
          <w:sz w:val="32"/>
        </w:rPr>
      </w:pPr>
      <w:r>
        <w:rPr>
          <w:rFonts w:hint="eastAsia" w:ascii="仿宋_GB2312" w:hAnsi="仿宋" w:eastAsia="仿宋_GB2312"/>
          <w:sz w:val="32"/>
        </w:rPr>
        <w:t>一是加强财务管理，严格财务审核。加强单位财务管理，健全单位财务管理制度体系，规范单位财务行为。在费用报账支付时，按照预算规定的费用项目和用途进行资金使用审核、财务严格核算，杜绝超支现象的发生。二是完善资产管理，抓好“三公”经费控制。严格编制政府采购年初预算和计划，规范各类资产的购置审批制度、资产采购制度、使用管理制度、资产处置和报废审批制度、资产管理岗位职责制度等，加强单位内部的资产管理工作。严格控制“三公”经费的规模和比例，把关“三公”经费支出的审核、审批，杜绝挪用和挤占其他预算资金行为；进一步细化“三公”经费的管理，合理压缩“三公”经费支出。</w:t>
      </w:r>
    </w:p>
    <w:p>
      <w:pPr>
        <w:spacing w:line="520" w:lineRule="exact"/>
        <w:ind w:firstLine="636" w:firstLineChars="200"/>
        <w:rPr>
          <w:rFonts w:ascii="仿宋_GB2312" w:hAnsi="仿宋" w:eastAsia="仿宋_GB2312" w:cs="Times New Roman"/>
          <w:sz w:val="32"/>
          <w:szCs w:val="32"/>
        </w:rPr>
      </w:pPr>
    </w:p>
    <w:bookmarkEnd w:id="2"/>
    <w:p>
      <w:pPr>
        <w:spacing w:line="520" w:lineRule="exact"/>
        <w:ind w:firstLine="636" w:firstLineChars="200"/>
        <w:jc w:val="left"/>
        <w:rPr>
          <w:rFonts w:ascii="仿宋_GB2312" w:hAnsi="Times New Roman" w:eastAsia="仿宋_GB2312" w:cs="Times New Roman"/>
          <w:sz w:val="32"/>
          <w:szCs w:val="32"/>
        </w:rPr>
      </w:pPr>
    </w:p>
    <w:p/>
    <w:sectPr>
      <w:footerReference r:id="rId3" w:type="default"/>
      <w:pgSz w:w="11907" w:h="16840"/>
      <w:pgMar w:top="1797" w:right="1440" w:bottom="1276" w:left="1440" w:header="851" w:footer="992" w:gutter="0"/>
      <w:pgNumType w:start="1"/>
      <w:cols w:space="425" w:num="1"/>
      <w:docGrid w:type="linesAndChars" w:linePitch="606" w:charSpace="-61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altName w:val="楷体"/>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微软雅黑">
    <w:panose1 w:val="020B0503020204020204"/>
    <w:charset w:val="86"/>
    <w:family w:val="swiss"/>
    <w:pitch w:val="default"/>
    <w:sig w:usb0="80000287" w:usb1="280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center" w:y="1"/>
      <w:ind w:firstLine="360"/>
      <w:rPr>
        <w:rStyle w:val="5"/>
      </w:rPr>
    </w:pPr>
    <w:r>
      <w:rPr>
        <w:rStyle w:val="5"/>
      </w:rPr>
      <w:fldChar w:fldCharType="begin"/>
    </w:r>
    <w:r>
      <w:rPr>
        <w:rStyle w:val="5"/>
      </w:rPr>
      <w:instrText xml:space="preserve">PAGE  </w:instrText>
    </w:r>
    <w:r>
      <w:rPr>
        <w:rStyle w:val="5"/>
      </w:rPr>
      <w:fldChar w:fldCharType="separate"/>
    </w:r>
    <w:r>
      <w:rPr>
        <w:rStyle w:val="5"/>
      </w:rPr>
      <w:t>1</w:t>
    </w:r>
    <w:r>
      <w:rPr>
        <w:rStyle w:val="5"/>
      </w:rPr>
      <w:fldChar w:fldCharType="end"/>
    </w:r>
  </w:p>
  <w:p>
    <w:pPr>
      <w:pStyle w:val="2"/>
      <w:ind w:firstLine="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2440483"/>
    <w:multiLevelType w:val="multilevel"/>
    <w:tmpl w:val="62440483"/>
    <w:lvl w:ilvl="0" w:tentative="0">
      <w:start w:val="2"/>
      <w:numFmt w:val="decimal"/>
      <w:suff w:val="nothing"/>
      <w:lvlText w:val="%1."/>
      <w:lvlJc w:val="left"/>
      <w:rPr>
        <w:rFonts w:hint="default"/>
        <w:u w:val="none" w:color="auto"/>
      </w:rPr>
    </w:lvl>
    <w:lvl w:ilvl="1" w:tentative="0">
      <w:start w:val="1"/>
      <w:numFmt w:val="decimal"/>
      <w:lvlText w:val=""/>
      <w:lvlJc w:val="left"/>
      <w:rPr>
        <w:rFonts w:hint="default"/>
        <w:u w:val="none" w:color="auto"/>
      </w:rPr>
    </w:lvl>
    <w:lvl w:ilvl="2" w:tentative="0">
      <w:start w:val="1"/>
      <w:numFmt w:val="decimal"/>
      <w:lvlText w:val=""/>
      <w:lvlJc w:val="left"/>
      <w:rPr>
        <w:rFonts w:hint="default"/>
        <w:u w:val="none" w:color="auto"/>
      </w:rPr>
    </w:lvl>
    <w:lvl w:ilvl="3" w:tentative="0">
      <w:start w:val="1"/>
      <w:numFmt w:val="decimal"/>
      <w:lvlText w:val=""/>
      <w:lvlJc w:val="left"/>
      <w:rPr>
        <w:rFonts w:hint="default"/>
        <w:u w:val="none" w:color="auto"/>
      </w:rPr>
    </w:lvl>
    <w:lvl w:ilvl="4" w:tentative="0">
      <w:start w:val="1"/>
      <w:numFmt w:val="decimal"/>
      <w:lvlText w:val=""/>
      <w:lvlJc w:val="left"/>
      <w:rPr>
        <w:rFonts w:hint="default"/>
        <w:u w:val="none" w:color="auto"/>
      </w:rPr>
    </w:lvl>
    <w:lvl w:ilvl="5" w:tentative="0">
      <w:start w:val="1"/>
      <w:numFmt w:val="decimal"/>
      <w:lvlText w:val=""/>
      <w:lvlJc w:val="left"/>
      <w:rPr>
        <w:rFonts w:hint="default"/>
        <w:u w:val="none" w:color="auto"/>
      </w:rPr>
    </w:lvl>
    <w:lvl w:ilvl="6" w:tentative="0">
      <w:start w:val="1"/>
      <w:numFmt w:val="decimal"/>
      <w:lvlText w:val=""/>
      <w:lvlJc w:val="left"/>
      <w:rPr>
        <w:rFonts w:hint="default"/>
        <w:u w:val="none" w:color="auto"/>
      </w:rPr>
    </w:lvl>
    <w:lvl w:ilvl="7" w:tentative="0">
      <w:start w:val="1"/>
      <w:numFmt w:val="decimal"/>
      <w:lvlText w:val=""/>
      <w:lvlJc w:val="left"/>
      <w:rPr>
        <w:rFonts w:hint="default"/>
        <w:u w:val="none" w:color="auto"/>
      </w:rPr>
    </w:lvl>
    <w:lvl w:ilvl="8" w:tentative="0">
      <w:start w:val="1"/>
      <w:numFmt w:val="decimal"/>
      <w:lvlText w:val=""/>
      <w:lvlJc w:val="left"/>
      <w:rPr>
        <w:rFonts w:hint="default"/>
        <w:u w:val="none" w:color="auto"/>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4502A"/>
    <w:rsid w:val="0010736B"/>
    <w:rsid w:val="00136430"/>
    <w:rsid w:val="0015133D"/>
    <w:rsid w:val="001F1B65"/>
    <w:rsid w:val="0020720A"/>
    <w:rsid w:val="00271F9E"/>
    <w:rsid w:val="00335359"/>
    <w:rsid w:val="00385D4E"/>
    <w:rsid w:val="00632E15"/>
    <w:rsid w:val="00765990"/>
    <w:rsid w:val="007C5969"/>
    <w:rsid w:val="007D514A"/>
    <w:rsid w:val="00846439"/>
    <w:rsid w:val="00861964"/>
    <w:rsid w:val="008B4180"/>
    <w:rsid w:val="008C4DEF"/>
    <w:rsid w:val="0099769B"/>
    <w:rsid w:val="00A50C4B"/>
    <w:rsid w:val="00A5549B"/>
    <w:rsid w:val="00AC3863"/>
    <w:rsid w:val="00B12733"/>
    <w:rsid w:val="00B60F78"/>
    <w:rsid w:val="00CF6DF6"/>
    <w:rsid w:val="00D92EAA"/>
    <w:rsid w:val="00D937A9"/>
    <w:rsid w:val="00DA3A1A"/>
    <w:rsid w:val="00E26073"/>
    <w:rsid w:val="00E430E2"/>
    <w:rsid w:val="00E56FD1"/>
    <w:rsid w:val="00ED7BD7"/>
    <w:rsid w:val="00F578CA"/>
    <w:rsid w:val="00F806E1"/>
    <w:rsid w:val="01BD061F"/>
    <w:rsid w:val="03962F18"/>
    <w:rsid w:val="03E22E64"/>
    <w:rsid w:val="16AC5F56"/>
    <w:rsid w:val="1F124D7A"/>
    <w:rsid w:val="35C0527D"/>
    <w:rsid w:val="4FDD635A"/>
    <w:rsid w:val="565E49EE"/>
    <w:rsid w:val="5CCB5260"/>
    <w:rsid w:val="5FC870EC"/>
    <w:rsid w:val="63C55E22"/>
    <w:rsid w:val="794772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unhideWhenUsed/>
    <w:uiPriority w:val="1"/>
  </w:style>
  <w:style w:type="table" w:default="1" w:styleId="6">
    <w:name w:val="Normal Table"/>
    <w:semiHidden/>
    <w:unhideWhenUsed/>
    <w:qFormat/>
    <w:uiPriority w:val="99"/>
    <w:tblPr>
      <w:tblLayout w:type="fixed"/>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sz w:val="18"/>
      <w:szCs w:val="18"/>
    </w:rPr>
  </w:style>
  <w:style w:type="paragraph" w:styleId="3">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character" w:styleId="5">
    <w:name w:val="page number"/>
    <w:semiHidden/>
    <w:qFormat/>
    <w:uiPriority w:val="99"/>
    <w:rPr>
      <w:rFonts w:cs="Times New Roman"/>
    </w:rPr>
  </w:style>
  <w:style w:type="character" w:customStyle="1" w:styleId="7">
    <w:name w:val="页眉 Char"/>
    <w:basedOn w:val="4"/>
    <w:link w:val="3"/>
    <w:qFormat/>
    <w:uiPriority w:val="99"/>
    <w:rPr>
      <w:sz w:val="18"/>
      <w:szCs w:val="18"/>
    </w:rPr>
  </w:style>
  <w:style w:type="character" w:customStyle="1" w:styleId="8">
    <w:name w:val="页脚 Char"/>
    <w:basedOn w:val="4"/>
    <w:link w:val="2"/>
    <w:uiPriority w:val="99"/>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184</Words>
  <Characters>1054</Characters>
  <Lines>8</Lines>
  <Paragraphs>2</Paragraphs>
  <TotalTime>222</TotalTime>
  <ScaleCrop>false</ScaleCrop>
  <LinksUpToDate>false</LinksUpToDate>
  <CharactersWithSpaces>1236</CharactersWithSpaces>
  <Application>WPS Office_10.8.2.6726_F1E327BC-269C-435d-A152-05C5408002CA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2025-03-05T08:16:00Z</dcterms:created>
  <dc:creator>李菁</dc:creator>
  <cp:lastModifiedBy>hp</cp:lastModifiedBy>
  <dcterms:modified xsi:type="dcterms:W3CDTF">2025-06-13T03:01:04Z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2052-10.8.2.6726</vt:lpwstr>
  </property>
</Properties>
</file>