
<file path=[Content_Types].xml><?xml version="1.0" encoding="utf-8"?>
<Types xmlns="http://schemas.openxmlformats.org/package/2006/content-types">
  <Default Extension="xlsx" ContentType="application/vnd.openxmlformats-officedocument.spreadsheetml.sheet"/>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仿宋_GB2312" w:eastAsia="仿宋_GB2312"/>
          <w:b/>
          <w:sz w:val="32"/>
          <w:szCs w:val="32"/>
        </w:rPr>
      </w:pPr>
    </w:p>
    <w:p>
      <w:pPr>
        <w:jc w:val="center"/>
        <w:rPr>
          <w:rFonts w:ascii="黑体" w:eastAsia="黑体"/>
          <w:sz w:val="72"/>
          <w:szCs w:val="72"/>
        </w:rPr>
      </w:pPr>
    </w:p>
    <w:p>
      <w:pPr>
        <w:jc w:val="center"/>
        <w:rPr>
          <w:rFonts w:ascii="黑体" w:eastAsia="黑体"/>
          <w:sz w:val="72"/>
          <w:szCs w:val="72"/>
        </w:rPr>
      </w:pPr>
    </w:p>
    <w:p>
      <w:pPr>
        <w:jc w:val="center"/>
        <w:rPr>
          <w:rFonts w:ascii="黑体" w:eastAsia="黑体"/>
          <w:sz w:val="72"/>
          <w:szCs w:val="72"/>
        </w:rPr>
      </w:pPr>
    </w:p>
    <w:p>
      <w:pPr>
        <w:jc w:val="center"/>
        <w:rPr>
          <w:rFonts w:ascii="黑体" w:eastAsia="黑体"/>
          <w:sz w:val="72"/>
          <w:szCs w:val="72"/>
        </w:rPr>
      </w:pPr>
    </w:p>
    <w:p>
      <w:pPr>
        <w:jc w:val="center"/>
        <w:rPr>
          <w:rFonts w:ascii="黑体" w:eastAsia="黑体"/>
          <w:sz w:val="72"/>
          <w:szCs w:val="72"/>
        </w:rPr>
      </w:pPr>
      <w:r>
        <w:rPr>
          <w:rFonts w:hint="eastAsia" w:ascii="黑体" w:eastAsia="黑体"/>
          <w:sz w:val="72"/>
          <w:szCs w:val="72"/>
        </w:rPr>
        <w:t>2025年度部门决算（公开</w:t>
      </w:r>
      <w:r>
        <w:rPr>
          <w:rFonts w:ascii="黑体" w:eastAsia="黑体"/>
          <w:sz w:val="72"/>
          <w:szCs w:val="72"/>
        </w:rPr>
        <w:t>）</w:t>
      </w:r>
    </w:p>
    <w:p>
      <w:pPr>
        <w:jc w:val="center"/>
        <w:rPr>
          <w:rFonts w:ascii="黑体" w:eastAsia="黑体"/>
          <w:sz w:val="52"/>
          <w:szCs w:val="52"/>
        </w:rPr>
      </w:pPr>
    </w:p>
    <w:p>
      <w:pPr>
        <w:jc w:val="center"/>
        <w:rPr>
          <w:rFonts w:ascii="黑体" w:eastAsia="黑体"/>
          <w:sz w:val="52"/>
          <w:szCs w:val="52"/>
        </w:rPr>
      </w:pPr>
    </w:p>
    <w:p>
      <w:pPr>
        <w:jc w:val="center"/>
        <w:rPr>
          <w:rFonts w:ascii="黑体" w:eastAsia="黑体"/>
          <w:sz w:val="52"/>
          <w:szCs w:val="52"/>
        </w:rPr>
      </w:pPr>
    </w:p>
    <w:p>
      <w:pPr>
        <w:jc w:val="center"/>
        <w:rPr>
          <w:rFonts w:ascii="黑体" w:eastAsia="黑体"/>
          <w:sz w:val="52"/>
          <w:szCs w:val="52"/>
        </w:rPr>
      </w:pPr>
    </w:p>
    <w:p>
      <w:pPr>
        <w:jc w:val="center"/>
        <w:rPr>
          <w:rFonts w:ascii="黑体" w:eastAsia="黑体"/>
          <w:sz w:val="52"/>
          <w:szCs w:val="52"/>
        </w:rPr>
      </w:pPr>
    </w:p>
    <w:p>
      <w:pPr>
        <w:jc w:val="center"/>
        <w:rPr>
          <w:rFonts w:ascii="黑体" w:eastAsia="黑体"/>
          <w:sz w:val="52"/>
          <w:szCs w:val="52"/>
        </w:rPr>
      </w:pPr>
    </w:p>
    <w:p>
      <w:pPr>
        <w:jc w:val="center"/>
        <w:rPr>
          <w:rFonts w:ascii="黑体" w:eastAsia="黑体"/>
          <w:sz w:val="52"/>
          <w:szCs w:val="52"/>
        </w:rPr>
      </w:pPr>
    </w:p>
    <w:p>
      <w:pPr>
        <w:jc w:val="center"/>
        <w:rPr>
          <w:rFonts w:ascii="黑体" w:eastAsia="黑体"/>
          <w:sz w:val="52"/>
          <w:szCs w:val="52"/>
        </w:rPr>
      </w:pPr>
    </w:p>
    <w:p>
      <w:pPr>
        <w:jc w:val="center"/>
        <w:rPr>
          <w:rFonts w:ascii="黑体" w:eastAsia="黑体"/>
          <w:sz w:val="52"/>
          <w:szCs w:val="52"/>
        </w:rPr>
      </w:pPr>
    </w:p>
    <w:p>
      <w:pPr>
        <w:jc w:val="center"/>
        <w:rPr>
          <w:rFonts w:ascii="黑体" w:eastAsia="黑体"/>
          <w:sz w:val="32"/>
          <w:szCs w:val="32"/>
        </w:rPr>
      </w:pPr>
    </w:p>
    <w:p>
      <w:pPr>
        <w:spacing w:line="500" w:lineRule="exact"/>
        <w:ind w:firstLine="645"/>
        <w:jc w:val="center"/>
        <w:rPr>
          <w:rFonts w:ascii="宋体" w:hAnsi="宋体" w:cs="宋体"/>
          <w:b/>
          <w:bCs/>
          <w:kern w:val="0"/>
          <w:sz w:val="44"/>
          <w:szCs w:val="36"/>
        </w:rPr>
      </w:pPr>
      <w:r>
        <w:rPr>
          <w:rFonts w:hint="eastAsia" w:ascii="宋体" w:hAnsi="宋体" w:cs="宋体"/>
          <w:b/>
          <w:bCs/>
          <w:kern w:val="0"/>
          <w:sz w:val="44"/>
          <w:szCs w:val="36"/>
        </w:rPr>
        <w:t>目    录</w:t>
      </w:r>
    </w:p>
    <w:p>
      <w:pPr>
        <w:spacing w:line="500" w:lineRule="exact"/>
        <w:ind w:firstLine="645"/>
        <w:jc w:val="center"/>
        <w:rPr>
          <w:rFonts w:ascii="宋体" w:hAnsi="宋体" w:cs="宋体"/>
          <w:b/>
          <w:bCs/>
          <w:kern w:val="0"/>
          <w:sz w:val="36"/>
          <w:szCs w:val="36"/>
        </w:rPr>
      </w:pPr>
    </w:p>
    <w:p>
      <w:pPr>
        <w:tabs>
          <w:tab w:val="center" w:pos="6979"/>
        </w:tabs>
        <w:spacing w:line="500" w:lineRule="exact"/>
        <w:ind w:firstLine="800" w:firstLineChars="200"/>
        <w:jc w:val="left"/>
        <w:rPr>
          <w:rFonts w:ascii="宋体" w:hAnsi="宋体" w:cs="宋体"/>
          <w:bCs/>
          <w:spacing w:val="40"/>
          <w:kern w:val="0"/>
          <w:sz w:val="32"/>
          <w:szCs w:val="32"/>
        </w:rPr>
      </w:pPr>
      <w:r>
        <w:rPr>
          <w:rFonts w:hint="eastAsia" w:ascii="宋体" w:hAnsi="宋体" w:cs="宋体"/>
          <w:bCs/>
          <w:spacing w:val="40"/>
          <w:kern w:val="0"/>
          <w:sz w:val="32"/>
          <w:szCs w:val="32"/>
        </w:rPr>
        <w:t>第一部分 2025年度部门决算报表</w:t>
      </w:r>
    </w:p>
    <w:p>
      <w:pPr>
        <w:tabs>
          <w:tab w:val="center" w:pos="6979"/>
        </w:tabs>
        <w:spacing w:line="500" w:lineRule="exact"/>
        <w:ind w:firstLine="1600" w:firstLineChars="400"/>
        <w:jc w:val="left"/>
        <w:rPr>
          <w:rFonts w:ascii="仿宋_GB2312" w:hAnsi="仿宋" w:eastAsia="仿宋_GB2312"/>
          <w:spacing w:val="40"/>
          <w:sz w:val="32"/>
          <w:szCs w:val="32"/>
        </w:rPr>
      </w:pPr>
      <w:r>
        <w:rPr>
          <w:rFonts w:hint="eastAsia" w:ascii="仿宋_GB2312" w:hAnsi="仿宋" w:eastAsia="仿宋_GB2312" w:cs="宋体"/>
          <w:bCs/>
          <w:spacing w:val="40"/>
          <w:kern w:val="0"/>
          <w:sz w:val="32"/>
          <w:szCs w:val="32"/>
        </w:rPr>
        <w:t>一、收入支出决算总表</w:t>
      </w:r>
    </w:p>
    <w:p>
      <w:pPr>
        <w:tabs>
          <w:tab w:val="center" w:pos="6979"/>
        </w:tabs>
        <w:spacing w:line="500" w:lineRule="exact"/>
        <w:ind w:firstLine="1600" w:firstLineChars="4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二、收入决算表</w:t>
      </w:r>
    </w:p>
    <w:p>
      <w:pPr>
        <w:tabs>
          <w:tab w:val="center" w:pos="6979"/>
        </w:tabs>
        <w:spacing w:line="500" w:lineRule="exact"/>
        <w:ind w:firstLine="1600" w:firstLineChars="4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三、支出决算表</w:t>
      </w:r>
    </w:p>
    <w:p>
      <w:pPr>
        <w:tabs>
          <w:tab w:val="center" w:pos="6979"/>
        </w:tabs>
        <w:spacing w:line="500" w:lineRule="exact"/>
        <w:ind w:firstLine="1600" w:firstLineChars="4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四、财政拨款收入支出决算总表</w:t>
      </w:r>
    </w:p>
    <w:p>
      <w:pPr>
        <w:tabs>
          <w:tab w:val="center" w:pos="6979"/>
        </w:tabs>
        <w:spacing w:line="500" w:lineRule="exact"/>
        <w:ind w:firstLine="1600" w:firstLineChars="4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五、一般公共预算财政拨款支出决算表</w:t>
      </w:r>
    </w:p>
    <w:p>
      <w:pPr>
        <w:tabs>
          <w:tab w:val="center" w:pos="6979"/>
        </w:tabs>
        <w:spacing w:line="500" w:lineRule="exact"/>
        <w:ind w:firstLine="1600" w:firstLineChars="4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六、一般公共预算财政拨款</w:t>
      </w:r>
      <w:r>
        <w:rPr>
          <w:rFonts w:ascii="仿宋_GB2312" w:hAnsi="仿宋" w:eastAsia="仿宋_GB2312" w:cs="宋体"/>
          <w:bCs/>
          <w:spacing w:val="40"/>
          <w:kern w:val="0"/>
          <w:sz w:val="32"/>
          <w:szCs w:val="32"/>
        </w:rPr>
        <w:t>基本支出决算表</w:t>
      </w:r>
    </w:p>
    <w:p>
      <w:pPr>
        <w:tabs>
          <w:tab w:val="center" w:pos="6979"/>
        </w:tabs>
        <w:spacing w:line="500" w:lineRule="exact"/>
        <w:ind w:firstLine="1600" w:firstLineChars="4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七</w:t>
      </w:r>
      <w:r>
        <w:rPr>
          <w:rFonts w:ascii="仿宋_GB2312" w:hAnsi="仿宋" w:eastAsia="仿宋_GB2312" w:cs="宋体"/>
          <w:bCs/>
          <w:spacing w:val="40"/>
          <w:kern w:val="0"/>
          <w:sz w:val="32"/>
          <w:szCs w:val="32"/>
        </w:rPr>
        <w:t>、</w:t>
      </w:r>
      <w:r>
        <w:rPr>
          <w:rFonts w:hint="eastAsia" w:ascii="仿宋_GB2312" w:hAnsi="仿宋" w:eastAsia="仿宋_GB2312" w:cs="宋体"/>
          <w:bCs/>
          <w:spacing w:val="40"/>
          <w:kern w:val="0"/>
          <w:sz w:val="32"/>
          <w:szCs w:val="32"/>
        </w:rPr>
        <w:t>政府性基金预算财政拨款收入支出决算表</w:t>
      </w:r>
    </w:p>
    <w:p>
      <w:pPr>
        <w:tabs>
          <w:tab w:val="center" w:pos="6979"/>
        </w:tabs>
        <w:spacing w:line="500" w:lineRule="exact"/>
        <w:ind w:firstLine="1600" w:firstLineChars="4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八、</w:t>
      </w:r>
      <w:r>
        <w:rPr>
          <w:rFonts w:ascii="仿宋_GB2312" w:hAnsi="仿宋" w:eastAsia="仿宋_GB2312" w:cs="宋体"/>
          <w:bCs/>
          <w:spacing w:val="40"/>
          <w:kern w:val="0"/>
          <w:sz w:val="32"/>
          <w:szCs w:val="32"/>
        </w:rPr>
        <w:t>政府性基金</w:t>
      </w:r>
      <w:r>
        <w:rPr>
          <w:rFonts w:hint="eastAsia" w:ascii="仿宋_GB2312" w:hAnsi="仿宋" w:eastAsia="仿宋_GB2312" w:cs="宋体"/>
          <w:bCs/>
          <w:spacing w:val="40"/>
          <w:kern w:val="0"/>
          <w:sz w:val="32"/>
          <w:szCs w:val="32"/>
        </w:rPr>
        <w:t>预算</w:t>
      </w:r>
      <w:r>
        <w:rPr>
          <w:rFonts w:ascii="仿宋_GB2312" w:hAnsi="仿宋" w:eastAsia="仿宋_GB2312" w:cs="宋体"/>
          <w:bCs/>
          <w:spacing w:val="40"/>
          <w:kern w:val="0"/>
          <w:sz w:val="32"/>
          <w:szCs w:val="32"/>
        </w:rPr>
        <w:t>财政拨款基本支出决算表</w:t>
      </w:r>
    </w:p>
    <w:p>
      <w:pPr>
        <w:tabs>
          <w:tab w:val="center" w:pos="6979"/>
        </w:tabs>
        <w:spacing w:line="500" w:lineRule="exact"/>
        <w:ind w:firstLine="1600" w:firstLineChars="4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九、国有资本经营预算财政拨款支出决算表</w:t>
      </w:r>
    </w:p>
    <w:p>
      <w:pPr>
        <w:tabs>
          <w:tab w:val="center" w:pos="6979"/>
        </w:tabs>
        <w:spacing w:line="500" w:lineRule="exact"/>
        <w:ind w:firstLine="1600" w:firstLineChars="4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十、财政拨款“三公”经费支出决算表</w:t>
      </w:r>
    </w:p>
    <w:p>
      <w:pPr>
        <w:tabs>
          <w:tab w:val="center" w:pos="6979"/>
        </w:tabs>
        <w:spacing w:line="500" w:lineRule="exact"/>
        <w:ind w:firstLine="1600" w:firstLineChars="4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十一、政府采购情况表</w:t>
      </w:r>
    </w:p>
    <w:p>
      <w:pPr>
        <w:tabs>
          <w:tab w:val="center" w:pos="6979"/>
        </w:tabs>
        <w:spacing w:line="500" w:lineRule="exact"/>
        <w:ind w:firstLine="800" w:firstLineChars="200"/>
        <w:jc w:val="left"/>
        <w:rPr>
          <w:rFonts w:ascii="宋体" w:hAnsi="宋体" w:cs="宋体"/>
          <w:bCs/>
          <w:spacing w:val="40"/>
          <w:kern w:val="0"/>
          <w:sz w:val="32"/>
          <w:szCs w:val="32"/>
        </w:rPr>
      </w:pPr>
      <w:r>
        <w:rPr>
          <w:rFonts w:hint="eastAsia" w:ascii="宋体" w:hAnsi="宋体" w:cs="宋体"/>
          <w:bCs/>
          <w:spacing w:val="40"/>
          <w:kern w:val="0"/>
          <w:sz w:val="32"/>
          <w:szCs w:val="32"/>
        </w:rPr>
        <w:t xml:space="preserve">第二部分 </w:t>
      </w:r>
      <w:r>
        <w:rPr>
          <w:rFonts w:hint="eastAsia" w:ascii="宋体" w:hAnsi="宋体"/>
          <w:spacing w:val="40"/>
          <w:sz w:val="32"/>
          <w:szCs w:val="32"/>
        </w:rPr>
        <w:t>2025年度部门决算说明</w:t>
      </w:r>
    </w:p>
    <w:p>
      <w:pPr>
        <w:tabs>
          <w:tab w:val="center" w:pos="6979"/>
        </w:tabs>
        <w:spacing w:line="500" w:lineRule="exact"/>
        <w:ind w:firstLine="800" w:firstLineChars="200"/>
        <w:jc w:val="left"/>
        <w:rPr>
          <w:rFonts w:ascii="宋体" w:hAnsi="宋体" w:cs="宋体"/>
          <w:spacing w:val="40"/>
          <w:kern w:val="0"/>
          <w:sz w:val="32"/>
          <w:szCs w:val="32"/>
        </w:rPr>
      </w:pPr>
      <w:r>
        <w:rPr>
          <w:rFonts w:hint="eastAsia" w:ascii="宋体" w:hAnsi="宋体" w:cs="宋体"/>
          <w:bCs/>
          <w:spacing w:val="40"/>
          <w:kern w:val="0"/>
          <w:sz w:val="32"/>
          <w:szCs w:val="32"/>
        </w:rPr>
        <w:t xml:space="preserve">第三部分 </w:t>
      </w:r>
      <w:r>
        <w:rPr>
          <w:rFonts w:hint="eastAsia" w:ascii="宋体" w:hAnsi="宋体"/>
          <w:spacing w:val="40"/>
          <w:sz w:val="32"/>
          <w:szCs w:val="32"/>
        </w:rPr>
        <w:t>2025年度</w:t>
      </w:r>
      <w:r>
        <w:rPr>
          <w:rFonts w:hint="eastAsia" w:ascii="宋体" w:hAnsi="宋体" w:cs="宋体"/>
          <w:spacing w:val="40"/>
          <w:kern w:val="0"/>
          <w:sz w:val="32"/>
          <w:szCs w:val="32"/>
        </w:rPr>
        <w:t>其他重要事项的情况说明</w:t>
      </w:r>
    </w:p>
    <w:p>
      <w:pPr>
        <w:tabs>
          <w:tab w:val="center" w:pos="6979"/>
        </w:tabs>
        <w:spacing w:line="500" w:lineRule="exact"/>
        <w:ind w:firstLine="800" w:firstLineChars="200"/>
        <w:jc w:val="left"/>
        <w:rPr>
          <w:rFonts w:ascii="宋体" w:hAnsi="宋体" w:cs="宋体"/>
          <w:spacing w:val="40"/>
          <w:kern w:val="0"/>
          <w:sz w:val="36"/>
          <w:szCs w:val="32"/>
        </w:rPr>
      </w:pPr>
      <w:r>
        <w:rPr>
          <w:rFonts w:hint="eastAsia" w:ascii="宋体" w:hAnsi="宋体" w:cs="宋体"/>
          <w:spacing w:val="40"/>
          <w:kern w:val="0"/>
          <w:sz w:val="32"/>
          <w:szCs w:val="32"/>
        </w:rPr>
        <w:t>第四部分 2025年度部门绩效评价情况</w:t>
      </w:r>
    </w:p>
    <w:p>
      <w:pPr>
        <w:tabs>
          <w:tab w:val="center" w:pos="6979"/>
        </w:tabs>
        <w:spacing w:before="156" w:beforeLines="50" w:after="156" w:afterLines="50"/>
        <w:jc w:val="center"/>
        <w:rPr>
          <w:rFonts w:ascii="宋体" w:hAnsi="宋体" w:cs="宋体"/>
          <w:b/>
          <w:bCs/>
          <w:spacing w:val="40"/>
          <w:kern w:val="0"/>
          <w:sz w:val="32"/>
          <w:szCs w:val="32"/>
        </w:rPr>
      </w:pPr>
    </w:p>
    <w:p>
      <w:pPr>
        <w:tabs>
          <w:tab w:val="center" w:pos="6979"/>
        </w:tabs>
        <w:spacing w:before="156" w:beforeLines="50" w:after="156" w:afterLines="50"/>
        <w:jc w:val="center"/>
        <w:rPr>
          <w:rFonts w:ascii="宋体" w:hAnsi="宋体" w:cs="宋体"/>
          <w:b/>
          <w:bCs/>
          <w:spacing w:val="40"/>
          <w:kern w:val="0"/>
          <w:sz w:val="32"/>
          <w:szCs w:val="32"/>
        </w:rPr>
      </w:pPr>
    </w:p>
    <w:p>
      <w:pPr>
        <w:tabs>
          <w:tab w:val="center" w:pos="6979"/>
        </w:tabs>
        <w:spacing w:before="156" w:beforeLines="50" w:after="156" w:afterLines="50"/>
        <w:jc w:val="center"/>
        <w:rPr>
          <w:rFonts w:ascii="宋体" w:hAnsi="宋体" w:cs="宋体"/>
          <w:b/>
          <w:bCs/>
          <w:spacing w:val="40"/>
          <w:kern w:val="0"/>
          <w:sz w:val="32"/>
          <w:szCs w:val="32"/>
        </w:rPr>
      </w:pPr>
    </w:p>
    <w:p>
      <w:pPr>
        <w:tabs>
          <w:tab w:val="center" w:pos="6979"/>
        </w:tabs>
        <w:spacing w:before="156" w:beforeLines="50" w:after="156" w:afterLines="50"/>
        <w:jc w:val="center"/>
        <w:rPr>
          <w:rFonts w:ascii="宋体" w:hAnsi="宋体" w:cs="宋体"/>
          <w:b/>
          <w:bCs/>
          <w:spacing w:val="40"/>
          <w:kern w:val="0"/>
          <w:sz w:val="32"/>
          <w:szCs w:val="32"/>
        </w:rPr>
      </w:pPr>
    </w:p>
    <w:p>
      <w:pPr>
        <w:tabs>
          <w:tab w:val="center" w:pos="6979"/>
        </w:tabs>
        <w:spacing w:before="156" w:beforeLines="50" w:after="156" w:afterLines="50"/>
        <w:jc w:val="center"/>
        <w:rPr>
          <w:rFonts w:ascii="宋体" w:hAnsi="宋体" w:cs="宋体"/>
          <w:b/>
          <w:bCs/>
          <w:spacing w:val="40"/>
          <w:kern w:val="0"/>
          <w:sz w:val="32"/>
          <w:szCs w:val="32"/>
        </w:rPr>
      </w:pPr>
    </w:p>
    <w:p>
      <w:pPr>
        <w:tabs>
          <w:tab w:val="center" w:pos="6979"/>
        </w:tabs>
        <w:spacing w:before="156" w:beforeLines="50" w:after="156" w:afterLines="50"/>
        <w:jc w:val="center"/>
        <w:rPr>
          <w:rFonts w:ascii="宋体" w:hAnsi="宋体" w:cs="宋体"/>
          <w:b/>
          <w:bCs/>
          <w:spacing w:val="40"/>
          <w:kern w:val="0"/>
          <w:sz w:val="32"/>
          <w:szCs w:val="32"/>
        </w:rPr>
      </w:pPr>
    </w:p>
    <w:p>
      <w:pPr>
        <w:tabs>
          <w:tab w:val="center" w:pos="6979"/>
        </w:tabs>
        <w:spacing w:before="156" w:beforeLines="50" w:after="156" w:afterLines="50"/>
        <w:jc w:val="center"/>
        <w:rPr>
          <w:rFonts w:ascii="宋体" w:hAnsi="宋体" w:cs="宋体"/>
          <w:b/>
          <w:bCs/>
          <w:spacing w:val="40"/>
          <w:kern w:val="0"/>
          <w:sz w:val="32"/>
          <w:szCs w:val="32"/>
        </w:rPr>
      </w:pPr>
    </w:p>
    <w:p>
      <w:pPr>
        <w:tabs>
          <w:tab w:val="center" w:pos="6979"/>
        </w:tabs>
        <w:spacing w:before="156" w:beforeLines="50" w:after="156" w:afterLines="50"/>
        <w:jc w:val="center"/>
        <w:rPr>
          <w:rFonts w:ascii="宋体" w:hAnsi="宋体" w:cs="宋体"/>
          <w:b/>
          <w:bCs/>
          <w:spacing w:val="40"/>
          <w:kern w:val="0"/>
          <w:sz w:val="32"/>
          <w:szCs w:val="32"/>
        </w:rPr>
      </w:pPr>
      <w:r>
        <w:rPr>
          <w:rFonts w:hint="eastAsia" w:ascii="宋体" w:hAnsi="宋体" w:cs="宋体"/>
          <w:b/>
          <w:bCs/>
          <w:spacing w:val="40"/>
          <w:kern w:val="0"/>
          <w:sz w:val="44"/>
          <w:szCs w:val="44"/>
        </w:rPr>
        <w:t>第一部分 2025年度部门决算报表</w:t>
      </w:r>
    </w:p>
    <w:p>
      <w:pPr>
        <w:pStyle w:val="2"/>
        <w:rPr>
          <w:b w:val="0"/>
          <w:bCs w:val="0"/>
        </w:rPr>
        <w:sectPr>
          <w:footerReference r:id="rId3" w:type="default"/>
          <w:pgSz w:w="11906" w:h="16838"/>
          <w:pgMar w:top="1134" w:right="1134" w:bottom="1134" w:left="1134" w:header="851" w:footer="992" w:gutter="0"/>
          <w:cols w:space="720" w:num="1"/>
          <w:docGrid w:type="linesAndChars" w:linePitch="312" w:charSpace="0"/>
        </w:sectPr>
      </w:pPr>
      <w:r>
        <w:rPr>
          <w:rFonts w:hint="eastAsia" w:ascii="仿宋_GB2312" w:eastAsia="仿宋_GB2312"/>
          <w:sz w:val="28"/>
          <w:szCs w:val="28"/>
        </w:rPr>
        <w:t xml:space="preserve">   </w:t>
      </w:r>
      <w:r>
        <w:rPr>
          <w:rFonts w:hint="eastAsia" w:ascii="仿宋_GB2312" w:eastAsia="仿宋_GB2312"/>
          <w:b w:val="0"/>
          <w:bCs w:val="0"/>
          <w:sz w:val="28"/>
          <w:szCs w:val="28"/>
        </w:rPr>
        <w:t>报表详见附件。</w:t>
      </w:r>
    </w:p>
    <w:p>
      <w:pPr>
        <w:tabs>
          <w:tab w:val="center" w:pos="6979"/>
        </w:tabs>
        <w:spacing w:before="156" w:beforeLines="50" w:after="156" w:afterLines="50"/>
        <w:jc w:val="center"/>
        <w:rPr>
          <w:rFonts w:ascii="宋体" w:hAnsi="宋体"/>
          <w:b/>
          <w:sz w:val="32"/>
          <w:szCs w:val="32"/>
        </w:rPr>
      </w:pPr>
      <w:r>
        <w:rPr>
          <w:rFonts w:hint="eastAsia" w:ascii="宋体" w:hAnsi="宋体" w:cs="宋体"/>
          <w:b/>
          <w:bCs/>
          <w:spacing w:val="40"/>
          <w:kern w:val="0"/>
          <w:sz w:val="32"/>
          <w:szCs w:val="32"/>
        </w:rPr>
        <w:t xml:space="preserve">第二部分 </w:t>
      </w:r>
      <w:r>
        <w:rPr>
          <w:rFonts w:hint="eastAsia" w:ascii="宋体" w:hAnsi="宋体"/>
          <w:b/>
          <w:spacing w:val="40"/>
          <w:sz w:val="32"/>
          <w:szCs w:val="32"/>
        </w:rPr>
        <w:t>2025年度部门决算说明</w:t>
      </w:r>
    </w:p>
    <w:p>
      <w:pPr>
        <w:tabs>
          <w:tab w:val="center" w:pos="6979"/>
        </w:tabs>
        <w:spacing w:line="580" w:lineRule="exact"/>
        <w:ind w:firstLine="548" w:firstLineChars="196"/>
        <w:rPr>
          <w:rFonts w:ascii="黑体" w:eastAsia="黑体"/>
          <w:b/>
          <w:sz w:val="28"/>
          <w:szCs w:val="28"/>
        </w:rPr>
      </w:pPr>
      <w:r>
        <w:rPr>
          <w:rFonts w:hint="eastAsia" w:ascii="黑体" w:eastAsia="黑体"/>
          <w:b/>
          <w:sz w:val="28"/>
          <w:szCs w:val="28"/>
        </w:rPr>
        <w:t>一、部门/单位基本情况</w:t>
      </w:r>
    </w:p>
    <w:p>
      <w:pPr>
        <w:tabs>
          <w:tab w:val="center" w:pos="6979"/>
        </w:tabs>
        <w:spacing w:line="580" w:lineRule="exact"/>
        <w:ind w:firstLine="700" w:firstLineChars="250"/>
        <w:rPr>
          <w:rFonts w:hint="eastAsia" w:ascii="仿宋_GB2312" w:eastAsia="仿宋_GB2312"/>
          <w:sz w:val="28"/>
          <w:szCs w:val="28"/>
        </w:rPr>
      </w:pPr>
      <w:r>
        <w:rPr>
          <w:rFonts w:hint="eastAsia" w:ascii="仿宋_GB2312" w:eastAsia="仿宋_GB2312"/>
          <w:sz w:val="28"/>
          <w:szCs w:val="28"/>
        </w:rPr>
        <w:t>（一</w:t>
      </w:r>
      <w:r>
        <w:rPr>
          <w:rFonts w:ascii="仿宋_GB2312" w:eastAsia="仿宋_GB2312"/>
          <w:sz w:val="28"/>
          <w:szCs w:val="28"/>
        </w:rPr>
        <w:t>）</w:t>
      </w:r>
      <w:r>
        <w:rPr>
          <w:rFonts w:hint="eastAsia" w:ascii="仿宋_GB2312" w:eastAsia="仿宋_GB2312"/>
          <w:sz w:val="28"/>
          <w:szCs w:val="28"/>
        </w:rPr>
        <w:t>本部门职责情况</w:t>
      </w:r>
    </w:p>
    <w:p>
      <w:pPr>
        <w:tabs>
          <w:tab w:val="center" w:pos="6979"/>
        </w:tabs>
        <w:spacing w:line="580" w:lineRule="exact"/>
        <w:ind w:firstLine="700" w:firstLineChars="250"/>
        <w:rPr>
          <w:rFonts w:hint="default" w:eastAsia="仿宋_GB2312"/>
          <w:lang w:val="en-US" w:eastAsia="zh-CN"/>
        </w:rPr>
      </w:pPr>
      <w:r>
        <w:rPr>
          <w:rFonts w:hint="eastAsia" w:ascii="仿宋_GB2312" w:eastAsia="仿宋_GB2312"/>
          <w:sz w:val="28"/>
          <w:szCs w:val="28"/>
          <w:lang w:eastAsia="zh-CN"/>
        </w:rPr>
        <w:t>永定镇人民政府隶属于门头沟区人民政府，属于政府职能部门，</w:t>
      </w:r>
      <w:r>
        <w:rPr>
          <w:rFonts w:hint="eastAsia" w:ascii="仿宋_GB2312" w:hAnsi="Calibri" w:eastAsia="仿宋_GB2312" w:cs="Times New Roman"/>
          <w:sz w:val="28"/>
          <w:szCs w:val="32"/>
          <w:lang w:eastAsia="zh-CN"/>
        </w:rPr>
        <w:t>职责是加强对永定镇经济和社会发展的统筹规划和组织协调服务；加强社会主义民主政治和法制建设，依法行政，规范管理；完善农村社会化服务体个系，为农业和农村经济发展创造条件。</w:t>
      </w:r>
    </w:p>
    <w:p>
      <w:pPr>
        <w:numPr>
          <w:ilvl w:val="0"/>
          <w:numId w:val="1"/>
        </w:numPr>
        <w:tabs>
          <w:tab w:val="center" w:pos="6979"/>
        </w:tabs>
        <w:spacing w:line="580" w:lineRule="exact"/>
        <w:ind w:firstLine="700" w:firstLineChars="250"/>
        <w:rPr>
          <w:rFonts w:hint="eastAsia" w:ascii="仿宋_GB2312" w:eastAsia="仿宋_GB2312"/>
          <w:sz w:val="28"/>
          <w:szCs w:val="28"/>
        </w:rPr>
      </w:pPr>
      <w:r>
        <w:rPr>
          <w:rFonts w:hint="eastAsia" w:ascii="仿宋_GB2312" w:eastAsia="仿宋_GB2312"/>
          <w:sz w:val="28"/>
          <w:szCs w:val="28"/>
        </w:rPr>
        <w:t>机构</w:t>
      </w:r>
      <w:r>
        <w:rPr>
          <w:rFonts w:ascii="仿宋_GB2312" w:eastAsia="仿宋_GB2312"/>
          <w:sz w:val="28"/>
          <w:szCs w:val="28"/>
        </w:rPr>
        <w:t>设置</w:t>
      </w:r>
      <w:r>
        <w:rPr>
          <w:rFonts w:hint="eastAsia" w:ascii="仿宋_GB2312" w:eastAsia="仿宋_GB2312"/>
          <w:sz w:val="28"/>
          <w:szCs w:val="28"/>
        </w:rPr>
        <w:t>情况</w:t>
      </w:r>
    </w:p>
    <w:p>
      <w:pPr>
        <w:tabs>
          <w:tab w:val="center" w:pos="6979"/>
        </w:tabs>
        <w:spacing w:line="580" w:lineRule="exact"/>
        <w:ind w:firstLine="570"/>
        <w:rPr>
          <w:rFonts w:hint="eastAsia" w:ascii="仿宋_GB2312" w:eastAsia="仿宋_GB2312"/>
          <w:sz w:val="28"/>
          <w:szCs w:val="28"/>
        </w:rPr>
      </w:pPr>
      <w:r>
        <w:rPr>
          <w:rFonts w:hint="eastAsia" w:ascii="仿宋_GB2312" w:eastAsia="仿宋_GB2312"/>
          <w:sz w:val="28"/>
          <w:szCs w:val="28"/>
          <w:lang w:eastAsia="zh-CN"/>
        </w:rPr>
        <w:t>永定镇人民政府共设一个内设机构，下设5个事业单位，包括永定镇区域经济发展中心、永定镇市民活动中心、永定镇便民服务中心、永定镇市民诉求处置中心、永定镇农村经济经营管理站。</w:t>
      </w:r>
    </w:p>
    <w:p>
      <w:pPr>
        <w:tabs>
          <w:tab w:val="center" w:pos="6979"/>
        </w:tabs>
        <w:spacing w:line="580" w:lineRule="exact"/>
        <w:rPr>
          <w:rFonts w:ascii="黑体" w:eastAsia="黑体"/>
          <w:b/>
          <w:sz w:val="28"/>
          <w:szCs w:val="28"/>
        </w:rPr>
      </w:pPr>
      <w:r>
        <w:rPr>
          <w:rFonts w:hint="eastAsia" w:ascii="仿宋_GB2312" w:eastAsia="仿宋_GB2312"/>
          <w:b/>
          <w:sz w:val="32"/>
          <w:szCs w:val="32"/>
        </w:rPr>
        <w:t xml:space="preserve">   </w:t>
      </w:r>
      <w:r>
        <w:rPr>
          <w:rFonts w:hint="eastAsia" w:ascii="黑体" w:eastAsia="黑体"/>
          <w:b/>
          <w:sz w:val="28"/>
          <w:szCs w:val="28"/>
        </w:rPr>
        <w:t>二、收入支出决算总体情况说明</w:t>
      </w:r>
    </w:p>
    <w:p>
      <w:pPr>
        <w:tabs>
          <w:tab w:val="center" w:pos="6979"/>
        </w:tabs>
        <w:spacing w:line="580" w:lineRule="exact"/>
        <w:ind w:firstLine="570"/>
        <w:rPr>
          <w:rFonts w:ascii="仿宋_GB2312" w:eastAsia="仿宋_GB2312"/>
          <w:sz w:val="28"/>
          <w:szCs w:val="28"/>
        </w:rPr>
      </w:pPr>
      <w:r>
        <w:rPr>
          <w:rFonts w:hint="eastAsia" w:ascii="仿宋_GB2312" w:eastAsia="仿宋_GB2312"/>
          <w:sz w:val="28"/>
          <w:szCs w:val="28"/>
        </w:rPr>
        <w:t>2025年度收、</w:t>
      </w:r>
      <w:r>
        <w:rPr>
          <w:rFonts w:ascii="仿宋_GB2312" w:eastAsia="仿宋_GB2312"/>
          <w:sz w:val="28"/>
          <w:szCs w:val="28"/>
        </w:rPr>
        <w:t>支</w:t>
      </w:r>
      <w:r>
        <w:rPr>
          <w:rFonts w:hint="eastAsia" w:ascii="仿宋_GB2312" w:eastAsia="仿宋_GB2312"/>
          <w:sz w:val="28"/>
          <w:szCs w:val="28"/>
        </w:rPr>
        <w:t>总计219,965,184.24元，</w:t>
      </w:r>
      <w:r>
        <w:rPr>
          <w:rFonts w:ascii="仿宋_GB2312" w:eastAsia="仿宋_GB2312"/>
          <w:sz w:val="28"/>
          <w:szCs w:val="28"/>
        </w:rPr>
        <w:t>比上年</w:t>
      </w:r>
      <w:r>
        <w:rPr>
          <w:rFonts w:hint="eastAsia" w:ascii="仿宋_GB2312" w:eastAsia="仿宋_GB2312"/>
          <w:sz w:val="28"/>
          <w:szCs w:val="28"/>
        </w:rPr>
        <w:t>减少</w:t>
      </w:r>
      <w:r>
        <w:rPr>
          <w:rFonts w:hint="eastAsia" w:ascii="仿宋_GB2312" w:eastAsia="仿宋_GB2312"/>
          <w:sz w:val="28"/>
          <w:szCs w:val="28"/>
          <w:lang w:val="en-US" w:eastAsia="zh-CN"/>
        </w:rPr>
        <w:t>118,716,530.8</w:t>
      </w:r>
      <w:r>
        <w:rPr>
          <w:rFonts w:hint="eastAsia" w:ascii="仿宋_GB2312" w:eastAsia="仿宋_GB2312"/>
          <w:sz w:val="28"/>
          <w:szCs w:val="28"/>
        </w:rPr>
        <w:t>元，下降</w:t>
      </w:r>
      <w:r>
        <w:rPr>
          <w:rFonts w:hint="eastAsia" w:ascii="仿宋_GB2312" w:eastAsia="仿宋_GB2312"/>
          <w:sz w:val="28"/>
          <w:szCs w:val="28"/>
          <w:lang w:val="en-US" w:eastAsia="zh-CN"/>
        </w:rPr>
        <w:t>35.1</w:t>
      </w:r>
      <w:r>
        <w:rPr>
          <w:rFonts w:hint="eastAsia" w:ascii="仿宋_GB2312" w:eastAsia="仿宋_GB2312"/>
          <w:sz w:val="28"/>
          <w:szCs w:val="28"/>
        </w:rPr>
        <w:t>%。</w:t>
      </w:r>
    </w:p>
    <w:p>
      <w:pPr>
        <w:tabs>
          <w:tab w:val="center" w:pos="6979"/>
        </w:tabs>
        <w:spacing w:line="580" w:lineRule="exact"/>
        <w:ind w:firstLine="570"/>
        <w:rPr>
          <w:rFonts w:ascii="仿宋_GB2312" w:eastAsia="仿宋_GB2312"/>
          <w:sz w:val="28"/>
          <w:szCs w:val="28"/>
        </w:rPr>
      </w:pPr>
      <w:r>
        <w:rPr>
          <w:rFonts w:hint="eastAsia" w:ascii="仿宋_GB2312" w:eastAsia="仿宋_GB2312"/>
          <w:sz w:val="28"/>
          <w:szCs w:val="28"/>
        </w:rPr>
        <w:t>（一</w:t>
      </w:r>
      <w:r>
        <w:rPr>
          <w:rFonts w:ascii="仿宋_GB2312" w:eastAsia="仿宋_GB2312"/>
          <w:sz w:val="28"/>
          <w:szCs w:val="28"/>
        </w:rPr>
        <w:t>）</w:t>
      </w:r>
      <w:r>
        <w:rPr>
          <w:rFonts w:hint="eastAsia" w:ascii="仿宋_GB2312" w:eastAsia="仿宋_GB2312"/>
          <w:sz w:val="28"/>
          <w:szCs w:val="28"/>
        </w:rPr>
        <w:t>收入决算</w:t>
      </w:r>
      <w:r>
        <w:rPr>
          <w:rFonts w:ascii="仿宋_GB2312" w:eastAsia="仿宋_GB2312"/>
          <w:sz w:val="28"/>
          <w:szCs w:val="28"/>
        </w:rPr>
        <w:t>说明</w:t>
      </w:r>
    </w:p>
    <w:p>
      <w:pPr>
        <w:tabs>
          <w:tab w:val="center" w:pos="6979"/>
        </w:tabs>
        <w:spacing w:line="580" w:lineRule="exact"/>
        <w:ind w:firstLine="570"/>
        <w:rPr>
          <w:rFonts w:ascii="仿宋_GB2312" w:eastAsia="仿宋_GB2312"/>
          <w:sz w:val="28"/>
          <w:szCs w:val="28"/>
        </w:rPr>
      </w:pPr>
      <w:r>
        <w:rPr>
          <w:rFonts w:hint="eastAsia" w:ascii="仿宋_GB2312" w:eastAsia="仿宋_GB2312"/>
          <w:sz w:val="28"/>
          <w:szCs w:val="28"/>
        </w:rPr>
        <w:t>2025年度本年收入合计219,965,184.24元，</w:t>
      </w:r>
      <w:r>
        <w:rPr>
          <w:rFonts w:ascii="仿宋_GB2312" w:eastAsia="仿宋_GB2312"/>
          <w:sz w:val="28"/>
          <w:szCs w:val="28"/>
        </w:rPr>
        <w:t>比上年</w:t>
      </w:r>
      <w:r>
        <w:rPr>
          <w:rFonts w:hint="eastAsia" w:ascii="仿宋_GB2312" w:eastAsia="仿宋_GB2312"/>
          <w:sz w:val="28"/>
          <w:szCs w:val="28"/>
        </w:rPr>
        <w:t>减少</w:t>
      </w:r>
      <w:r>
        <w:rPr>
          <w:rFonts w:hint="eastAsia" w:ascii="仿宋_GB2312" w:eastAsia="仿宋_GB2312"/>
          <w:sz w:val="28"/>
          <w:szCs w:val="28"/>
          <w:lang w:val="en-US" w:eastAsia="zh-CN"/>
        </w:rPr>
        <w:t>72,150,018.34</w:t>
      </w:r>
      <w:r>
        <w:rPr>
          <w:rFonts w:hint="eastAsia" w:ascii="仿宋_GB2312" w:eastAsia="仿宋_GB2312"/>
          <w:sz w:val="28"/>
          <w:szCs w:val="28"/>
        </w:rPr>
        <w:t>元，下降</w:t>
      </w:r>
      <w:r>
        <w:rPr>
          <w:rFonts w:hint="eastAsia" w:ascii="仿宋_GB2312" w:eastAsia="仿宋_GB2312"/>
          <w:sz w:val="28"/>
          <w:szCs w:val="28"/>
          <w:lang w:val="en-US" w:eastAsia="zh-CN"/>
        </w:rPr>
        <w:t>24.7</w:t>
      </w:r>
      <w:r>
        <w:rPr>
          <w:rFonts w:hint="eastAsia" w:ascii="仿宋_GB2312" w:eastAsia="仿宋_GB2312"/>
          <w:sz w:val="28"/>
          <w:szCs w:val="28"/>
        </w:rPr>
        <w:t>%。</w:t>
      </w:r>
    </w:p>
    <w:p>
      <w:pPr>
        <w:tabs>
          <w:tab w:val="center" w:pos="6979"/>
        </w:tabs>
        <w:spacing w:line="580" w:lineRule="exact"/>
        <w:ind w:firstLine="560" w:firstLineChars="200"/>
        <w:rPr>
          <w:rFonts w:ascii="仿宋_GB2312" w:eastAsia="仿宋_GB2312"/>
          <w:sz w:val="28"/>
          <w:szCs w:val="28"/>
        </w:rPr>
      </w:pPr>
      <w:r>
        <w:rPr>
          <w:rFonts w:hint="eastAsia" w:ascii="仿宋_GB2312" w:eastAsia="仿宋_GB2312"/>
          <w:sz w:val="28"/>
          <w:szCs w:val="28"/>
        </w:rPr>
        <w:t>1.财政拨款收入219,965,184.2</w:t>
      </w:r>
      <w:r>
        <w:rPr>
          <w:rFonts w:ascii="仿宋_GB2312" w:eastAsia="仿宋_GB2312"/>
          <w:sz w:val="28"/>
          <w:szCs w:val="28"/>
        </w:rPr>
        <w:t>4</w:t>
      </w:r>
      <w:r>
        <w:rPr>
          <w:rFonts w:hint="eastAsia" w:ascii="仿宋_GB2312" w:eastAsia="仿宋_GB2312"/>
          <w:sz w:val="28"/>
          <w:szCs w:val="28"/>
        </w:rPr>
        <w:t>元，占收入合计的100</w:t>
      </w:r>
      <w:r>
        <w:rPr>
          <w:rFonts w:hint="eastAsia" w:ascii="仿宋_GB2312" w:eastAsia="仿宋_GB2312"/>
          <w:sz w:val="28"/>
          <w:szCs w:val="28"/>
          <w:lang w:val="en-US" w:eastAsia="zh-CN"/>
        </w:rPr>
        <w:t>.0</w:t>
      </w:r>
      <w:r>
        <w:rPr>
          <w:rFonts w:hint="eastAsia" w:ascii="仿宋_GB2312" w:eastAsia="仿宋_GB2312"/>
          <w:sz w:val="28"/>
          <w:szCs w:val="28"/>
        </w:rPr>
        <w:t>%。其中：一般公共预算财政拨款收入</w:t>
      </w:r>
      <w:r>
        <w:rPr>
          <w:rFonts w:hint="eastAsia" w:ascii="仿宋_GB2312" w:eastAsia="仿宋_GB2312"/>
          <w:sz w:val="28"/>
          <w:szCs w:val="28"/>
          <w:lang w:val="en-US" w:eastAsia="zh-CN"/>
        </w:rPr>
        <w:t>219,441,097.75</w:t>
      </w:r>
      <w:r>
        <w:rPr>
          <w:rFonts w:hint="eastAsia" w:ascii="仿宋_GB2312" w:eastAsia="仿宋_GB2312"/>
          <w:sz w:val="28"/>
          <w:szCs w:val="28"/>
        </w:rPr>
        <w:t>元，占收入合计的</w:t>
      </w:r>
      <w:r>
        <w:rPr>
          <w:rFonts w:hint="eastAsia" w:ascii="仿宋_GB2312" w:eastAsia="仿宋_GB2312"/>
          <w:sz w:val="28"/>
          <w:szCs w:val="28"/>
          <w:lang w:val="en-US" w:eastAsia="zh-CN"/>
        </w:rPr>
        <w:t>99.8</w:t>
      </w:r>
      <w:r>
        <w:rPr>
          <w:rFonts w:hint="eastAsia" w:ascii="仿宋_GB2312" w:eastAsia="仿宋_GB2312"/>
          <w:sz w:val="28"/>
          <w:szCs w:val="28"/>
        </w:rPr>
        <w:t>%；政府性基金预算财政拨款收入</w:t>
      </w:r>
      <w:r>
        <w:rPr>
          <w:rFonts w:ascii="仿宋_GB2312" w:eastAsia="仿宋_GB2312"/>
          <w:sz w:val="28"/>
          <w:szCs w:val="28"/>
        </w:rPr>
        <w:t>0</w:t>
      </w:r>
      <w:r>
        <w:rPr>
          <w:rFonts w:hint="eastAsia" w:ascii="仿宋_GB2312" w:eastAsia="仿宋_GB2312"/>
          <w:sz w:val="28"/>
          <w:szCs w:val="28"/>
        </w:rPr>
        <w:t>元，占收入合计的0%；国有资本经营预算财政拨款收入524,086.49元，占收入合计的0.2%；</w:t>
      </w:r>
    </w:p>
    <w:p>
      <w:pPr>
        <w:tabs>
          <w:tab w:val="center" w:pos="6979"/>
        </w:tabs>
        <w:spacing w:line="580" w:lineRule="exact"/>
        <w:ind w:firstLine="560" w:firstLineChars="200"/>
        <w:rPr>
          <w:rFonts w:ascii="仿宋_GB2312" w:eastAsia="仿宋_GB2312"/>
          <w:sz w:val="28"/>
          <w:szCs w:val="28"/>
        </w:rPr>
      </w:pPr>
      <w:r>
        <w:rPr>
          <w:rFonts w:hint="eastAsia" w:ascii="仿宋_GB2312" w:eastAsia="仿宋_GB2312"/>
          <w:sz w:val="28"/>
          <w:szCs w:val="28"/>
        </w:rPr>
        <w:t>2.上级补助收入</w:t>
      </w:r>
      <w:r>
        <w:rPr>
          <w:rFonts w:ascii="仿宋_GB2312" w:eastAsia="仿宋_GB2312"/>
          <w:sz w:val="28"/>
          <w:szCs w:val="28"/>
        </w:rPr>
        <w:t>0</w:t>
      </w:r>
      <w:r>
        <w:rPr>
          <w:rFonts w:hint="eastAsia" w:ascii="仿宋_GB2312" w:eastAsia="仿宋_GB2312"/>
          <w:sz w:val="28"/>
          <w:szCs w:val="28"/>
        </w:rPr>
        <w:t>元，占收入合计的0%；</w:t>
      </w:r>
    </w:p>
    <w:p>
      <w:pPr>
        <w:tabs>
          <w:tab w:val="center" w:pos="6979"/>
        </w:tabs>
        <w:spacing w:line="580" w:lineRule="exact"/>
        <w:ind w:firstLine="560" w:firstLineChars="200"/>
        <w:rPr>
          <w:rFonts w:ascii="仿宋_GB2312" w:eastAsia="仿宋_GB2312"/>
          <w:sz w:val="28"/>
          <w:szCs w:val="28"/>
        </w:rPr>
      </w:pPr>
      <w:r>
        <w:rPr>
          <w:rFonts w:hint="eastAsia" w:ascii="仿宋_GB2312" w:eastAsia="仿宋_GB2312"/>
          <w:sz w:val="28"/>
          <w:szCs w:val="28"/>
        </w:rPr>
        <w:t>3.事业收入</w:t>
      </w:r>
      <w:r>
        <w:rPr>
          <w:rFonts w:ascii="仿宋_GB2312" w:eastAsia="仿宋_GB2312"/>
          <w:sz w:val="28"/>
          <w:szCs w:val="28"/>
        </w:rPr>
        <w:t>0</w:t>
      </w:r>
      <w:r>
        <w:rPr>
          <w:rFonts w:hint="eastAsia" w:ascii="仿宋_GB2312" w:eastAsia="仿宋_GB2312"/>
          <w:sz w:val="28"/>
          <w:szCs w:val="28"/>
        </w:rPr>
        <w:t>元，占收入合计的0%；</w:t>
      </w:r>
    </w:p>
    <w:p>
      <w:pPr>
        <w:tabs>
          <w:tab w:val="center" w:pos="6979"/>
        </w:tabs>
        <w:spacing w:line="580" w:lineRule="exact"/>
        <w:ind w:firstLine="560" w:firstLineChars="200"/>
        <w:rPr>
          <w:rFonts w:ascii="仿宋_GB2312" w:eastAsia="仿宋_GB2312"/>
          <w:sz w:val="28"/>
          <w:szCs w:val="28"/>
        </w:rPr>
      </w:pPr>
      <w:r>
        <w:rPr>
          <w:rFonts w:hint="eastAsia" w:ascii="仿宋_GB2312" w:eastAsia="仿宋_GB2312"/>
          <w:sz w:val="28"/>
          <w:szCs w:val="28"/>
        </w:rPr>
        <w:t>4.经营收入</w:t>
      </w:r>
      <w:r>
        <w:rPr>
          <w:rFonts w:ascii="仿宋_GB2312" w:eastAsia="仿宋_GB2312"/>
          <w:sz w:val="28"/>
          <w:szCs w:val="28"/>
        </w:rPr>
        <w:t>0</w:t>
      </w:r>
      <w:r>
        <w:rPr>
          <w:rFonts w:hint="eastAsia" w:ascii="仿宋_GB2312" w:eastAsia="仿宋_GB2312"/>
          <w:sz w:val="28"/>
          <w:szCs w:val="28"/>
        </w:rPr>
        <w:t>元，占收入合计的0%；</w:t>
      </w:r>
    </w:p>
    <w:p>
      <w:pPr>
        <w:tabs>
          <w:tab w:val="center" w:pos="6979"/>
        </w:tabs>
        <w:spacing w:line="580" w:lineRule="exact"/>
        <w:ind w:firstLine="560" w:firstLineChars="200"/>
        <w:rPr>
          <w:rFonts w:ascii="仿宋_GB2312" w:eastAsia="仿宋_GB2312"/>
          <w:sz w:val="28"/>
          <w:szCs w:val="28"/>
        </w:rPr>
      </w:pPr>
      <w:r>
        <w:rPr>
          <w:rFonts w:hint="eastAsia" w:ascii="仿宋_GB2312" w:eastAsia="仿宋_GB2312"/>
          <w:sz w:val="28"/>
          <w:szCs w:val="28"/>
        </w:rPr>
        <w:t>5.附属单位上缴收入</w:t>
      </w:r>
      <w:r>
        <w:rPr>
          <w:rFonts w:ascii="仿宋_GB2312" w:eastAsia="仿宋_GB2312"/>
          <w:sz w:val="28"/>
          <w:szCs w:val="28"/>
        </w:rPr>
        <w:t>0</w:t>
      </w:r>
      <w:r>
        <w:rPr>
          <w:rFonts w:hint="eastAsia" w:ascii="仿宋_GB2312" w:eastAsia="仿宋_GB2312"/>
          <w:sz w:val="28"/>
          <w:szCs w:val="28"/>
        </w:rPr>
        <w:t>元，占收入合计的0%；</w:t>
      </w:r>
    </w:p>
    <w:p>
      <w:pPr>
        <w:tabs>
          <w:tab w:val="center" w:pos="6979"/>
        </w:tabs>
        <w:spacing w:line="580" w:lineRule="exact"/>
        <w:ind w:firstLine="560" w:firstLineChars="200"/>
        <w:rPr>
          <w:rFonts w:ascii="仿宋_GB2312" w:eastAsia="仿宋_GB2312"/>
          <w:sz w:val="28"/>
          <w:szCs w:val="28"/>
        </w:rPr>
      </w:pPr>
      <w:r>
        <w:rPr>
          <w:rFonts w:hint="eastAsia" w:ascii="仿宋_GB2312" w:eastAsia="仿宋_GB2312"/>
          <w:sz w:val="28"/>
          <w:szCs w:val="28"/>
        </w:rPr>
        <w:t>6.其他收入</w:t>
      </w:r>
      <w:r>
        <w:rPr>
          <w:rFonts w:ascii="仿宋_GB2312" w:eastAsia="仿宋_GB2312"/>
          <w:sz w:val="28"/>
          <w:szCs w:val="28"/>
        </w:rPr>
        <w:t>0</w:t>
      </w:r>
      <w:r>
        <w:rPr>
          <w:rFonts w:hint="eastAsia" w:ascii="仿宋_GB2312" w:eastAsia="仿宋_GB2312"/>
          <w:sz w:val="28"/>
          <w:szCs w:val="28"/>
        </w:rPr>
        <w:t>元，占收入合计的0%。</w:t>
      </w:r>
    </w:p>
    <w:p>
      <w:pPr>
        <w:pStyle w:val="2"/>
        <w:jc w:val="center"/>
      </w:pPr>
      <w:r>
        <w:rPr>
          <w:rFonts w:hint="eastAsia" w:ascii="仿宋_GB2312" w:eastAsia="仿宋_GB2312"/>
          <w:color w:val="000000"/>
          <w:sz w:val="32"/>
        </w:rPr>
        <w:t>图1：收入决算</w:t>
      </w:r>
    </w:p>
    <w:p>
      <w:pPr>
        <w:pStyle w:val="3"/>
        <w:ind w:firstLine="420"/>
        <w:jc w:val="center"/>
      </w:pPr>
      <w:r>
        <w:drawing>
          <wp:inline distT="0" distB="0" distL="0" distR="0">
            <wp:extent cx="4036695" cy="2328545"/>
            <wp:effectExtent l="0" t="0" r="20955" b="14605"/>
            <wp:docPr id="3" name="图表 3" title="{{pieChart1}}"/>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pPr>
        <w:tabs>
          <w:tab w:val="center" w:pos="6979"/>
        </w:tabs>
        <w:spacing w:line="580" w:lineRule="exact"/>
        <w:ind w:firstLine="570"/>
        <w:rPr>
          <w:rFonts w:ascii="仿宋_GB2312" w:eastAsia="仿宋_GB2312"/>
          <w:sz w:val="28"/>
          <w:szCs w:val="28"/>
        </w:rPr>
      </w:pPr>
      <w:r>
        <w:rPr>
          <w:rFonts w:hint="eastAsia" w:ascii="仿宋_GB2312" w:eastAsia="仿宋_GB2312"/>
          <w:sz w:val="28"/>
          <w:szCs w:val="28"/>
        </w:rPr>
        <w:t>（二</w:t>
      </w:r>
      <w:r>
        <w:rPr>
          <w:rFonts w:ascii="仿宋_GB2312" w:eastAsia="仿宋_GB2312"/>
          <w:sz w:val="28"/>
          <w:szCs w:val="28"/>
        </w:rPr>
        <w:t>）</w:t>
      </w:r>
      <w:r>
        <w:rPr>
          <w:rFonts w:hint="eastAsia" w:ascii="仿宋_GB2312" w:eastAsia="仿宋_GB2312"/>
          <w:sz w:val="28"/>
          <w:szCs w:val="28"/>
        </w:rPr>
        <w:t>支出决算</w:t>
      </w:r>
      <w:r>
        <w:rPr>
          <w:rFonts w:ascii="仿宋_GB2312" w:eastAsia="仿宋_GB2312"/>
          <w:sz w:val="28"/>
          <w:szCs w:val="28"/>
        </w:rPr>
        <w:t>说明</w:t>
      </w:r>
    </w:p>
    <w:p>
      <w:pPr>
        <w:tabs>
          <w:tab w:val="center" w:pos="6979"/>
        </w:tabs>
        <w:spacing w:line="580" w:lineRule="exact"/>
        <w:ind w:firstLine="570"/>
        <w:rPr>
          <w:rFonts w:hint="eastAsia" w:ascii="仿宋_GB2312" w:eastAsia="仿宋_GB2312"/>
          <w:sz w:val="28"/>
          <w:szCs w:val="28"/>
        </w:rPr>
      </w:pPr>
      <w:r>
        <w:rPr>
          <w:rFonts w:hint="eastAsia" w:ascii="仿宋_GB2312" w:eastAsia="仿宋_GB2312"/>
          <w:sz w:val="28"/>
          <w:szCs w:val="28"/>
        </w:rPr>
        <w:t>2025年度本年支出合计219,965,184.24元，</w:t>
      </w:r>
      <w:r>
        <w:rPr>
          <w:rFonts w:ascii="仿宋_GB2312" w:eastAsia="仿宋_GB2312"/>
          <w:sz w:val="28"/>
          <w:szCs w:val="28"/>
        </w:rPr>
        <w:t>比上年</w:t>
      </w:r>
      <w:r>
        <w:rPr>
          <w:rFonts w:hint="eastAsia" w:ascii="仿宋_GB2312" w:eastAsia="仿宋_GB2312"/>
          <w:sz w:val="28"/>
          <w:szCs w:val="28"/>
        </w:rPr>
        <w:t>减少</w:t>
      </w:r>
      <w:r>
        <w:rPr>
          <w:rFonts w:hint="eastAsia" w:ascii="仿宋_GB2312" w:eastAsia="仿宋_GB2312"/>
          <w:sz w:val="28"/>
          <w:szCs w:val="28"/>
          <w:lang w:val="en-US" w:eastAsia="zh-CN"/>
        </w:rPr>
        <w:t>118,716,530.8</w:t>
      </w:r>
      <w:r>
        <w:rPr>
          <w:rFonts w:hint="eastAsia" w:ascii="仿宋_GB2312" w:eastAsia="仿宋_GB2312"/>
          <w:sz w:val="28"/>
          <w:szCs w:val="28"/>
        </w:rPr>
        <w:t>元，下降</w:t>
      </w:r>
      <w:r>
        <w:rPr>
          <w:rFonts w:hint="eastAsia" w:ascii="仿宋_GB2312" w:eastAsia="仿宋_GB2312"/>
          <w:sz w:val="28"/>
          <w:szCs w:val="28"/>
          <w:lang w:val="en-US" w:eastAsia="zh-CN"/>
        </w:rPr>
        <w:t>35.1</w:t>
      </w:r>
      <w:r>
        <w:rPr>
          <w:rFonts w:hint="eastAsia" w:ascii="仿宋_GB2312" w:eastAsia="仿宋_GB2312"/>
          <w:sz w:val="28"/>
          <w:szCs w:val="28"/>
        </w:rPr>
        <w:t>%，其中：基本支出56,673,313.22元，占支出合计的25.</w:t>
      </w:r>
      <w:r>
        <w:rPr>
          <w:rFonts w:hint="eastAsia" w:ascii="仿宋_GB2312" w:eastAsia="仿宋_GB2312"/>
          <w:sz w:val="28"/>
          <w:szCs w:val="28"/>
          <w:lang w:val="en-US" w:eastAsia="zh-CN"/>
        </w:rPr>
        <w:t>8</w:t>
      </w:r>
      <w:r>
        <w:rPr>
          <w:rFonts w:hint="eastAsia" w:ascii="仿宋_GB2312" w:eastAsia="仿宋_GB2312"/>
          <w:sz w:val="28"/>
          <w:szCs w:val="28"/>
        </w:rPr>
        <w:t>%；项目支出163,291,871.02元，占支出合计的74.2%;上缴上级支出</w:t>
      </w:r>
      <w:r>
        <w:rPr>
          <w:rFonts w:ascii="仿宋_GB2312" w:eastAsia="仿宋_GB2312"/>
          <w:sz w:val="28"/>
          <w:szCs w:val="28"/>
        </w:rPr>
        <w:t>0</w:t>
      </w:r>
      <w:r>
        <w:rPr>
          <w:rFonts w:hint="eastAsia" w:ascii="仿宋_GB2312" w:eastAsia="仿宋_GB2312"/>
          <w:sz w:val="28"/>
          <w:szCs w:val="28"/>
        </w:rPr>
        <w:t>元，占支出合计的0%；经营支出</w:t>
      </w:r>
      <w:r>
        <w:rPr>
          <w:rFonts w:ascii="仿宋_GB2312" w:eastAsia="仿宋_GB2312"/>
          <w:sz w:val="28"/>
          <w:szCs w:val="28"/>
        </w:rPr>
        <w:t>0</w:t>
      </w:r>
      <w:r>
        <w:rPr>
          <w:rFonts w:hint="eastAsia" w:ascii="仿宋_GB2312" w:eastAsia="仿宋_GB2312"/>
          <w:sz w:val="28"/>
          <w:szCs w:val="28"/>
        </w:rPr>
        <w:t>元，占支出合计的0%；对附属单位补助支出</w:t>
      </w:r>
      <w:r>
        <w:rPr>
          <w:rFonts w:ascii="仿宋_GB2312" w:eastAsia="仿宋_GB2312"/>
          <w:sz w:val="28"/>
          <w:szCs w:val="28"/>
        </w:rPr>
        <w:t>0</w:t>
      </w:r>
      <w:r>
        <w:rPr>
          <w:rFonts w:hint="eastAsia" w:ascii="仿宋_GB2312" w:eastAsia="仿宋_GB2312"/>
          <w:sz w:val="28"/>
          <w:szCs w:val="28"/>
        </w:rPr>
        <w:t>元，占支出合计的0%。</w:t>
      </w:r>
    </w:p>
    <w:p>
      <w:pPr>
        <w:tabs>
          <w:tab w:val="center" w:pos="6979"/>
        </w:tabs>
        <w:spacing w:line="580" w:lineRule="exact"/>
        <w:ind w:firstLine="570"/>
        <w:jc w:val="center"/>
        <w:rPr>
          <w:rFonts w:ascii="仿宋_GB2312" w:eastAsia="仿宋_GB2312"/>
          <w:color w:val="000000"/>
          <w:sz w:val="32"/>
        </w:rPr>
      </w:pPr>
      <w:r>
        <w:rPr>
          <w:rFonts w:hint="eastAsia" w:ascii="仿宋_GB2312" w:eastAsia="仿宋_GB2312"/>
          <w:color w:val="000000"/>
          <w:sz w:val="32"/>
        </w:rPr>
        <w:t>图2：支出决算</w:t>
      </w:r>
    </w:p>
    <w:p>
      <w:pPr>
        <w:jc w:val="center"/>
        <w:rPr>
          <w:rFonts w:ascii="黑体" w:eastAsia="黑体"/>
          <w:b/>
          <w:sz w:val="28"/>
          <w:szCs w:val="28"/>
        </w:rPr>
      </w:pPr>
      <w:r>
        <w:drawing>
          <wp:inline distT="0" distB="0" distL="114300" distR="114300">
            <wp:extent cx="4457700" cy="2674620"/>
            <wp:effectExtent l="4445" t="5080" r="18415" b="17780"/>
            <wp:docPr id="1" name="图表 3" title="{{pieChart2}}"/>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pPr>
        <w:tabs>
          <w:tab w:val="center" w:pos="6979"/>
        </w:tabs>
        <w:spacing w:line="580" w:lineRule="exact"/>
        <w:ind w:firstLine="548" w:firstLineChars="196"/>
        <w:rPr>
          <w:rFonts w:ascii="黑体" w:eastAsia="黑体"/>
          <w:b/>
          <w:sz w:val="28"/>
          <w:szCs w:val="28"/>
        </w:rPr>
      </w:pPr>
      <w:r>
        <w:rPr>
          <w:rFonts w:hint="eastAsia" w:ascii="黑体" w:eastAsia="黑体"/>
          <w:b/>
          <w:sz w:val="28"/>
          <w:szCs w:val="28"/>
        </w:rPr>
        <w:t>三</w:t>
      </w:r>
      <w:r>
        <w:rPr>
          <w:rFonts w:ascii="黑体" w:eastAsia="黑体"/>
          <w:b/>
          <w:sz w:val="28"/>
          <w:szCs w:val="28"/>
        </w:rPr>
        <w:t>、财政拨款</w:t>
      </w:r>
      <w:r>
        <w:rPr>
          <w:rFonts w:hint="eastAsia" w:ascii="黑体" w:eastAsia="黑体"/>
          <w:b/>
          <w:sz w:val="28"/>
          <w:szCs w:val="28"/>
        </w:rPr>
        <w:t>收入支出决算</w:t>
      </w:r>
      <w:r>
        <w:rPr>
          <w:rFonts w:ascii="黑体" w:eastAsia="黑体"/>
          <w:b/>
          <w:sz w:val="28"/>
          <w:szCs w:val="28"/>
        </w:rPr>
        <w:t>总体情况说明</w:t>
      </w:r>
    </w:p>
    <w:p>
      <w:pPr>
        <w:tabs>
          <w:tab w:val="center" w:pos="6979"/>
        </w:tabs>
        <w:spacing w:line="580" w:lineRule="exact"/>
        <w:ind w:firstLine="570"/>
        <w:rPr>
          <w:rFonts w:ascii="仿宋_GB2312" w:eastAsia="仿宋_GB2312"/>
          <w:sz w:val="28"/>
          <w:szCs w:val="28"/>
        </w:rPr>
      </w:pPr>
      <w:r>
        <w:rPr>
          <w:rFonts w:hint="eastAsia" w:ascii="仿宋_GB2312" w:eastAsia="仿宋_GB2312"/>
          <w:sz w:val="28"/>
          <w:szCs w:val="28"/>
        </w:rPr>
        <w:t>2025年度财政拨款收、</w:t>
      </w:r>
      <w:r>
        <w:rPr>
          <w:rFonts w:ascii="仿宋_GB2312" w:eastAsia="仿宋_GB2312"/>
          <w:sz w:val="28"/>
          <w:szCs w:val="28"/>
        </w:rPr>
        <w:t>支</w:t>
      </w:r>
      <w:r>
        <w:rPr>
          <w:rFonts w:hint="eastAsia" w:ascii="仿宋_GB2312" w:eastAsia="仿宋_GB2312"/>
          <w:sz w:val="28"/>
          <w:szCs w:val="28"/>
        </w:rPr>
        <w:t>总计219,965,184.24元，比上年减少</w:t>
      </w:r>
      <w:r>
        <w:rPr>
          <w:rFonts w:hint="eastAsia" w:ascii="仿宋_GB2312" w:eastAsia="仿宋_GB2312"/>
          <w:sz w:val="28"/>
          <w:szCs w:val="28"/>
          <w:lang w:val="en-US" w:eastAsia="zh-CN"/>
        </w:rPr>
        <w:t>118,716,530.8</w:t>
      </w:r>
      <w:r>
        <w:rPr>
          <w:rFonts w:hint="eastAsia" w:ascii="仿宋_GB2312" w:eastAsia="仿宋_GB2312"/>
          <w:sz w:val="28"/>
          <w:szCs w:val="28"/>
        </w:rPr>
        <w:t>元，下降</w:t>
      </w:r>
      <w:r>
        <w:rPr>
          <w:rFonts w:hint="eastAsia" w:ascii="仿宋_GB2312" w:eastAsia="仿宋_GB2312"/>
          <w:sz w:val="28"/>
          <w:szCs w:val="28"/>
          <w:lang w:val="en-US" w:eastAsia="zh-CN"/>
        </w:rPr>
        <w:t>35.1</w:t>
      </w:r>
      <w:r>
        <w:rPr>
          <w:rFonts w:hint="eastAsia" w:ascii="仿宋_GB2312" w:eastAsia="仿宋_GB2312"/>
          <w:sz w:val="28"/>
          <w:szCs w:val="28"/>
        </w:rPr>
        <w:t>%，。主要原因：</w:t>
      </w:r>
      <w:r>
        <w:rPr>
          <w:rFonts w:hint="eastAsia" w:ascii="仿宋_GB2312" w:eastAsia="仿宋_GB2312"/>
          <w:sz w:val="28"/>
          <w:szCs w:val="28"/>
          <w:lang w:val="en-US" w:eastAsia="zh-CN"/>
        </w:rPr>
        <w:t>2024年包含结转结余资金46,566,512.46元,2025年无；2024年新增</w:t>
      </w:r>
      <w:r>
        <w:rPr>
          <w:rFonts w:hint="eastAsia" w:ascii="仿宋_GB2312" w:eastAsia="仿宋_GB2312"/>
          <w:color w:val="000000"/>
          <w:sz w:val="28"/>
          <w:szCs w:val="28"/>
          <w:lang w:eastAsia="zh-CN"/>
        </w:rPr>
        <w:t>永定镇惠康惠润地区住宅楼消防隐患维修改造项目、门头沟区乡村公路水毁修复工程、门头沟区卧龙岗村环境综合整治提升项目</w:t>
      </w:r>
      <w:r>
        <w:rPr>
          <w:rFonts w:hint="eastAsia" w:ascii="仿宋_GB2312" w:eastAsia="仿宋_GB2312"/>
          <w:color w:val="000000"/>
          <w:sz w:val="28"/>
          <w:szCs w:val="28"/>
          <w:lang w:val="en-US" w:eastAsia="zh-CN"/>
        </w:rPr>
        <w:t>等</w:t>
      </w:r>
      <w:r>
        <w:rPr>
          <w:rFonts w:hint="eastAsia" w:ascii="仿宋_GB2312" w:eastAsia="仿宋_GB2312"/>
          <w:sz w:val="28"/>
          <w:szCs w:val="28"/>
          <w:lang w:val="en-US" w:eastAsia="zh-CN"/>
        </w:rPr>
        <w:t>，2025年无</w:t>
      </w:r>
      <w:r>
        <w:rPr>
          <w:rFonts w:hint="eastAsia" w:ascii="仿宋_GB2312" w:eastAsia="仿宋_GB2312"/>
          <w:sz w:val="28"/>
          <w:szCs w:val="28"/>
        </w:rPr>
        <w:t>。</w:t>
      </w:r>
    </w:p>
    <w:p>
      <w:pPr>
        <w:tabs>
          <w:tab w:val="center" w:pos="6979"/>
        </w:tabs>
        <w:spacing w:line="580" w:lineRule="exact"/>
        <w:ind w:firstLine="548" w:firstLineChars="196"/>
        <w:rPr>
          <w:rFonts w:ascii="黑体" w:eastAsia="黑体"/>
          <w:b/>
          <w:sz w:val="28"/>
          <w:szCs w:val="28"/>
        </w:rPr>
      </w:pPr>
      <w:r>
        <w:rPr>
          <w:rFonts w:hint="eastAsia" w:ascii="黑体" w:eastAsia="黑体"/>
          <w:b/>
          <w:sz w:val="28"/>
          <w:szCs w:val="28"/>
        </w:rPr>
        <w:t>四、一般公共预算财政拨款支出决算情况说明</w:t>
      </w:r>
    </w:p>
    <w:p>
      <w:pPr>
        <w:autoSpaceDE w:val="0"/>
        <w:autoSpaceDN w:val="0"/>
        <w:adjustRightInd w:val="0"/>
        <w:spacing w:line="580" w:lineRule="exact"/>
        <w:ind w:firstLine="560" w:firstLineChars="200"/>
        <w:jc w:val="left"/>
        <w:rPr>
          <w:rFonts w:ascii="仿宋_GB2312" w:eastAsia="仿宋_GB2312"/>
          <w:sz w:val="28"/>
          <w:szCs w:val="28"/>
        </w:rPr>
      </w:pPr>
      <w:r>
        <w:rPr>
          <w:rFonts w:hint="eastAsia" w:ascii="仿宋_GB2312" w:eastAsia="仿宋_GB2312"/>
          <w:sz w:val="28"/>
          <w:szCs w:val="28"/>
        </w:rPr>
        <w:t>（一）一般公共预算财政拨款支出决算总体情况</w:t>
      </w:r>
    </w:p>
    <w:p>
      <w:pPr>
        <w:tabs>
          <w:tab w:val="center" w:pos="6979"/>
        </w:tabs>
        <w:spacing w:line="580" w:lineRule="exact"/>
        <w:ind w:firstLine="560" w:firstLineChars="200"/>
        <w:rPr>
          <w:rFonts w:ascii="仿宋_GB2312" w:eastAsia="仿宋_GB2312"/>
          <w:sz w:val="28"/>
          <w:szCs w:val="28"/>
        </w:rPr>
      </w:pPr>
      <w:r>
        <w:rPr>
          <w:rFonts w:hint="eastAsia" w:ascii="仿宋_GB2312" w:eastAsia="仿宋_GB2312"/>
          <w:sz w:val="28"/>
          <w:szCs w:val="28"/>
        </w:rPr>
        <w:t>2025年度一般公共预算财政拨款支出</w:t>
      </w:r>
      <w:r>
        <w:rPr>
          <w:rFonts w:hint="eastAsia" w:ascii="仿宋_GB2312" w:eastAsia="仿宋_GB2312"/>
          <w:sz w:val="28"/>
          <w:szCs w:val="28"/>
          <w:lang w:val="en-US" w:eastAsia="zh-CN"/>
        </w:rPr>
        <w:t>219,441,097.75</w:t>
      </w:r>
      <w:r>
        <w:rPr>
          <w:rFonts w:hint="eastAsia" w:ascii="仿宋_GB2312" w:eastAsia="仿宋_GB2312"/>
          <w:sz w:val="28"/>
          <w:szCs w:val="28"/>
        </w:rPr>
        <w:t>元，主要用于以下方面：一般公共服务支出141,202,918.73元，占本年财政拨款支出</w:t>
      </w:r>
      <w:r>
        <w:rPr>
          <w:rFonts w:hint="eastAsia" w:ascii="仿宋_GB2312" w:eastAsia="仿宋_GB2312"/>
          <w:sz w:val="28"/>
          <w:szCs w:val="28"/>
          <w:lang w:val="en-US" w:eastAsia="zh-CN"/>
        </w:rPr>
        <w:t>64.4</w:t>
      </w:r>
      <w:r>
        <w:rPr>
          <w:rFonts w:hint="eastAsia" w:ascii="仿宋_GB2312" w:eastAsia="仿宋_GB2312"/>
          <w:sz w:val="28"/>
          <w:szCs w:val="28"/>
        </w:rPr>
        <w:t>%；国防支出6,582.02元，占本年财政拨款支出</w:t>
      </w:r>
      <w:r>
        <w:rPr>
          <w:rFonts w:hint="eastAsia" w:ascii="仿宋_GB2312" w:eastAsia="仿宋_GB2312"/>
          <w:sz w:val="28"/>
          <w:szCs w:val="28"/>
          <w:lang w:val="en-US" w:eastAsia="zh-CN"/>
        </w:rPr>
        <w:t>0</w:t>
      </w:r>
      <w:r>
        <w:rPr>
          <w:rFonts w:hint="eastAsia" w:ascii="仿宋_GB2312" w:eastAsia="仿宋_GB2312"/>
          <w:sz w:val="28"/>
          <w:szCs w:val="28"/>
        </w:rPr>
        <w:t>%；文化旅游体育与传媒支出987,986.87元，占本年财政拨款支出</w:t>
      </w:r>
      <w:r>
        <w:rPr>
          <w:rFonts w:hint="eastAsia" w:ascii="仿宋_GB2312" w:eastAsia="仿宋_GB2312"/>
          <w:sz w:val="28"/>
          <w:szCs w:val="28"/>
          <w:lang w:val="en-US" w:eastAsia="zh-CN"/>
        </w:rPr>
        <w:t>0.5</w:t>
      </w:r>
      <w:r>
        <w:rPr>
          <w:rFonts w:hint="eastAsia" w:ascii="仿宋_GB2312" w:eastAsia="仿宋_GB2312"/>
          <w:sz w:val="28"/>
          <w:szCs w:val="28"/>
        </w:rPr>
        <w:t>%；社会保障和就业支出11,127,423.55元，占本年财政拨款支出</w:t>
      </w:r>
      <w:r>
        <w:rPr>
          <w:rFonts w:hint="eastAsia" w:ascii="仿宋_GB2312" w:eastAsia="仿宋_GB2312"/>
          <w:sz w:val="28"/>
          <w:szCs w:val="28"/>
          <w:lang w:val="en-US" w:eastAsia="zh-CN"/>
        </w:rPr>
        <w:t>5.1</w:t>
      </w:r>
      <w:r>
        <w:rPr>
          <w:rFonts w:hint="eastAsia" w:ascii="仿宋_GB2312" w:eastAsia="仿宋_GB2312"/>
          <w:sz w:val="28"/>
          <w:szCs w:val="28"/>
        </w:rPr>
        <w:t>%；卫生健康支出944,913.00元，占本年财政拨款支出</w:t>
      </w:r>
      <w:r>
        <w:rPr>
          <w:rFonts w:hint="eastAsia" w:ascii="仿宋_GB2312" w:eastAsia="仿宋_GB2312"/>
          <w:sz w:val="28"/>
          <w:szCs w:val="28"/>
          <w:lang w:val="en-US" w:eastAsia="zh-CN"/>
        </w:rPr>
        <w:t>0.4</w:t>
      </w:r>
      <w:r>
        <w:rPr>
          <w:rFonts w:hint="eastAsia" w:ascii="仿宋_GB2312" w:eastAsia="仿宋_GB2312"/>
          <w:sz w:val="28"/>
          <w:szCs w:val="28"/>
        </w:rPr>
        <w:t>%；节能环保支出150,000.00元，占本年财政拨款支出</w:t>
      </w:r>
      <w:r>
        <w:rPr>
          <w:rFonts w:hint="eastAsia" w:ascii="仿宋_GB2312" w:eastAsia="仿宋_GB2312"/>
          <w:sz w:val="28"/>
          <w:szCs w:val="28"/>
          <w:lang w:val="en-US" w:eastAsia="zh-CN"/>
        </w:rPr>
        <w:t>0.1</w:t>
      </w:r>
      <w:r>
        <w:rPr>
          <w:rFonts w:hint="eastAsia" w:ascii="仿宋_GB2312" w:eastAsia="仿宋_GB2312"/>
          <w:sz w:val="28"/>
          <w:szCs w:val="28"/>
        </w:rPr>
        <w:t>%；城乡社区支出35,546,307.34元，占本年财政拨款支出</w:t>
      </w:r>
      <w:r>
        <w:rPr>
          <w:rFonts w:hint="eastAsia" w:ascii="仿宋_GB2312" w:eastAsia="仿宋_GB2312"/>
          <w:sz w:val="28"/>
          <w:szCs w:val="28"/>
          <w:lang w:val="en-US" w:eastAsia="zh-CN"/>
        </w:rPr>
        <w:t>16.2</w:t>
      </w:r>
      <w:r>
        <w:rPr>
          <w:rFonts w:hint="eastAsia" w:ascii="仿宋_GB2312" w:eastAsia="仿宋_GB2312"/>
          <w:sz w:val="28"/>
          <w:szCs w:val="28"/>
        </w:rPr>
        <w:t>%；农林水支出26,116,932.13元，占本年财政拨款支出</w:t>
      </w:r>
      <w:r>
        <w:rPr>
          <w:rFonts w:hint="eastAsia" w:ascii="仿宋_GB2312" w:eastAsia="仿宋_GB2312"/>
          <w:sz w:val="28"/>
          <w:szCs w:val="28"/>
          <w:lang w:val="en-US" w:eastAsia="zh-CN"/>
        </w:rPr>
        <w:t>11.9</w:t>
      </w:r>
      <w:r>
        <w:rPr>
          <w:rFonts w:hint="eastAsia" w:ascii="仿宋_GB2312" w:eastAsia="仿宋_GB2312"/>
          <w:sz w:val="28"/>
          <w:szCs w:val="28"/>
        </w:rPr>
        <w:t>%；资源勘探工业信息等支出15,240.00元，占本年财政拨款支出</w:t>
      </w:r>
      <w:r>
        <w:rPr>
          <w:rFonts w:hint="eastAsia" w:ascii="仿宋_GB2312" w:eastAsia="仿宋_GB2312"/>
          <w:sz w:val="28"/>
          <w:szCs w:val="28"/>
          <w:lang w:val="en-US" w:eastAsia="zh-CN"/>
        </w:rPr>
        <w:t>0.0</w:t>
      </w:r>
      <w:r>
        <w:rPr>
          <w:rFonts w:hint="eastAsia" w:ascii="仿宋_GB2312" w:eastAsia="仿宋_GB2312"/>
          <w:sz w:val="28"/>
          <w:szCs w:val="28"/>
        </w:rPr>
        <w:t>%；灾害防治及应急管理支出3,342,794.11元，占本年财政拨款支出</w:t>
      </w:r>
      <w:r>
        <w:rPr>
          <w:rFonts w:hint="eastAsia" w:ascii="仿宋_GB2312" w:eastAsia="仿宋_GB2312"/>
          <w:sz w:val="28"/>
          <w:szCs w:val="28"/>
          <w:lang w:val="en-US" w:eastAsia="zh-CN"/>
        </w:rPr>
        <w:t>1.5</w:t>
      </w:r>
      <w:r>
        <w:rPr>
          <w:rFonts w:hint="eastAsia" w:ascii="仿宋_GB2312" w:eastAsia="仿宋_GB2312"/>
          <w:sz w:val="28"/>
          <w:szCs w:val="28"/>
        </w:rPr>
        <w:t>%。</w:t>
      </w:r>
    </w:p>
    <w:p>
      <w:pPr>
        <w:autoSpaceDE w:val="0"/>
        <w:autoSpaceDN w:val="0"/>
        <w:adjustRightInd w:val="0"/>
        <w:spacing w:line="580" w:lineRule="exact"/>
        <w:ind w:firstLine="560" w:firstLineChars="200"/>
        <w:jc w:val="left"/>
        <w:rPr>
          <w:rFonts w:ascii="仿宋_GB2312" w:eastAsia="仿宋_GB2312"/>
          <w:sz w:val="28"/>
          <w:szCs w:val="28"/>
        </w:rPr>
      </w:pPr>
      <w:r>
        <w:rPr>
          <w:rFonts w:hint="eastAsia" w:ascii="仿宋_GB2312" w:eastAsia="仿宋_GB2312"/>
          <w:sz w:val="28"/>
          <w:szCs w:val="28"/>
        </w:rPr>
        <w:t>（二）一般公共预算财政拨款支出决算具体情况</w:t>
      </w:r>
    </w:p>
    <w:p>
      <w:pPr>
        <w:autoSpaceDE w:val="0"/>
        <w:autoSpaceDN w:val="0"/>
        <w:adjustRightInd w:val="0"/>
        <w:spacing w:line="580" w:lineRule="exact"/>
        <w:ind w:firstLine="560" w:firstLineChars="200"/>
        <w:jc w:val="left"/>
        <w:rPr>
          <w:rFonts w:ascii="仿宋_GB2312" w:eastAsia="仿宋_GB2312"/>
          <w:sz w:val="28"/>
          <w:szCs w:val="28"/>
        </w:rPr>
      </w:pPr>
      <w:r>
        <w:rPr>
          <w:rFonts w:hint="eastAsia" w:ascii="仿宋_GB2312" w:eastAsia="仿宋_GB2312"/>
          <w:sz w:val="28"/>
          <w:szCs w:val="28"/>
        </w:rPr>
        <w:t>1、“一般公共服务支出”2025年度年初预算125,019,392.85 元，2025年度决算141,202,918.73元，完成年初预算的</w:t>
      </w:r>
      <w:r>
        <w:rPr>
          <w:rFonts w:hint="eastAsia" w:ascii="仿宋_GB2312" w:eastAsia="仿宋_GB2312"/>
          <w:sz w:val="28"/>
          <w:szCs w:val="28"/>
          <w:lang w:val="en-US" w:eastAsia="zh-CN"/>
        </w:rPr>
        <w:t>112.9</w:t>
      </w:r>
      <w:r>
        <w:rPr>
          <w:rFonts w:hint="eastAsia" w:ascii="仿宋_GB2312" w:eastAsia="仿宋_GB2312"/>
          <w:sz w:val="28"/>
          <w:szCs w:val="28"/>
        </w:rPr>
        <w:t>%。</w:t>
      </w:r>
    </w:p>
    <w:p>
      <w:pPr>
        <w:autoSpaceDE w:val="0"/>
        <w:autoSpaceDN w:val="0"/>
        <w:adjustRightInd w:val="0"/>
        <w:spacing w:line="580" w:lineRule="exact"/>
        <w:jc w:val="left"/>
        <w:rPr>
          <w:rFonts w:ascii="仿宋_GB2312" w:eastAsia="仿宋_GB2312"/>
          <w:sz w:val="28"/>
          <w:szCs w:val="28"/>
        </w:rPr>
      </w:pPr>
      <w:r>
        <w:rPr>
          <w:rFonts w:hint="eastAsia" w:ascii="仿宋_GB2312" w:eastAsia="仿宋_GB2312"/>
          <w:sz w:val="28"/>
          <w:szCs w:val="28"/>
        </w:rPr>
        <w:t>其中：</w:t>
      </w:r>
    </w:p>
    <w:p>
      <w:pPr>
        <w:spacing w:line="580" w:lineRule="exact"/>
        <w:ind w:firstLine="560" w:firstLineChars="200"/>
        <w:rPr>
          <w:rFonts w:hint="eastAsia" w:ascii="仿宋_GB2312" w:eastAsia="仿宋_GB2312"/>
          <w:sz w:val="28"/>
          <w:szCs w:val="28"/>
        </w:rPr>
      </w:pPr>
      <w:r>
        <w:rPr>
          <w:rFonts w:hint="eastAsia" w:ascii="仿宋_GB2312" w:eastAsia="仿宋_GB2312"/>
          <w:sz w:val="28"/>
          <w:szCs w:val="28"/>
        </w:rPr>
        <w:t>“政府办公厅（室）及相关机构事务”2025年度年初预算64,666,188.56 元，2025年度决算69,228,756.49元，完成年初预算的107.</w:t>
      </w:r>
      <w:r>
        <w:rPr>
          <w:rFonts w:hint="eastAsia" w:ascii="仿宋_GB2312" w:eastAsia="仿宋_GB2312"/>
          <w:sz w:val="28"/>
          <w:szCs w:val="28"/>
          <w:lang w:val="en-US" w:eastAsia="zh-CN"/>
        </w:rPr>
        <w:t>1</w:t>
      </w:r>
      <w:r>
        <w:rPr>
          <w:rFonts w:hint="eastAsia" w:ascii="仿宋_GB2312" w:eastAsia="仿宋_GB2312"/>
          <w:sz w:val="28"/>
          <w:szCs w:val="28"/>
        </w:rPr>
        <w:t>%。</w:t>
      </w:r>
    </w:p>
    <w:p>
      <w:pPr>
        <w:spacing w:line="580" w:lineRule="exact"/>
        <w:ind w:firstLine="560" w:firstLineChars="200"/>
        <w:rPr>
          <w:rFonts w:hint="eastAsia" w:ascii="仿宋_GB2312" w:eastAsia="仿宋_GB2312"/>
          <w:sz w:val="28"/>
          <w:szCs w:val="28"/>
        </w:rPr>
      </w:pPr>
      <w:r>
        <w:rPr>
          <w:rFonts w:hint="eastAsia" w:ascii="仿宋_GB2312" w:eastAsia="仿宋_GB2312"/>
          <w:sz w:val="28"/>
          <w:szCs w:val="28"/>
        </w:rPr>
        <w:t>“财政事务”2025年度年初预算</w:t>
      </w:r>
      <w:r>
        <w:rPr>
          <w:rFonts w:hint="eastAsia" w:ascii="仿宋_GB2312" w:eastAsia="仿宋_GB2312"/>
          <w:sz w:val="28"/>
          <w:szCs w:val="28"/>
          <w:lang w:val="en-US" w:eastAsia="zh-CN"/>
        </w:rPr>
        <w:t>0.00</w:t>
      </w:r>
      <w:r>
        <w:rPr>
          <w:rFonts w:hint="eastAsia" w:ascii="仿宋_GB2312" w:eastAsia="仿宋_GB2312"/>
          <w:sz w:val="28"/>
          <w:szCs w:val="28"/>
        </w:rPr>
        <w:t xml:space="preserve"> 元，2025年度决算19,700.00元，主要原因：</w:t>
      </w:r>
      <w:r>
        <w:rPr>
          <w:rFonts w:hint="eastAsia" w:ascii="仿宋_GB2312" w:eastAsia="仿宋_GB2312"/>
          <w:sz w:val="28"/>
          <w:szCs w:val="28"/>
          <w:lang w:val="en-US" w:eastAsia="zh-CN"/>
        </w:rPr>
        <w:t>年中追加项目</w:t>
      </w:r>
      <w:r>
        <w:rPr>
          <w:rFonts w:hint="eastAsia" w:ascii="仿宋_GB2312" w:eastAsia="仿宋_GB2312"/>
          <w:sz w:val="28"/>
          <w:szCs w:val="28"/>
        </w:rPr>
        <w:t>。</w:t>
      </w:r>
    </w:p>
    <w:p>
      <w:pPr>
        <w:spacing w:line="580" w:lineRule="exact"/>
        <w:ind w:firstLine="560" w:firstLineChars="200"/>
        <w:rPr>
          <w:rFonts w:hint="eastAsia" w:ascii="仿宋_GB2312" w:eastAsia="仿宋_GB2312"/>
          <w:sz w:val="28"/>
          <w:szCs w:val="28"/>
        </w:rPr>
      </w:pPr>
      <w:r>
        <w:rPr>
          <w:rFonts w:hint="eastAsia" w:ascii="仿宋_GB2312" w:eastAsia="仿宋_GB2312"/>
          <w:sz w:val="28"/>
          <w:szCs w:val="28"/>
        </w:rPr>
        <w:t>“纪检监察事务”2025年度年初预算</w:t>
      </w:r>
      <w:r>
        <w:rPr>
          <w:rFonts w:hint="eastAsia" w:ascii="仿宋_GB2312" w:eastAsia="仿宋_GB2312"/>
          <w:sz w:val="28"/>
          <w:szCs w:val="28"/>
          <w:lang w:val="en-US" w:eastAsia="zh-CN"/>
        </w:rPr>
        <w:t>155</w:t>
      </w:r>
      <w:r>
        <w:rPr>
          <w:rFonts w:hint="eastAsia" w:ascii="仿宋_GB2312" w:eastAsia="仿宋_GB2312"/>
          <w:sz w:val="28"/>
          <w:szCs w:val="28"/>
        </w:rPr>
        <w:t>,</w:t>
      </w:r>
      <w:r>
        <w:rPr>
          <w:rFonts w:hint="eastAsia" w:ascii="仿宋_GB2312" w:eastAsia="仿宋_GB2312"/>
          <w:sz w:val="28"/>
          <w:szCs w:val="28"/>
          <w:lang w:val="en-US" w:eastAsia="zh-CN"/>
        </w:rPr>
        <w:t>000</w:t>
      </w:r>
      <w:r>
        <w:rPr>
          <w:rFonts w:hint="eastAsia" w:ascii="仿宋_GB2312" w:eastAsia="仿宋_GB2312"/>
          <w:sz w:val="28"/>
          <w:szCs w:val="28"/>
        </w:rPr>
        <w:t>.</w:t>
      </w:r>
      <w:r>
        <w:rPr>
          <w:rFonts w:hint="eastAsia" w:ascii="仿宋_GB2312" w:eastAsia="仿宋_GB2312"/>
          <w:sz w:val="28"/>
          <w:szCs w:val="28"/>
          <w:lang w:val="en-US" w:eastAsia="zh-CN"/>
        </w:rPr>
        <w:t>00</w:t>
      </w:r>
      <w:r>
        <w:rPr>
          <w:rFonts w:hint="eastAsia" w:ascii="仿宋_GB2312" w:eastAsia="仿宋_GB2312"/>
          <w:sz w:val="28"/>
          <w:szCs w:val="28"/>
        </w:rPr>
        <w:t xml:space="preserve"> 元，2025年度决算151,391.00元，完成年初预算的97.7%。主要原因：</w:t>
      </w:r>
      <w:r>
        <w:rPr>
          <w:rFonts w:hint="eastAsia" w:ascii="仿宋_GB2312" w:eastAsia="仿宋_GB2312"/>
          <w:sz w:val="28"/>
          <w:szCs w:val="28"/>
          <w:lang w:val="en-US" w:eastAsia="zh-CN"/>
        </w:rPr>
        <w:t>由于个人原因年中离职</w:t>
      </w:r>
      <w:r>
        <w:rPr>
          <w:rFonts w:hint="eastAsia" w:ascii="仿宋_GB2312" w:eastAsia="仿宋_GB2312"/>
          <w:sz w:val="28"/>
          <w:szCs w:val="28"/>
        </w:rPr>
        <w:t>。</w:t>
      </w:r>
    </w:p>
    <w:p>
      <w:pPr>
        <w:spacing w:line="580" w:lineRule="exact"/>
        <w:ind w:firstLine="560" w:firstLineChars="200"/>
        <w:rPr>
          <w:rFonts w:hint="eastAsia" w:ascii="仿宋_GB2312" w:eastAsia="仿宋_GB2312"/>
          <w:sz w:val="28"/>
          <w:szCs w:val="28"/>
        </w:rPr>
      </w:pPr>
      <w:r>
        <w:rPr>
          <w:rFonts w:hint="eastAsia" w:ascii="仿宋_GB2312" w:eastAsia="仿宋_GB2312"/>
          <w:sz w:val="28"/>
          <w:szCs w:val="28"/>
        </w:rPr>
        <w:t>“组织事务”2025年度年初预算</w:t>
      </w:r>
      <w:r>
        <w:rPr>
          <w:rFonts w:hint="eastAsia" w:ascii="仿宋_GB2312" w:eastAsia="仿宋_GB2312"/>
          <w:sz w:val="28"/>
          <w:szCs w:val="28"/>
          <w:lang w:val="en-US" w:eastAsia="zh-CN"/>
        </w:rPr>
        <w:t xml:space="preserve">21,486,538.97 </w:t>
      </w:r>
      <w:r>
        <w:rPr>
          <w:rFonts w:hint="eastAsia" w:ascii="仿宋_GB2312" w:eastAsia="仿宋_GB2312"/>
          <w:sz w:val="28"/>
          <w:szCs w:val="28"/>
        </w:rPr>
        <w:t>元，2025年度决算15,692,405.92元，完成年初预算的73.0%。主要原因：</w:t>
      </w:r>
      <w:r>
        <w:rPr>
          <w:rFonts w:hint="eastAsia" w:ascii="仿宋_GB2312" w:eastAsia="仿宋_GB2312"/>
          <w:sz w:val="28"/>
          <w:szCs w:val="28"/>
          <w:lang w:val="en-US" w:eastAsia="zh-CN"/>
        </w:rPr>
        <w:t>村干部待遇保障经费（基本报酬）预算金额680万元，年初预算申报</w:t>
      </w:r>
      <w:r>
        <w:rPr>
          <w:rFonts w:hint="eastAsia" w:ascii="仿宋_GB2312" w:eastAsia="仿宋_GB2312"/>
          <w:sz w:val="28"/>
          <w:szCs w:val="28"/>
        </w:rPr>
        <w:t>“组织事务”</w:t>
      </w:r>
      <w:r>
        <w:rPr>
          <w:rFonts w:hint="eastAsia" w:ascii="仿宋_GB2312" w:eastAsia="仿宋_GB2312"/>
          <w:sz w:val="28"/>
          <w:szCs w:val="28"/>
          <w:lang w:eastAsia="zh-CN"/>
        </w:rPr>
        <w:t>，</w:t>
      </w:r>
      <w:r>
        <w:rPr>
          <w:rFonts w:hint="eastAsia" w:ascii="仿宋_GB2312" w:eastAsia="仿宋_GB2312"/>
          <w:sz w:val="28"/>
          <w:szCs w:val="28"/>
          <w:lang w:val="en-US" w:eastAsia="zh-CN"/>
        </w:rPr>
        <w:t>由于年中财政调整支出功能分类，决算申报“农村综合改革”，造成未完成年初预算</w:t>
      </w:r>
      <w:r>
        <w:rPr>
          <w:rFonts w:hint="eastAsia" w:ascii="仿宋_GB2312" w:eastAsia="仿宋_GB2312"/>
          <w:sz w:val="28"/>
          <w:szCs w:val="28"/>
        </w:rPr>
        <w:t>。</w:t>
      </w:r>
    </w:p>
    <w:p>
      <w:pPr>
        <w:spacing w:line="580" w:lineRule="exact"/>
        <w:ind w:firstLine="560" w:firstLineChars="200"/>
        <w:rPr>
          <w:rFonts w:hint="eastAsia" w:ascii="仿宋_GB2312" w:eastAsia="仿宋_GB2312"/>
          <w:sz w:val="28"/>
          <w:szCs w:val="28"/>
        </w:rPr>
      </w:pPr>
      <w:r>
        <w:rPr>
          <w:rFonts w:hint="eastAsia" w:ascii="仿宋_GB2312" w:eastAsia="仿宋_GB2312"/>
          <w:sz w:val="28"/>
          <w:szCs w:val="28"/>
        </w:rPr>
        <w:t>“社会工作事务”2025年度年初预算38,711,665.32  元，2025年度决算56,110,665.32元，完成年初预算的14</w:t>
      </w:r>
      <w:r>
        <w:rPr>
          <w:rFonts w:hint="eastAsia" w:ascii="仿宋_GB2312" w:eastAsia="仿宋_GB2312"/>
          <w:sz w:val="28"/>
          <w:szCs w:val="28"/>
          <w:lang w:val="en-US" w:eastAsia="zh-CN"/>
        </w:rPr>
        <w:t>5.0</w:t>
      </w:r>
      <w:r>
        <w:rPr>
          <w:rFonts w:hint="eastAsia" w:ascii="仿宋_GB2312" w:eastAsia="仿宋_GB2312"/>
          <w:sz w:val="28"/>
          <w:szCs w:val="28"/>
        </w:rPr>
        <w:t>%。</w:t>
      </w:r>
    </w:p>
    <w:p>
      <w:pPr>
        <w:spacing w:line="580" w:lineRule="exact"/>
        <w:ind w:firstLine="560" w:firstLineChars="200"/>
        <w:rPr>
          <w:rFonts w:ascii="仿宋_GB2312" w:eastAsia="仿宋_GB2312"/>
          <w:sz w:val="28"/>
          <w:szCs w:val="28"/>
        </w:rPr>
      </w:pPr>
      <w:r>
        <w:rPr>
          <w:rFonts w:hint="eastAsia" w:ascii="仿宋_GB2312" w:eastAsia="仿宋_GB2312"/>
          <w:sz w:val="28"/>
          <w:szCs w:val="28"/>
        </w:rPr>
        <w:t>2、“国防支出”2025年度年初预算0.00 元，2025年度决算6,582.02元。其中：</w:t>
      </w:r>
    </w:p>
    <w:p>
      <w:pPr>
        <w:spacing w:line="580" w:lineRule="exact"/>
        <w:ind w:firstLine="560" w:firstLineChars="200"/>
        <w:rPr>
          <w:rFonts w:hint="eastAsia" w:ascii="仿宋_GB2312" w:eastAsia="仿宋_GB2312"/>
          <w:sz w:val="28"/>
          <w:szCs w:val="28"/>
        </w:rPr>
      </w:pPr>
      <w:r>
        <w:rPr>
          <w:rFonts w:hint="eastAsia" w:ascii="仿宋_GB2312" w:eastAsia="仿宋_GB2312"/>
          <w:sz w:val="28"/>
          <w:szCs w:val="28"/>
        </w:rPr>
        <w:t>“国防动员”2025年度年初预算0.00 元，2025年度决算6,582.02元，主要原因：</w:t>
      </w:r>
      <w:r>
        <w:rPr>
          <w:rFonts w:hint="eastAsia" w:ascii="仿宋_GB2312" w:eastAsia="仿宋_GB2312"/>
          <w:sz w:val="28"/>
          <w:szCs w:val="28"/>
          <w:lang w:val="en-US" w:eastAsia="zh-CN"/>
        </w:rPr>
        <w:t>年中追加项目</w:t>
      </w:r>
      <w:r>
        <w:rPr>
          <w:rFonts w:hint="eastAsia" w:ascii="仿宋_GB2312" w:eastAsia="仿宋_GB2312"/>
          <w:sz w:val="28"/>
          <w:szCs w:val="28"/>
        </w:rPr>
        <w:t>。</w:t>
      </w:r>
    </w:p>
    <w:p>
      <w:pPr>
        <w:spacing w:line="580" w:lineRule="exact"/>
        <w:ind w:firstLine="560" w:firstLineChars="200"/>
        <w:rPr>
          <w:rFonts w:ascii="仿宋_GB2312" w:eastAsia="仿宋_GB2312"/>
          <w:sz w:val="28"/>
          <w:szCs w:val="28"/>
        </w:rPr>
      </w:pPr>
      <w:r>
        <w:rPr>
          <w:rFonts w:hint="eastAsia" w:ascii="仿宋_GB2312" w:eastAsia="仿宋_GB2312"/>
          <w:sz w:val="28"/>
          <w:szCs w:val="28"/>
          <w:lang w:val="en-US" w:eastAsia="zh-CN"/>
        </w:rPr>
        <w:t>3</w:t>
      </w:r>
      <w:r>
        <w:rPr>
          <w:rFonts w:hint="eastAsia" w:ascii="仿宋_GB2312" w:eastAsia="仿宋_GB2312"/>
          <w:sz w:val="28"/>
          <w:szCs w:val="28"/>
        </w:rPr>
        <w:t>、“文化旅游体育与传媒支出”2025年度年初预算808,700.00 元，2025年度决算987,986.87元，完成年初预算的122.</w:t>
      </w:r>
      <w:r>
        <w:rPr>
          <w:rFonts w:hint="eastAsia" w:ascii="仿宋_GB2312" w:eastAsia="仿宋_GB2312"/>
          <w:sz w:val="28"/>
          <w:szCs w:val="28"/>
          <w:lang w:val="en-US" w:eastAsia="zh-CN"/>
        </w:rPr>
        <w:t>2</w:t>
      </w:r>
      <w:r>
        <w:rPr>
          <w:rFonts w:hint="eastAsia" w:ascii="仿宋_GB2312" w:eastAsia="仿宋_GB2312"/>
          <w:sz w:val="28"/>
          <w:szCs w:val="28"/>
        </w:rPr>
        <w:t>%。其中：</w:t>
      </w:r>
    </w:p>
    <w:p>
      <w:pPr>
        <w:spacing w:line="580" w:lineRule="exact"/>
        <w:ind w:firstLine="560" w:firstLineChars="200"/>
        <w:rPr>
          <w:rFonts w:ascii="仿宋_GB2312" w:eastAsia="仿宋_GB2312"/>
          <w:sz w:val="28"/>
          <w:szCs w:val="28"/>
        </w:rPr>
      </w:pPr>
      <w:r>
        <w:rPr>
          <w:rFonts w:hint="eastAsia" w:ascii="仿宋_GB2312" w:eastAsia="仿宋_GB2312"/>
          <w:sz w:val="28"/>
          <w:szCs w:val="28"/>
        </w:rPr>
        <w:t>“文化和旅游”2025年度年初预算808,700.00 元，2025年度决算987,986.87元，完成年初预算的122.</w:t>
      </w:r>
      <w:r>
        <w:rPr>
          <w:rFonts w:hint="eastAsia" w:ascii="仿宋_GB2312" w:eastAsia="仿宋_GB2312"/>
          <w:sz w:val="28"/>
          <w:szCs w:val="28"/>
          <w:lang w:val="en-US" w:eastAsia="zh-CN"/>
        </w:rPr>
        <w:t>2</w:t>
      </w:r>
      <w:r>
        <w:rPr>
          <w:rFonts w:hint="eastAsia" w:ascii="仿宋_GB2312" w:eastAsia="仿宋_GB2312"/>
          <w:sz w:val="28"/>
          <w:szCs w:val="28"/>
        </w:rPr>
        <w:t>%。</w:t>
      </w:r>
    </w:p>
    <w:p>
      <w:pPr>
        <w:spacing w:line="580" w:lineRule="exact"/>
        <w:ind w:firstLine="560" w:firstLineChars="200"/>
        <w:rPr>
          <w:rFonts w:ascii="仿宋_GB2312" w:eastAsia="仿宋_GB2312"/>
          <w:sz w:val="28"/>
          <w:szCs w:val="28"/>
        </w:rPr>
      </w:pPr>
      <w:r>
        <w:rPr>
          <w:rFonts w:hint="eastAsia" w:ascii="仿宋_GB2312" w:eastAsia="仿宋_GB2312"/>
          <w:sz w:val="28"/>
          <w:szCs w:val="28"/>
          <w:lang w:val="en-US" w:eastAsia="zh-CN"/>
        </w:rPr>
        <w:t>4</w:t>
      </w:r>
      <w:r>
        <w:rPr>
          <w:rFonts w:hint="eastAsia" w:ascii="仿宋_GB2312" w:eastAsia="仿宋_GB2312"/>
          <w:sz w:val="28"/>
          <w:szCs w:val="28"/>
        </w:rPr>
        <w:t>、“社会保障和就业支出”2025年度年初预算5,727,706.50 元，2025年度决算11,127,423.55元，完成年初预算的194.</w:t>
      </w:r>
      <w:r>
        <w:rPr>
          <w:rFonts w:hint="eastAsia" w:ascii="仿宋_GB2312" w:eastAsia="仿宋_GB2312"/>
          <w:sz w:val="28"/>
          <w:szCs w:val="28"/>
          <w:lang w:val="en-US" w:eastAsia="zh-CN"/>
        </w:rPr>
        <w:t>3</w:t>
      </w:r>
      <w:r>
        <w:rPr>
          <w:rFonts w:hint="eastAsia" w:ascii="仿宋_GB2312" w:eastAsia="仿宋_GB2312"/>
          <w:sz w:val="28"/>
          <w:szCs w:val="28"/>
        </w:rPr>
        <w:t>%。其中：</w:t>
      </w:r>
    </w:p>
    <w:p>
      <w:pPr>
        <w:spacing w:line="580" w:lineRule="exact"/>
        <w:ind w:firstLine="560" w:firstLineChars="200"/>
        <w:rPr>
          <w:rFonts w:hint="eastAsia" w:ascii="仿宋_GB2312" w:eastAsia="仿宋_GB2312"/>
          <w:sz w:val="28"/>
          <w:szCs w:val="28"/>
        </w:rPr>
      </w:pPr>
      <w:r>
        <w:rPr>
          <w:rFonts w:hint="eastAsia" w:ascii="仿宋_GB2312" w:eastAsia="仿宋_GB2312"/>
          <w:sz w:val="28"/>
          <w:szCs w:val="28"/>
        </w:rPr>
        <w:t>“人力资源和社会保障管理事务”2025年度年初预算2,412,158.50 元，2025年度决算5,111,372.20元，完成年初预算的211.9%。</w:t>
      </w:r>
    </w:p>
    <w:p>
      <w:pPr>
        <w:spacing w:line="580" w:lineRule="exact"/>
        <w:ind w:firstLine="560" w:firstLineChars="200"/>
        <w:rPr>
          <w:rFonts w:ascii="仿宋_GB2312" w:eastAsia="仿宋_GB2312"/>
          <w:sz w:val="28"/>
          <w:szCs w:val="28"/>
        </w:rPr>
      </w:pPr>
      <w:r>
        <w:rPr>
          <w:rFonts w:hint="eastAsia" w:ascii="仿宋_GB2312" w:eastAsia="仿宋_GB2312"/>
          <w:sz w:val="28"/>
          <w:szCs w:val="28"/>
        </w:rPr>
        <w:t>“民政管理事务”2025年度年初预算102,500.00 元，2025年度决算100,497.50元，完成年初预算的98.</w:t>
      </w:r>
      <w:r>
        <w:rPr>
          <w:rFonts w:hint="eastAsia" w:ascii="仿宋_GB2312" w:eastAsia="仿宋_GB2312"/>
          <w:sz w:val="28"/>
          <w:szCs w:val="28"/>
          <w:lang w:val="en-US" w:eastAsia="zh-CN"/>
        </w:rPr>
        <w:t>1</w:t>
      </w:r>
      <w:r>
        <w:rPr>
          <w:rFonts w:hint="eastAsia" w:ascii="仿宋_GB2312" w:eastAsia="仿宋_GB2312"/>
          <w:sz w:val="28"/>
          <w:szCs w:val="28"/>
        </w:rPr>
        <w:t>%。主要原因：</w:t>
      </w:r>
      <w:r>
        <w:rPr>
          <w:rFonts w:hint="eastAsia" w:ascii="仿宋_GB2312" w:eastAsia="仿宋_GB2312"/>
          <w:sz w:val="28"/>
          <w:szCs w:val="28"/>
          <w:lang w:val="en-US" w:eastAsia="zh-CN"/>
        </w:rPr>
        <w:t>由于慰问人员减少，相应支出减少</w:t>
      </w:r>
      <w:r>
        <w:rPr>
          <w:rFonts w:hint="eastAsia" w:ascii="仿宋_GB2312" w:eastAsia="仿宋_GB2312"/>
          <w:sz w:val="28"/>
          <w:szCs w:val="28"/>
        </w:rPr>
        <w:t>。</w:t>
      </w:r>
    </w:p>
    <w:p>
      <w:pPr>
        <w:spacing w:line="580" w:lineRule="exact"/>
        <w:ind w:firstLine="560" w:firstLineChars="200"/>
        <w:rPr>
          <w:rFonts w:ascii="仿宋_GB2312" w:eastAsia="仿宋_GB2312"/>
          <w:sz w:val="28"/>
          <w:szCs w:val="28"/>
        </w:rPr>
      </w:pPr>
      <w:r>
        <w:rPr>
          <w:rFonts w:hint="eastAsia" w:ascii="仿宋_GB2312" w:eastAsia="仿宋_GB2312"/>
          <w:sz w:val="28"/>
          <w:szCs w:val="28"/>
        </w:rPr>
        <w:t>“行政事业单位养老支出”2025年度年初预算709,124.00 元，2025年度决算748,687.17元，完成年初预算的105.</w:t>
      </w:r>
      <w:r>
        <w:rPr>
          <w:rFonts w:hint="eastAsia" w:ascii="仿宋_GB2312" w:eastAsia="仿宋_GB2312"/>
          <w:sz w:val="28"/>
          <w:szCs w:val="28"/>
          <w:lang w:val="en-US" w:eastAsia="zh-CN"/>
        </w:rPr>
        <w:t>6</w:t>
      </w:r>
      <w:r>
        <w:rPr>
          <w:rFonts w:hint="eastAsia" w:ascii="仿宋_GB2312" w:eastAsia="仿宋_GB2312"/>
          <w:sz w:val="28"/>
          <w:szCs w:val="28"/>
        </w:rPr>
        <w:t>%。</w:t>
      </w:r>
    </w:p>
    <w:p>
      <w:pPr>
        <w:spacing w:line="580" w:lineRule="exact"/>
        <w:ind w:firstLine="560" w:firstLineChars="200"/>
        <w:rPr>
          <w:rFonts w:ascii="仿宋_GB2312" w:eastAsia="仿宋_GB2312"/>
          <w:sz w:val="28"/>
          <w:szCs w:val="28"/>
        </w:rPr>
      </w:pPr>
      <w:r>
        <w:rPr>
          <w:rFonts w:hint="eastAsia" w:ascii="仿宋_GB2312" w:eastAsia="仿宋_GB2312"/>
          <w:sz w:val="28"/>
          <w:szCs w:val="28"/>
        </w:rPr>
        <w:t>“就业补助”2025年度年初预算2,501,124.00 元，2025年度决算5,043,436.78元，完成年初预算的201.</w:t>
      </w:r>
      <w:r>
        <w:rPr>
          <w:rFonts w:hint="eastAsia" w:ascii="仿宋_GB2312" w:eastAsia="仿宋_GB2312"/>
          <w:sz w:val="28"/>
          <w:szCs w:val="28"/>
          <w:lang w:val="en-US" w:eastAsia="zh-CN"/>
        </w:rPr>
        <w:t>7</w:t>
      </w:r>
      <w:r>
        <w:rPr>
          <w:rFonts w:hint="eastAsia" w:ascii="仿宋_GB2312" w:eastAsia="仿宋_GB2312"/>
          <w:sz w:val="28"/>
          <w:szCs w:val="28"/>
        </w:rPr>
        <w:t>%。</w:t>
      </w:r>
    </w:p>
    <w:p>
      <w:pPr>
        <w:spacing w:line="580" w:lineRule="exact"/>
        <w:ind w:firstLine="560" w:firstLineChars="200"/>
        <w:rPr>
          <w:rFonts w:hint="eastAsia" w:ascii="仿宋_GB2312" w:eastAsia="仿宋_GB2312"/>
          <w:sz w:val="28"/>
          <w:szCs w:val="28"/>
        </w:rPr>
      </w:pPr>
      <w:r>
        <w:rPr>
          <w:rFonts w:hint="eastAsia" w:ascii="仿宋_GB2312" w:eastAsia="仿宋_GB2312"/>
          <w:sz w:val="28"/>
          <w:szCs w:val="28"/>
        </w:rPr>
        <w:t>“抚恤”2025年度年初预算</w:t>
      </w:r>
      <w:r>
        <w:rPr>
          <w:rFonts w:hint="eastAsia" w:ascii="仿宋_GB2312" w:eastAsia="仿宋_GB2312"/>
          <w:sz w:val="28"/>
          <w:szCs w:val="28"/>
          <w:lang w:val="en-US" w:eastAsia="zh-CN"/>
        </w:rPr>
        <w:t>0.00</w:t>
      </w:r>
      <w:r>
        <w:rPr>
          <w:rFonts w:hint="eastAsia" w:ascii="仿宋_GB2312" w:eastAsia="仿宋_GB2312"/>
          <w:sz w:val="28"/>
          <w:szCs w:val="28"/>
        </w:rPr>
        <w:t>元，2025年度决算3,000.00元。</w:t>
      </w:r>
    </w:p>
    <w:p>
      <w:pPr>
        <w:spacing w:line="580" w:lineRule="exact"/>
        <w:ind w:firstLine="560" w:firstLineChars="200"/>
        <w:rPr>
          <w:rFonts w:ascii="仿宋_GB2312" w:eastAsia="仿宋_GB2312"/>
          <w:sz w:val="28"/>
          <w:szCs w:val="28"/>
        </w:rPr>
      </w:pPr>
      <w:r>
        <w:rPr>
          <w:rFonts w:hint="eastAsia" w:ascii="仿宋_GB2312" w:eastAsia="仿宋_GB2312"/>
          <w:sz w:val="28"/>
          <w:szCs w:val="28"/>
        </w:rPr>
        <w:t>“社会福利”2025年度年初预算</w:t>
      </w:r>
      <w:r>
        <w:rPr>
          <w:rFonts w:hint="eastAsia" w:ascii="仿宋_GB2312" w:eastAsia="仿宋_GB2312"/>
          <w:sz w:val="28"/>
          <w:szCs w:val="28"/>
          <w:lang w:val="en-US" w:eastAsia="zh-CN"/>
        </w:rPr>
        <w:t>0.00</w:t>
      </w:r>
      <w:r>
        <w:rPr>
          <w:rFonts w:hint="eastAsia" w:ascii="仿宋_GB2312" w:eastAsia="仿宋_GB2312"/>
          <w:sz w:val="28"/>
          <w:szCs w:val="28"/>
        </w:rPr>
        <w:t>元，2025年度决算</w:t>
      </w:r>
      <w:r>
        <w:rPr>
          <w:rFonts w:hint="eastAsia" w:ascii="仿宋_GB2312" w:eastAsia="仿宋_GB2312"/>
          <w:sz w:val="28"/>
          <w:szCs w:val="28"/>
          <w:lang w:val="en-US" w:eastAsia="zh-CN"/>
        </w:rPr>
        <w:t>75,000.00</w:t>
      </w:r>
      <w:r>
        <w:rPr>
          <w:rFonts w:hint="eastAsia" w:ascii="仿宋_GB2312" w:eastAsia="仿宋_GB2312"/>
          <w:sz w:val="28"/>
          <w:szCs w:val="28"/>
        </w:rPr>
        <w:t>元。</w:t>
      </w:r>
    </w:p>
    <w:p>
      <w:pPr>
        <w:spacing w:line="580" w:lineRule="exact"/>
        <w:ind w:firstLine="560" w:firstLineChars="200"/>
        <w:rPr>
          <w:rFonts w:ascii="仿宋_GB2312" w:eastAsia="仿宋_GB2312"/>
          <w:sz w:val="28"/>
          <w:szCs w:val="28"/>
        </w:rPr>
      </w:pPr>
      <w:r>
        <w:rPr>
          <w:rFonts w:hint="eastAsia" w:ascii="仿宋_GB2312" w:eastAsia="仿宋_GB2312"/>
          <w:sz w:val="28"/>
          <w:szCs w:val="28"/>
        </w:rPr>
        <w:t>“临时救助”2025年度年初预算</w:t>
      </w:r>
      <w:r>
        <w:rPr>
          <w:rFonts w:hint="eastAsia" w:ascii="仿宋_GB2312" w:eastAsia="仿宋_GB2312"/>
          <w:sz w:val="28"/>
          <w:szCs w:val="28"/>
          <w:lang w:val="en-US" w:eastAsia="zh-CN"/>
        </w:rPr>
        <w:t>0.00</w:t>
      </w:r>
      <w:r>
        <w:rPr>
          <w:rFonts w:hint="eastAsia" w:ascii="仿宋_GB2312" w:eastAsia="仿宋_GB2312"/>
          <w:sz w:val="28"/>
          <w:szCs w:val="28"/>
        </w:rPr>
        <w:t>元，2025年度决算43,038.30元。</w:t>
      </w:r>
    </w:p>
    <w:p>
      <w:pPr>
        <w:spacing w:line="580" w:lineRule="exact"/>
        <w:ind w:firstLine="560" w:firstLineChars="200"/>
        <w:rPr>
          <w:rFonts w:ascii="仿宋_GB2312" w:eastAsia="仿宋_GB2312"/>
          <w:sz w:val="28"/>
          <w:szCs w:val="28"/>
        </w:rPr>
      </w:pPr>
      <w:r>
        <w:rPr>
          <w:rFonts w:hint="eastAsia" w:ascii="仿宋_GB2312" w:eastAsia="仿宋_GB2312"/>
          <w:sz w:val="28"/>
          <w:szCs w:val="28"/>
        </w:rPr>
        <w:t>“其他社会保障和就业支出”2025年度年初预算2,</w:t>
      </w:r>
      <w:r>
        <w:rPr>
          <w:rFonts w:hint="eastAsia" w:ascii="仿宋_GB2312" w:eastAsia="仿宋_GB2312"/>
          <w:sz w:val="28"/>
          <w:szCs w:val="28"/>
          <w:lang w:val="en-US" w:eastAsia="zh-CN"/>
        </w:rPr>
        <w:t>800</w:t>
      </w:r>
      <w:r>
        <w:rPr>
          <w:rFonts w:hint="eastAsia" w:ascii="仿宋_GB2312" w:eastAsia="仿宋_GB2312"/>
          <w:sz w:val="28"/>
          <w:szCs w:val="28"/>
        </w:rPr>
        <w:t>.</w:t>
      </w:r>
      <w:r>
        <w:rPr>
          <w:rFonts w:hint="eastAsia" w:ascii="仿宋_GB2312" w:eastAsia="仿宋_GB2312"/>
          <w:sz w:val="28"/>
          <w:szCs w:val="28"/>
          <w:lang w:val="en-US" w:eastAsia="zh-CN"/>
        </w:rPr>
        <w:t>0</w:t>
      </w:r>
      <w:r>
        <w:rPr>
          <w:rFonts w:hint="eastAsia" w:ascii="仿宋_GB2312" w:eastAsia="仿宋_GB2312"/>
          <w:sz w:val="28"/>
          <w:szCs w:val="28"/>
        </w:rPr>
        <w:t>0元，2025年度决算2,391.60元，完成年初预算的85.4%。主要原因：</w:t>
      </w:r>
      <w:r>
        <w:rPr>
          <w:rFonts w:hint="eastAsia" w:ascii="仿宋_GB2312" w:eastAsia="仿宋_GB2312"/>
          <w:sz w:val="28"/>
          <w:szCs w:val="28"/>
          <w:lang w:val="en-US" w:eastAsia="zh-CN"/>
        </w:rPr>
        <w:t>净结余</w:t>
      </w:r>
      <w:r>
        <w:rPr>
          <w:rFonts w:hint="eastAsia" w:ascii="仿宋_GB2312" w:eastAsia="仿宋_GB2312"/>
          <w:sz w:val="28"/>
          <w:szCs w:val="28"/>
        </w:rPr>
        <w:t>。</w:t>
      </w:r>
    </w:p>
    <w:p>
      <w:pPr>
        <w:spacing w:line="580" w:lineRule="exact"/>
        <w:ind w:firstLine="560" w:firstLineChars="200"/>
        <w:rPr>
          <w:rFonts w:ascii="仿宋_GB2312" w:eastAsia="仿宋_GB2312"/>
          <w:sz w:val="28"/>
          <w:szCs w:val="28"/>
        </w:rPr>
      </w:pPr>
      <w:r>
        <w:rPr>
          <w:rFonts w:hint="eastAsia" w:ascii="仿宋_GB2312" w:eastAsia="仿宋_GB2312"/>
          <w:sz w:val="28"/>
          <w:szCs w:val="28"/>
          <w:lang w:val="en-US" w:eastAsia="zh-CN"/>
        </w:rPr>
        <w:t>5</w:t>
      </w:r>
      <w:r>
        <w:rPr>
          <w:rFonts w:hint="eastAsia" w:ascii="仿宋_GB2312" w:eastAsia="仿宋_GB2312"/>
          <w:sz w:val="28"/>
          <w:szCs w:val="28"/>
        </w:rPr>
        <w:t>、“卫生健康支出”2025年度年初预算670,400.00 元，2025年度决算944,913.00元，完成年初预算的14</w:t>
      </w:r>
      <w:r>
        <w:rPr>
          <w:rFonts w:hint="eastAsia" w:ascii="仿宋_GB2312" w:eastAsia="仿宋_GB2312"/>
          <w:sz w:val="28"/>
          <w:szCs w:val="28"/>
          <w:lang w:val="en-US" w:eastAsia="zh-CN"/>
        </w:rPr>
        <w:t>1.0</w:t>
      </w:r>
      <w:r>
        <w:rPr>
          <w:rFonts w:hint="eastAsia" w:ascii="仿宋_GB2312" w:eastAsia="仿宋_GB2312"/>
          <w:sz w:val="28"/>
          <w:szCs w:val="28"/>
        </w:rPr>
        <w:t>%。其中：</w:t>
      </w:r>
    </w:p>
    <w:p>
      <w:pPr>
        <w:spacing w:line="580" w:lineRule="exact"/>
        <w:ind w:firstLine="560" w:firstLineChars="200"/>
        <w:rPr>
          <w:rFonts w:hint="eastAsia" w:ascii="仿宋_GB2312" w:eastAsia="仿宋_GB2312"/>
          <w:sz w:val="28"/>
          <w:szCs w:val="28"/>
        </w:rPr>
      </w:pPr>
      <w:r>
        <w:rPr>
          <w:rFonts w:hint="eastAsia" w:ascii="仿宋_GB2312" w:eastAsia="仿宋_GB2312"/>
          <w:sz w:val="28"/>
          <w:szCs w:val="28"/>
        </w:rPr>
        <w:t>“公共卫生”2025年度年初预算290,400.00 元，2025年度决算551,400.00元，完成年初预算的189.</w:t>
      </w:r>
      <w:r>
        <w:rPr>
          <w:rFonts w:hint="eastAsia" w:ascii="仿宋_GB2312" w:eastAsia="仿宋_GB2312"/>
          <w:sz w:val="28"/>
          <w:szCs w:val="28"/>
          <w:lang w:val="en-US" w:eastAsia="zh-CN"/>
        </w:rPr>
        <w:t>9</w:t>
      </w:r>
      <w:r>
        <w:rPr>
          <w:rFonts w:hint="eastAsia" w:ascii="仿宋_GB2312" w:eastAsia="仿宋_GB2312"/>
          <w:sz w:val="28"/>
          <w:szCs w:val="28"/>
        </w:rPr>
        <w:t>%。</w:t>
      </w:r>
    </w:p>
    <w:p>
      <w:pPr>
        <w:spacing w:line="580" w:lineRule="exact"/>
        <w:ind w:firstLine="560" w:firstLineChars="200"/>
        <w:rPr>
          <w:rFonts w:ascii="仿宋_GB2312" w:eastAsia="仿宋_GB2312"/>
          <w:sz w:val="28"/>
          <w:szCs w:val="28"/>
        </w:rPr>
      </w:pPr>
      <w:r>
        <w:rPr>
          <w:rFonts w:hint="eastAsia" w:ascii="仿宋_GB2312" w:eastAsia="仿宋_GB2312"/>
          <w:sz w:val="28"/>
          <w:szCs w:val="28"/>
        </w:rPr>
        <w:t>“计划生育事务”2025年度年初预算380,000.00 元，2025年度决算380,000.00 元，完成年初预算的</w:t>
      </w:r>
      <w:r>
        <w:rPr>
          <w:rFonts w:hint="eastAsia" w:ascii="仿宋_GB2312" w:eastAsia="仿宋_GB2312"/>
          <w:sz w:val="28"/>
          <w:szCs w:val="28"/>
          <w:lang w:val="en-US" w:eastAsia="zh-CN"/>
        </w:rPr>
        <w:t>100.0%</w:t>
      </w:r>
      <w:r>
        <w:rPr>
          <w:rFonts w:hint="eastAsia" w:ascii="仿宋_GB2312" w:eastAsia="仿宋_GB2312"/>
          <w:sz w:val="28"/>
          <w:szCs w:val="28"/>
        </w:rPr>
        <w:t>。</w:t>
      </w:r>
    </w:p>
    <w:p>
      <w:pPr>
        <w:spacing w:line="580" w:lineRule="exact"/>
        <w:ind w:firstLine="560" w:firstLineChars="200"/>
        <w:rPr>
          <w:rFonts w:ascii="仿宋_GB2312" w:eastAsia="仿宋_GB2312"/>
          <w:sz w:val="28"/>
          <w:szCs w:val="28"/>
        </w:rPr>
      </w:pPr>
      <w:r>
        <w:rPr>
          <w:rFonts w:hint="eastAsia" w:ascii="仿宋_GB2312" w:eastAsia="仿宋_GB2312"/>
          <w:sz w:val="28"/>
          <w:szCs w:val="28"/>
          <w:lang w:val="en-US" w:eastAsia="zh-CN"/>
        </w:rPr>
        <w:t>6</w:t>
      </w:r>
      <w:r>
        <w:rPr>
          <w:rFonts w:hint="eastAsia" w:ascii="仿宋_GB2312" w:eastAsia="仿宋_GB2312"/>
          <w:sz w:val="28"/>
          <w:szCs w:val="28"/>
        </w:rPr>
        <w:t>、“节能环保支出”2025年度年初预算150,000.00 元，2025年度决算150,000.00 元，完成年初预算的100.0%。其中：</w:t>
      </w:r>
    </w:p>
    <w:p>
      <w:pPr>
        <w:spacing w:line="580" w:lineRule="exact"/>
        <w:ind w:firstLine="560" w:firstLineChars="200"/>
        <w:rPr>
          <w:rFonts w:hint="eastAsia" w:ascii="仿宋_GB2312" w:eastAsia="仿宋_GB2312"/>
          <w:sz w:val="28"/>
          <w:szCs w:val="28"/>
        </w:rPr>
      </w:pPr>
      <w:r>
        <w:rPr>
          <w:rFonts w:hint="eastAsia" w:ascii="仿宋_GB2312" w:eastAsia="仿宋_GB2312"/>
          <w:sz w:val="28"/>
          <w:szCs w:val="28"/>
        </w:rPr>
        <w:t>“其他节能环保支出”2025年度年初预算150,000.00 元，2025年度决算150,000.00 元，完成年初预算的100.0%。</w:t>
      </w:r>
    </w:p>
    <w:p>
      <w:pPr>
        <w:spacing w:line="580" w:lineRule="exact"/>
        <w:ind w:firstLine="560" w:firstLineChars="200"/>
        <w:rPr>
          <w:rFonts w:ascii="仿宋_GB2312" w:eastAsia="仿宋_GB2312"/>
          <w:sz w:val="28"/>
          <w:szCs w:val="28"/>
        </w:rPr>
      </w:pPr>
      <w:r>
        <w:rPr>
          <w:rFonts w:hint="eastAsia" w:ascii="仿宋_GB2312" w:eastAsia="仿宋_GB2312"/>
          <w:sz w:val="28"/>
          <w:szCs w:val="28"/>
          <w:lang w:val="en-US" w:eastAsia="zh-CN"/>
        </w:rPr>
        <w:t>7</w:t>
      </w:r>
      <w:r>
        <w:rPr>
          <w:rFonts w:hint="eastAsia" w:ascii="仿宋_GB2312" w:eastAsia="仿宋_GB2312"/>
          <w:sz w:val="28"/>
          <w:szCs w:val="28"/>
        </w:rPr>
        <w:t>、“城乡社区支出”2025年度年初预算4,540,000.00 元，2025年度决算35,546,307.34元，完成年初预算的78</w:t>
      </w:r>
      <w:r>
        <w:rPr>
          <w:rFonts w:hint="eastAsia" w:ascii="仿宋_GB2312" w:eastAsia="仿宋_GB2312"/>
          <w:sz w:val="28"/>
          <w:szCs w:val="28"/>
          <w:lang w:val="en-US" w:eastAsia="zh-CN"/>
        </w:rPr>
        <w:t>3.0</w:t>
      </w:r>
      <w:r>
        <w:rPr>
          <w:rFonts w:hint="eastAsia" w:ascii="仿宋_GB2312" w:eastAsia="仿宋_GB2312"/>
          <w:sz w:val="28"/>
          <w:szCs w:val="28"/>
        </w:rPr>
        <w:t>%。其中：</w:t>
      </w:r>
    </w:p>
    <w:p>
      <w:pPr>
        <w:spacing w:line="580" w:lineRule="exact"/>
        <w:ind w:firstLine="560" w:firstLineChars="200"/>
        <w:rPr>
          <w:rFonts w:hint="eastAsia" w:ascii="仿宋_GB2312" w:eastAsia="仿宋_GB2312"/>
          <w:sz w:val="28"/>
          <w:szCs w:val="28"/>
        </w:rPr>
      </w:pPr>
      <w:r>
        <w:rPr>
          <w:rFonts w:hint="eastAsia" w:ascii="仿宋_GB2312" w:eastAsia="仿宋_GB2312"/>
          <w:sz w:val="28"/>
          <w:szCs w:val="28"/>
        </w:rPr>
        <w:t>“城乡社区管理事务”2025年度年初预算980,000.00 元，2025年度决算2,381,222.03元，完成年初预算的24</w:t>
      </w:r>
      <w:r>
        <w:rPr>
          <w:rFonts w:hint="eastAsia" w:ascii="仿宋_GB2312" w:eastAsia="仿宋_GB2312"/>
          <w:sz w:val="28"/>
          <w:szCs w:val="28"/>
          <w:lang w:val="en-US" w:eastAsia="zh-CN"/>
        </w:rPr>
        <w:t>3.0</w:t>
      </w:r>
      <w:r>
        <w:rPr>
          <w:rFonts w:hint="eastAsia" w:ascii="仿宋_GB2312" w:eastAsia="仿宋_GB2312"/>
          <w:sz w:val="28"/>
          <w:szCs w:val="28"/>
        </w:rPr>
        <w:t>%%。</w:t>
      </w:r>
    </w:p>
    <w:p>
      <w:pPr>
        <w:spacing w:line="580" w:lineRule="exact"/>
        <w:ind w:firstLine="560" w:firstLineChars="200"/>
        <w:rPr>
          <w:rFonts w:hint="eastAsia" w:ascii="仿宋_GB2312" w:eastAsia="仿宋_GB2312"/>
          <w:sz w:val="28"/>
          <w:szCs w:val="28"/>
        </w:rPr>
      </w:pPr>
      <w:r>
        <w:rPr>
          <w:rFonts w:hint="eastAsia" w:ascii="仿宋_GB2312" w:eastAsia="仿宋_GB2312"/>
          <w:sz w:val="28"/>
          <w:szCs w:val="28"/>
        </w:rPr>
        <w:t xml:space="preserve">“城乡社区环境卫生”2025年度年初预算360,000.00 </w:t>
      </w:r>
    </w:p>
    <w:p>
      <w:pPr>
        <w:spacing w:line="580" w:lineRule="exact"/>
        <w:ind w:firstLine="560" w:firstLineChars="200"/>
        <w:rPr>
          <w:rFonts w:hint="eastAsia" w:ascii="仿宋_GB2312" w:eastAsia="仿宋_GB2312"/>
          <w:sz w:val="28"/>
          <w:szCs w:val="28"/>
        </w:rPr>
      </w:pPr>
      <w:r>
        <w:rPr>
          <w:rFonts w:hint="eastAsia" w:ascii="仿宋_GB2312" w:eastAsia="仿宋_GB2312"/>
          <w:sz w:val="28"/>
          <w:szCs w:val="28"/>
        </w:rPr>
        <w:t>元，2025年度决算7,255,639.68元，完成年初预算的2015.</w:t>
      </w:r>
      <w:r>
        <w:rPr>
          <w:rFonts w:hint="eastAsia" w:ascii="仿宋_GB2312" w:eastAsia="仿宋_GB2312"/>
          <w:sz w:val="28"/>
          <w:szCs w:val="28"/>
          <w:lang w:val="en-US" w:eastAsia="zh-CN"/>
        </w:rPr>
        <w:t>5</w:t>
      </w:r>
      <w:r>
        <w:rPr>
          <w:rFonts w:hint="eastAsia" w:ascii="仿宋_GB2312" w:eastAsia="仿宋_GB2312"/>
          <w:sz w:val="28"/>
          <w:szCs w:val="28"/>
        </w:rPr>
        <w:t>%。</w:t>
      </w:r>
    </w:p>
    <w:p>
      <w:pPr>
        <w:spacing w:line="580" w:lineRule="exact"/>
        <w:ind w:firstLine="560" w:firstLineChars="200"/>
        <w:rPr>
          <w:rFonts w:hint="eastAsia" w:ascii="仿宋_GB2312" w:eastAsia="仿宋_GB2312"/>
          <w:sz w:val="28"/>
          <w:szCs w:val="28"/>
        </w:rPr>
      </w:pPr>
      <w:r>
        <w:rPr>
          <w:rFonts w:hint="eastAsia" w:ascii="仿宋_GB2312" w:eastAsia="仿宋_GB2312"/>
          <w:sz w:val="28"/>
          <w:szCs w:val="28"/>
        </w:rPr>
        <w:t>“其他城乡社区支出”2025年度年初预算3,200,000.00 元，2025年度决算8,304,945.56元，完成年初预算的259.5%。</w:t>
      </w:r>
    </w:p>
    <w:p>
      <w:pPr>
        <w:spacing w:line="580" w:lineRule="exact"/>
        <w:ind w:firstLine="560" w:firstLineChars="200"/>
        <w:rPr>
          <w:rFonts w:ascii="仿宋_GB2312" w:eastAsia="仿宋_GB2312"/>
          <w:sz w:val="28"/>
          <w:szCs w:val="28"/>
        </w:rPr>
      </w:pPr>
      <w:r>
        <w:rPr>
          <w:rFonts w:hint="eastAsia" w:ascii="仿宋_GB2312" w:eastAsia="仿宋_GB2312"/>
          <w:sz w:val="28"/>
          <w:szCs w:val="28"/>
          <w:lang w:val="en-US" w:eastAsia="zh-CN"/>
        </w:rPr>
        <w:t>8</w:t>
      </w:r>
      <w:r>
        <w:rPr>
          <w:rFonts w:hint="eastAsia" w:ascii="仿宋_GB2312" w:eastAsia="仿宋_GB2312"/>
          <w:sz w:val="28"/>
          <w:szCs w:val="28"/>
        </w:rPr>
        <w:t>、“农林水支出”2025年度年初预算17,585,669.62 元，2025年度决算26,116,932.13元，完成年初预算的148.5%。其中：</w:t>
      </w:r>
    </w:p>
    <w:p>
      <w:pPr>
        <w:spacing w:line="580" w:lineRule="exact"/>
        <w:ind w:firstLine="560" w:firstLineChars="200"/>
        <w:rPr>
          <w:rFonts w:hint="eastAsia" w:ascii="仿宋_GB2312" w:eastAsia="仿宋_GB2312"/>
          <w:sz w:val="28"/>
          <w:szCs w:val="28"/>
        </w:rPr>
      </w:pPr>
      <w:r>
        <w:rPr>
          <w:rFonts w:hint="eastAsia" w:ascii="仿宋_GB2312" w:eastAsia="仿宋_GB2312"/>
          <w:sz w:val="28"/>
          <w:szCs w:val="28"/>
        </w:rPr>
        <w:t>“农业农村”2025年度年初预算590,000.00 元，2025年度决算1,030,715.35元，完成年初预算的174.7%。</w:t>
      </w:r>
    </w:p>
    <w:p>
      <w:pPr>
        <w:spacing w:line="580" w:lineRule="exact"/>
        <w:ind w:firstLine="560" w:firstLineChars="200"/>
        <w:rPr>
          <w:rFonts w:ascii="仿宋_GB2312" w:eastAsia="仿宋_GB2312"/>
          <w:sz w:val="28"/>
          <w:szCs w:val="28"/>
        </w:rPr>
      </w:pPr>
      <w:r>
        <w:rPr>
          <w:rFonts w:hint="eastAsia" w:ascii="仿宋_GB2312" w:eastAsia="仿宋_GB2312"/>
          <w:sz w:val="28"/>
          <w:szCs w:val="28"/>
        </w:rPr>
        <w:t>“林业和草原”2025年度年初预算9,775,669.62 元，2025年度决算10,770,882.90元，完成年初预算的110.</w:t>
      </w:r>
      <w:r>
        <w:rPr>
          <w:rFonts w:hint="eastAsia" w:ascii="仿宋_GB2312" w:eastAsia="仿宋_GB2312"/>
          <w:sz w:val="28"/>
          <w:szCs w:val="28"/>
          <w:lang w:val="en-US" w:eastAsia="zh-CN"/>
        </w:rPr>
        <w:t>2</w:t>
      </w:r>
      <w:r>
        <w:rPr>
          <w:rFonts w:hint="eastAsia" w:ascii="仿宋_GB2312" w:eastAsia="仿宋_GB2312"/>
          <w:sz w:val="28"/>
          <w:szCs w:val="28"/>
        </w:rPr>
        <w:t>%。</w:t>
      </w:r>
    </w:p>
    <w:p>
      <w:pPr>
        <w:spacing w:line="580" w:lineRule="exact"/>
        <w:ind w:firstLine="560" w:firstLineChars="200"/>
        <w:rPr>
          <w:rFonts w:ascii="仿宋_GB2312" w:eastAsia="仿宋_GB2312"/>
          <w:sz w:val="28"/>
          <w:szCs w:val="28"/>
        </w:rPr>
      </w:pPr>
      <w:r>
        <w:rPr>
          <w:rFonts w:hint="eastAsia" w:ascii="仿宋_GB2312" w:eastAsia="仿宋_GB2312"/>
          <w:sz w:val="28"/>
          <w:szCs w:val="28"/>
        </w:rPr>
        <w:t>“水利”2025年度年初预算160,000.00 元，2025年度决算403,734.19元，完成年初预算的252.3%。</w:t>
      </w:r>
    </w:p>
    <w:p>
      <w:pPr>
        <w:spacing w:line="580" w:lineRule="exact"/>
        <w:ind w:firstLine="560" w:firstLineChars="200"/>
        <w:rPr>
          <w:rFonts w:ascii="仿宋_GB2312" w:eastAsia="仿宋_GB2312"/>
          <w:sz w:val="28"/>
          <w:szCs w:val="28"/>
        </w:rPr>
      </w:pPr>
      <w:r>
        <w:rPr>
          <w:rFonts w:hint="eastAsia" w:ascii="仿宋_GB2312" w:eastAsia="仿宋_GB2312"/>
          <w:sz w:val="28"/>
          <w:szCs w:val="28"/>
        </w:rPr>
        <w:t>“农村综合改革”2025年度年初预算7,060,000.00 元，2025年度决算13,911,599.69元，完成年初预算的197.</w:t>
      </w:r>
      <w:r>
        <w:rPr>
          <w:rFonts w:hint="eastAsia" w:ascii="仿宋_GB2312" w:eastAsia="仿宋_GB2312"/>
          <w:sz w:val="28"/>
          <w:szCs w:val="28"/>
          <w:lang w:val="en-US" w:eastAsia="zh-CN"/>
        </w:rPr>
        <w:t>1</w:t>
      </w:r>
      <w:r>
        <w:rPr>
          <w:rFonts w:hint="eastAsia" w:ascii="仿宋_GB2312" w:eastAsia="仿宋_GB2312"/>
          <w:sz w:val="28"/>
          <w:szCs w:val="28"/>
        </w:rPr>
        <w:t>%。</w:t>
      </w:r>
    </w:p>
    <w:p>
      <w:pPr>
        <w:spacing w:line="580" w:lineRule="exact"/>
        <w:ind w:firstLine="560" w:firstLineChars="200"/>
        <w:rPr>
          <w:rFonts w:ascii="仿宋_GB2312" w:eastAsia="仿宋_GB2312"/>
          <w:sz w:val="28"/>
          <w:szCs w:val="28"/>
        </w:rPr>
      </w:pPr>
      <w:r>
        <w:rPr>
          <w:rFonts w:hint="eastAsia" w:ascii="仿宋_GB2312" w:eastAsia="仿宋_GB2312"/>
          <w:sz w:val="28"/>
          <w:szCs w:val="28"/>
          <w:lang w:val="en-US" w:eastAsia="zh-CN"/>
        </w:rPr>
        <w:t>9</w:t>
      </w:r>
      <w:r>
        <w:rPr>
          <w:rFonts w:hint="eastAsia" w:ascii="仿宋_GB2312" w:eastAsia="仿宋_GB2312"/>
          <w:sz w:val="28"/>
          <w:szCs w:val="28"/>
        </w:rPr>
        <w:t>、“资源勘探工业信息等支出”2025年度年初预算</w:t>
      </w:r>
      <w:r>
        <w:rPr>
          <w:rFonts w:hint="eastAsia" w:ascii="仿宋_GB2312" w:eastAsia="仿宋_GB2312"/>
          <w:sz w:val="28"/>
          <w:szCs w:val="28"/>
          <w:lang w:val="en-US" w:eastAsia="zh-CN"/>
        </w:rPr>
        <w:t>0.00</w:t>
      </w:r>
      <w:r>
        <w:rPr>
          <w:rFonts w:hint="eastAsia" w:ascii="仿宋_GB2312" w:eastAsia="仿宋_GB2312"/>
          <w:sz w:val="28"/>
          <w:szCs w:val="28"/>
        </w:rPr>
        <w:t>元，2025年度决算15,240.00元。其中：</w:t>
      </w:r>
    </w:p>
    <w:p>
      <w:pPr>
        <w:spacing w:line="580" w:lineRule="exact"/>
        <w:ind w:firstLine="560" w:firstLineChars="200"/>
        <w:rPr>
          <w:rFonts w:ascii="仿宋_GB2312" w:eastAsia="仿宋_GB2312"/>
          <w:sz w:val="28"/>
          <w:szCs w:val="28"/>
        </w:rPr>
      </w:pPr>
      <w:r>
        <w:rPr>
          <w:rFonts w:hint="eastAsia" w:ascii="仿宋_GB2312" w:eastAsia="仿宋_GB2312"/>
          <w:sz w:val="28"/>
          <w:szCs w:val="28"/>
        </w:rPr>
        <w:t>“制造业”2025年度年初预算</w:t>
      </w:r>
      <w:r>
        <w:rPr>
          <w:rFonts w:hint="eastAsia" w:ascii="仿宋_GB2312" w:eastAsia="仿宋_GB2312"/>
          <w:sz w:val="28"/>
          <w:szCs w:val="28"/>
          <w:lang w:val="en-US" w:eastAsia="zh-CN"/>
        </w:rPr>
        <w:t>0.00</w:t>
      </w:r>
      <w:r>
        <w:rPr>
          <w:rFonts w:hint="eastAsia" w:ascii="仿宋_GB2312" w:eastAsia="仿宋_GB2312"/>
          <w:sz w:val="28"/>
          <w:szCs w:val="28"/>
        </w:rPr>
        <w:t>元，2025年度决算15,240.00元。</w:t>
      </w:r>
    </w:p>
    <w:p>
      <w:pPr>
        <w:spacing w:line="580" w:lineRule="exact"/>
        <w:ind w:firstLine="560" w:firstLineChars="200"/>
        <w:rPr>
          <w:rFonts w:ascii="仿宋_GB2312" w:eastAsia="仿宋_GB2312"/>
          <w:sz w:val="28"/>
          <w:szCs w:val="28"/>
        </w:rPr>
      </w:pPr>
      <w:r>
        <w:rPr>
          <w:rFonts w:hint="eastAsia" w:ascii="仿宋_GB2312" w:eastAsia="仿宋_GB2312"/>
          <w:sz w:val="28"/>
          <w:szCs w:val="28"/>
          <w:lang w:val="en-US" w:eastAsia="zh-CN"/>
        </w:rPr>
        <w:t>10</w:t>
      </w:r>
      <w:r>
        <w:rPr>
          <w:rFonts w:hint="eastAsia" w:ascii="仿宋_GB2312" w:eastAsia="仿宋_GB2312"/>
          <w:sz w:val="28"/>
          <w:szCs w:val="28"/>
        </w:rPr>
        <w:t>、“灾害防治及应急管理支出”2025年度年初预算</w:t>
      </w:r>
      <w:r>
        <w:rPr>
          <w:rFonts w:hint="eastAsia" w:ascii="仿宋_GB2312" w:eastAsia="仿宋_GB2312"/>
          <w:sz w:val="28"/>
          <w:szCs w:val="28"/>
          <w:lang w:val="en-US" w:eastAsia="zh-CN"/>
        </w:rPr>
        <w:t>0.00</w:t>
      </w:r>
      <w:r>
        <w:rPr>
          <w:rFonts w:hint="eastAsia" w:ascii="仿宋_GB2312" w:eastAsia="仿宋_GB2312"/>
          <w:sz w:val="28"/>
          <w:szCs w:val="28"/>
        </w:rPr>
        <w:t>元，2025年度决算3,342,794.11元。其中：</w:t>
      </w:r>
    </w:p>
    <w:p>
      <w:pPr>
        <w:spacing w:line="580" w:lineRule="exact"/>
        <w:ind w:firstLine="560" w:firstLineChars="200"/>
        <w:rPr>
          <w:rFonts w:ascii="仿宋_GB2312" w:eastAsia="仿宋_GB2312"/>
          <w:sz w:val="28"/>
          <w:szCs w:val="28"/>
        </w:rPr>
      </w:pPr>
      <w:r>
        <w:rPr>
          <w:rFonts w:hint="eastAsia" w:ascii="仿宋_GB2312" w:eastAsia="仿宋_GB2312"/>
          <w:sz w:val="28"/>
          <w:szCs w:val="28"/>
        </w:rPr>
        <w:t>“自然灾害防治”2025年度年初预算</w:t>
      </w:r>
      <w:r>
        <w:rPr>
          <w:rFonts w:hint="eastAsia" w:ascii="仿宋_GB2312" w:eastAsia="仿宋_GB2312"/>
          <w:sz w:val="28"/>
          <w:szCs w:val="28"/>
          <w:lang w:val="en-US" w:eastAsia="zh-CN"/>
        </w:rPr>
        <w:t>0.00</w:t>
      </w:r>
      <w:r>
        <w:rPr>
          <w:rFonts w:hint="eastAsia" w:ascii="仿宋_GB2312" w:eastAsia="仿宋_GB2312"/>
          <w:sz w:val="28"/>
          <w:szCs w:val="28"/>
        </w:rPr>
        <w:t>元，2025年度决算3,342,794.11元。</w:t>
      </w:r>
    </w:p>
    <w:p>
      <w:pPr>
        <w:spacing w:line="580" w:lineRule="exact"/>
        <w:ind w:firstLine="560" w:firstLineChars="200"/>
        <w:rPr>
          <w:rFonts w:ascii="仿宋_GB2312" w:eastAsia="仿宋_GB2312"/>
          <w:sz w:val="28"/>
          <w:szCs w:val="28"/>
        </w:rPr>
      </w:pPr>
      <w:r>
        <w:rPr>
          <w:rFonts w:hint="eastAsia" w:ascii="黑体" w:eastAsia="黑体"/>
          <w:b/>
          <w:sz w:val="28"/>
          <w:szCs w:val="28"/>
        </w:rPr>
        <w:t>五、政府性基金预算财政拨款支出决算情况说明</w:t>
      </w:r>
    </w:p>
    <w:p>
      <w:pPr>
        <w:autoSpaceDE w:val="0"/>
        <w:autoSpaceDN w:val="0"/>
        <w:adjustRightInd w:val="0"/>
        <w:spacing w:line="580" w:lineRule="exact"/>
        <w:ind w:firstLine="560" w:firstLineChars="200"/>
        <w:jc w:val="left"/>
        <w:rPr>
          <w:rFonts w:ascii="仿宋_GB2312" w:eastAsia="仿宋_GB2312"/>
          <w:sz w:val="28"/>
          <w:szCs w:val="28"/>
        </w:rPr>
      </w:pPr>
      <w:r>
        <w:rPr>
          <w:rFonts w:hint="eastAsia" w:ascii="仿宋_GB2312" w:eastAsia="仿宋_GB2312"/>
          <w:sz w:val="28"/>
          <w:szCs w:val="28"/>
        </w:rPr>
        <w:t>（一）政府性基金预算财政拨款支出决算总体情况</w:t>
      </w:r>
    </w:p>
    <w:p>
      <w:pPr>
        <w:tabs>
          <w:tab w:val="center" w:pos="6979"/>
        </w:tabs>
        <w:spacing w:line="580" w:lineRule="exact"/>
        <w:ind w:firstLine="560" w:firstLineChars="200"/>
        <w:rPr>
          <w:rFonts w:ascii="仿宋_GB2312" w:eastAsia="仿宋_GB2312"/>
          <w:sz w:val="28"/>
          <w:szCs w:val="28"/>
        </w:rPr>
      </w:pPr>
      <w:r>
        <w:rPr>
          <w:rFonts w:hint="eastAsia" w:ascii="仿宋_GB2312" w:eastAsia="仿宋_GB2312"/>
          <w:sz w:val="28"/>
          <w:szCs w:val="28"/>
        </w:rPr>
        <w:t>2025年度政府性基金预算财政拨款支出</w:t>
      </w:r>
      <w:r>
        <w:rPr>
          <w:rFonts w:ascii="仿宋_GB2312" w:eastAsia="仿宋_GB2312"/>
          <w:sz w:val="28"/>
          <w:szCs w:val="28"/>
        </w:rPr>
        <w:t>0</w:t>
      </w:r>
      <w:r>
        <w:rPr>
          <w:rFonts w:hint="eastAsia" w:ascii="仿宋_GB2312" w:eastAsia="仿宋_GB2312"/>
          <w:sz w:val="28"/>
          <w:szCs w:val="28"/>
        </w:rPr>
        <w:t>元，。</w:t>
      </w:r>
    </w:p>
    <w:p>
      <w:pPr>
        <w:spacing w:line="580" w:lineRule="exact"/>
        <w:ind w:firstLine="560" w:firstLineChars="200"/>
        <w:rPr>
          <w:rFonts w:ascii="黑体" w:eastAsia="黑体"/>
          <w:b/>
          <w:sz w:val="28"/>
          <w:szCs w:val="28"/>
        </w:rPr>
      </w:pPr>
      <w:r>
        <w:rPr>
          <w:rFonts w:hint="eastAsia" w:ascii="黑体" w:eastAsia="黑体"/>
          <w:b/>
          <w:sz w:val="28"/>
          <w:szCs w:val="28"/>
        </w:rPr>
        <w:t>六、国有资本经营预算财</w:t>
      </w:r>
      <w:r>
        <w:rPr>
          <w:rFonts w:ascii="黑体" w:eastAsia="黑体"/>
          <w:b/>
          <w:sz w:val="28"/>
          <w:szCs w:val="28"/>
        </w:rPr>
        <w:t>政拨款</w:t>
      </w:r>
      <w:r>
        <w:rPr>
          <w:rFonts w:hint="eastAsia" w:ascii="黑体" w:eastAsia="黑体"/>
          <w:b/>
          <w:sz w:val="28"/>
          <w:szCs w:val="28"/>
        </w:rPr>
        <w:t>收支情况</w:t>
      </w:r>
    </w:p>
    <w:p>
      <w:pPr>
        <w:ind w:firstLine="537" w:firstLineChars="192"/>
        <w:rPr>
          <w:rFonts w:ascii="仿宋_GB2312" w:eastAsia="仿宋_GB2312"/>
          <w:sz w:val="28"/>
          <w:szCs w:val="28"/>
        </w:rPr>
      </w:pPr>
      <w:r>
        <w:rPr>
          <w:rFonts w:hint="eastAsia" w:ascii="仿宋_GB2312" w:eastAsia="仿宋_GB2312"/>
          <w:sz w:val="28"/>
          <w:szCs w:val="28"/>
        </w:rPr>
        <w:t>2025年度国有资本经营预算财政</w:t>
      </w:r>
      <w:r>
        <w:rPr>
          <w:rFonts w:ascii="仿宋_GB2312" w:eastAsia="仿宋_GB2312"/>
          <w:sz w:val="28"/>
          <w:szCs w:val="28"/>
        </w:rPr>
        <w:t>拨款</w:t>
      </w:r>
      <w:r>
        <w:rPr>
          <w:rFonts w:hint="eastAsia" w:ascii="仿宋_GB2312" w:eastAsia="仿宋_GB2312"/>
          <w:sz w:val="28"/>
          <w:szCs w:val="28"/>
        </w:rPr>
        <w:t>收入总</w:t>
      </w:r>
      <w:r>
        <w:rPr>
          <w:rFonts w:ascii="仿宋_GB2312" w:eastAsia="仿宋_GB2312"/>
          <w:sz w:val="28"/>
          <w:szCs w:val="28"/>
        </w:rPr>
        <w:t>计</w:t>
      </w:r>
      <w:r>
        <w:rPr>
          <w:rFonts w:hint="eastAsia" w:ascii="仿宋_GB2312" w:eastAsia="仿宋_GB2312"/>
          <w:sz w:val="28"/>
          <w:szCs w:val="28"/>
        </w:rPr>
        <w:t>524,086.49元，国有资本经营预算财政</w:t>
      </w:r>
      <w:r>
        <w:rPr>
          <w:rFonts w:ascii="仿宋_GB2312" w:eastAsia="仿宋_GB2312"/>
          <w:sz w:val="28"/>
          <w:szCs w:val="28"/>
        </w:rPr>
        <w:t>拨款</w:t>
      </w:r>
      <w:r>
        <w:rPr>
          <w:rFonts w:hint="eastAsia" w:ascii="仿宋_GB2312" w:eastAsia="仿宋_GB2312"/>
          <w:sz w:val="28"/>
          <w:szCs w:val="28"/>
        </w:rPr>
        <w:t>支出总</w:t>
      </w:r>
      <w:r>
        <w:rPr>
          <w:rFonts w:ascii="仿宋_GB2312" w:eastAsia="仿宋_GB2312"/>
          <w:sz w:val="28"/>
          <w:szCs w:val="28"/>
        </w:rPr>
        <w:t>计</w:t>
      </w:r>
      <w:r>
        <w:rPr>
          <w:rFonts w:hint="eastAsia" w:ascii="仿宋_GB2312" w:eastAsia="仿宋_GB2312"/>
          <w:sz w:val="28"/>
          <w:szCs w:val="28"/>
        </w:rPr>
        <w:t>524,086.49元。</w:t>
      </w:r>
    </w:p>
    <w:p>
      <w:pPr>
        <w:spacing w:line="580" w:lineRule="exact"/>
        <w:ind w:firstLine="548" w:firstLineChars="196"/>
        <w:rPr>
          <w:rFonts w:ascii="黑体" w:eastAsia="黑体"/>
          <w:sz w:val="28"/>
          <w:szCs w:val="28"/>
        </w:rPr>
      </w:pPr>
      <w:r>
        <w:rPr>
          <w:rFonts w:hint="eastAsia" w:ascii="黑体" w:eastAsia="黑体"/>
          <w:b/>
          <w:sz w:val="28"/>
          <w:szCs w:val="28"/>
        </w:rPr>
        <w:t>七、财政拨款基本支出决算情况说明</w:t>
      </w:r>
    </w:p>
    <w:p>
      <w:pPr>
        <w:tabs>
          <w:tab w:val="center" w:pos="6979"/>
        </w:tabs>
        <w:spacing w:line="580" w:lineRule="exact"/>
        <w:ind w:firstLine="548" w:firstLineChars="196"/>
        <w:rPr>
          <w:rFonts w:ascii="黑体" w:eastAsia="黑体"/>
          <w:b/>
          <w:sz w:val="28"/>
          <w:szCs w:val="28"/>
        </w:rPr>
      </w:pPr>
      <w:r>
        <w:rPr>
          <w:rFonts w:hint="eastAsia" w:ascii="仿宋_GB2312" w:eastAsia="仿宋_GB2312"/>
          <w:sz w:val="28"/>
          <w:szCs w:val="28"/>
        </w:rPr>
        <w:t>2025年度使用一般公共预算财政拨款安排基本支出56,673,313.22元，使用政府性基金财政拨款安排基本支出</w:t>
      </w:r>
      <w:r>
        <w:rPr>
          <w:rFonts w:ascii="仿宋_GB2312" w:eastAsia="仿宋_GB2312"/>
          <w:sz w:val="28"/>
          <w:szCs w:val="28"/>
        </w:rPr>
        <w:t>0</w:t>
      </w:r>
      <w:r>
        <w:rPr>
          <w:rFonts w:hint="eastAsia" w:ascii="仿宋_GB2312" w:eastAsia="仿宋_GB2312"/>
          <w:sz w:val="28"/>
          <w:szCs w:val="28"/>
        </w:rPr>
        <w:t>元，（1）工资福利支出包括基本工资</w:t>
      </w:r>
      <w:r>
        <w:rPr>
          <w:rFonts w:ascii="仿宋_GB2312" w:eastAsia="仿宋_GB2312"/>
          <w:sz w:val="28"/>
          <w:szCs w:val="28"/>
        </w:rPr>
        <w:t>、津贴补贴、奖金、伙食补助费、绩效工资、</w:t>
      </w:r>
      <w:r>
        <w:rPr>
          <w:rFonts w:hint="eastAsia" w:ascii="仿宋_GB2312" w:eastAsia="仿宋_GB2312"/>
          <w:sz w:val="28"/>
          <w:szCs w:val="28"/>
        </w:rPr>
        <w:t>其他</w:t>
      </w:r>
      <w:r>
        <w:rPr>
          <w:rFonts w:ascii="仿宋_GB2312" w:eastAsia="仿宋_GB2312"/>
          <w:sz w:val="28"/>
          <w:szCs w:val="28"/>
        </w:rPr>
        <w:t>社会保障缴费、其他工资福利</w:t>
      </w:r>
      <w:r>
        <w:rPr>
          <w:rFonts w:hint="eastAsia" w:ascii="仿宋_GB2312" w:eastAsia="仿宋_GB2312"/>
          <w:sz w:val="28"/>
          <w:szCs w:val="28"/>
        </w:rPr>
        <w:t>等</w:t>
      </w:r>
      <w:r>
        <w:rPr>
          <w:rFonts w:ascii="仿宋_GB2312" w:eastAsia="仿宋_GB2312"/>
          <w:sz w:val="28"/>
          <w:szCs w:val="28"/>
        </w:rPr>
        <w:t>支出</w:t>
      </w:r>
      <w:r>
        <w:rPr>
          <w:rFonts w:hint="eastAsia" w:ascii="仿宋_GB2312" w:eastAsia="仿宋_GB2312"/>
          <w:sz w:val="28"/>
          <w:szCs w:val="28"/>
        </w:rPr>
        <w:t>；（2）商品和服务支出包括</w:t>
      </w:r>
      <w:r>
        <w:rPr>
          <w:rFonts w:ascii="仿宋_GB2312" w:eastAsia="仿宋_GB2312"/>
          <w:sz w:val="28"/>
          <w:szCs w:val="28"/>
        </w:rPr>
        <w:t>办公费、印刷费、手续费、水费、电费、邮电费、取暖费、物业管理费、差旅费、因公出国（境）费、维修（护）费、租赁费、会议费、培训费、公务接待费、专用材料费、劳务费、委托业务费、工会经费、福利费、公务用车运行维护费、其他交通费</w:t>
      </w:r>
      <w:r>
        <w:rPr>
          <w:rFonts w:hint="eastAsia" w:ascii="仿宋_GB2312" w:eastAsia="仿宋_GB2312"/>
          <w:sz w:val="28"/>
          <w:szCs w:val="28"/>
        </w:rPr>
        <w:t>用</w:t>
      </w:r>
      <w:r>
        <w:rPr>
          <w:rFonts w:ascii="仿宋_GB2312" w:eastAsia="仿宋_GB2312"/>
          <w:sz w:val="28"/>
          <w:szCs w:val="28"/>
        </w:rPr>
        <w:t>、其他商品和服务</w:t>
      </w:r>
      <w:r>
        <w:rPr>
          <w:rFonts w:hint="eastAsia" w:ascii="仿宋_GB2312" w:eastAsia="仿宋_GB2312"/>
          <w:sz w:val="28"/>
          <w:szCs w:val="28"/>
        </w:rPr>
        <w:t>等</w:t>
      </w:r>
      <w:r>
        <w:rPr>
          <w:rFonts w:ascii="仿宋_GB2312" w:eastAsia="仿宋_GB2312"/>
          <w:sz w:val="28"/>
          <w:szCs w:val="28"/>
        </w:rPr>
        <w:t>支出</w:t>
      </w:r>
      <w:r>
        <w:rPr>
          <w:rFonts w:hint="eastAsia" w:ascii="仿宋_GB2312" w:eastAsia="仿宋_GB2312"/>
          <w:sz w:val="28"/>
          <w:szCs w:val="28"/>
        </w:rPr>
        <w:t>；（3）对个人和家庭补助支出包括</w:t>
      </w:r>
      <w:r>
        <w:rPr>
          <w:rFonts w:ascii="仿宋_GB2312" w:eastAsia="仿宋_GB2312"/>
          <w:sz w:val="28"/>
          <w:szCs w:val="28"/>
        </w:rPr>
        <w:t>离休费、退休费、抚恤金、生活补助、</w:t>
      </w:r>
      <w:r>
        <w:rPr>
          <w:rFonts w:hint="eastAsia" w:ascii="仿宋_GB2312" w:eastAsia="仿宋_GB2312"/>
          <w:sz w:val="28"/>
          <w:szCs w:val="28"/>
        </w:rPr>
        <w:t>救济费</w:t>
      </w:r>
      <w:r>
        <w:rPr>
          <w:rFonts w:ascii="仿宋_GB2312" w:eastAsia="仿宋_GB2312"/>
          <w:sz w:val="28"/>
          <w:szCs w:val="28"/>
        </w:rPr>
        <w:t>、医疗费</w:t>
      </w:r>
      <w:r>
        <w:rPr>
          <w:rFonts w:hint="eastAsia" w:ascii="仿宋_GB2312" w:eastAsia="仿宋_GB2312"/>
          <w:sz w:val="28"/>
          <w:szCs w:val="28"/>
        </w:rPr>
        <w:t>补助</w:t>
      </w:r>
      <w:r>
        <w:rPr>
          <w:rFonts w:ascii="仿宋_GB2312" w:eastAsia="仿宋_GB2312"/>
          <w:sz w:val="28"/>
          <w:szCs w:val="28"/>
        </w:rPr>
        <w:t>、助学金、奖励金</w:t>
      </w:r>
      <w:r>
        <w:rPr>
          <w:rFonts w:hint="eastAsia" w:ascii="仿宋_GB2312" w:eastAsia="仿宋_GB2312"/>
          <w:sz w:val="28"/>
          <w:szCs w:val="28"/>
        </w:rPr>
        <w:t>、</w:t>
      </w:r>
      <w:r>
        <w:rPr>
          <w:rFonts w:ascii="仿宋_GB2312" w:eastAsia="仿宋_GB2312"/>
          <w:sz w:val="28"/>
          <w:szCs w:val="28"/>
        </w:rPr>
        <w:t>其他对个人和家庭的补助</w:t>
      </w:r>
      <w:r>
        <w:rPr>
          <w:rFonts w:hint="eastAsia" w:ascii="仿宋_GB2312" w:eastAsia="仿宋_GB2312"/>
          <w:sz w:val="28"/>
          <w:szCs w:val="28"/>
        </w:rPr>
        <w:t>等</w:t>
      </w:r>
      <w:r>
        <w:rPr>
          <w:rFonts w:ascii="仿宋_GB2312" w:eastAsia="仿宋_GB2312"/>
          <w:sz w:val="28"/>
          <w:szCs w:val="28"/>
        </w:rPr>
        <w:t>支出</w:t>
      </w:r>
      <w:r>
        <w:rPr>
          <w:rFonts w:hint="eastAsia" w:ascii="仿宋_GB2312" w:eastAsia="仿宋_GB2312"/>
          <w:sz w:val="28"/>
          <w:szCs w:val="28"/>
        </w:rPr>
        <w:t>。（4）其他资本性支出包括</w:t>
      </w:r>
      <w:r>
        <w:rPr>
          <w:rFonts w:ascii="仿宋_GB2312" w:eastAsia="仿宋_GB2312"/>
          <w:sz w:val="28"/>
          <w:szCs w:val="28"/>
        </w:rPr>
        <w:t>办公设备购置、专用设备购置</w:t>
      </w:r>
      <w:r>
        <w:rPr>
          <w:rFonts w:hint="eastAsia" w:ascii="仿宋_GB2312" w:eastAsia="仿宋_GB2312"/>
          <w:sz w:val="28"/>
          <w:szCs w:val="28"/>
        </w:rPr>
        <w:t>等</w:t>
      </w:r>
      <w:r>
        <w:rPr>
          <w:rFonts w:ascii="仿宋_GB2312" w:eastAsia="仿宋_GB2312"/>
          <w:sz w:val="28"/>
          <w:szCs w:val="28"/>
        </w:rPr>
        <w:t>。</w:t>
      </w:r>
    </w:p>
    <w:p>
      <w:pPr>
        <w:autoSpaceDE w:val="0"/>
        <w:autoSpaceDN w:val="0"/>
        <w:adjustRightInd w:val="0"/>
        <w:spacing w:line="580" w:lineRule="exact"/>
        <w:rPr>
          <w:rFonts w:ascii="宋体" w:hAnsi="宋体"/>
          <w:b/>
          <w:spacing w:val="40"/>
          <w:sz w:val="32"/>
          <w:szCs w:val="32"/>
        </w:rPr>
      </w:pPr>
      <w:r>
        <w:rPr>
          <w:rFonts w:ascii="仿宋_GB2312" w:eastAsia="仿宋_GB2312"/>
          <w:b/>
          <w:sz w:val="32"/>
          <w:szCs w:val="32"/>
        </w:rPr>
        <w:tab/>
      </w:r>
    </w:p>
    <w:p>
      <w:pPr>
        <w:tabs>
          <w:tab w:val="center" w:pos="6979"/>
        </w:tabs>
        <w:jc w:val="center"/>
        <w:rPr>
          <w:rFonts w:ascii="宋体" w:hAnsi="宋体" w:cs="宋体"/>
          <w:b/>
          <w:spacing w:val="40"/>
          <w:kern w:val="0"/>
          <w:sz w:val="32"/>
          <w:szCs w:val="32"/>
        </w:rPr>
      </w:pPr>
      <w:r>
        <w:rPr>
          <w:rFonts w:hint="eastAsia" w:ascii="宋体" w:hAnsi="宋体" w:cs="宋体"/>
          <w:b/>
          <w:bCs/>
          <w:spacing w:val="40"/>
          <w:kern w:val="0"/>
          <w:sz w:val="32"/>
          <w:szCs w:val="32"/>
        </w:rPr>
        <w:t>第三部分</w:t>
      </w:r>
      <w:r>
        <w:rPr>
          <w:rFonts w:hint="eastAsia" w:ascii="宋体" w:hAnsi="宋体"/>
          <w:b/>
          <w:spacing w:val="40"/>
          <w:sz w:val="32"/>
          <w:szCs w:val="32"/>
        </w:rPr>
        <w:t>2025年度</w:t>
      </w:r>
      <w:r>
        <w:rPr>
          <w:rFonts w:hint="eastAsia" w:ascii="宋体" w:hAnsi="宋体" w:cs="宋体"/>
          <w:b/>
          <w:spacing w:val="40"/>
          <w:kern w:val="0"/>
          <w:sz w:val="32"/>
          <w:szCs w:val="32"/>
        </w:rPr>
        <w:t>其他重要事项的情况说明</w:t>
      </w:r>
    </w:p>
    <w:p>
      <w:pPr>
        <w:spacing w:line="560" w:lineRule="exact"/>
        <w:ind w:firstLine="560" w:firstLineChars="200"/>
        <w:rPr>
          <w:rFonts w:ascii="黑体" w:eastAsia="黑体"/>
          <w:sz w:val="28"/>
          <w:szCs w:val="28"/>
        </w:rPr>
      </w:pPr>
      <w:r>
        <w:rPr>
          <w:rFonts w:hint="eastAsia" w:ascii="黑体" w:eastAsia="黑体"/>
          <w:sz w:val="28"/>
          <w:szCs w:val="28"/>
        </w:rPr>
        <w:t>一、“三公”经费财政拨款决算情况</w:t>
      </w:r>
    </w:p>
    <w:p>
      <w:pPr>
        <w:spacing w:line="560" w:lineRule="exact"/>
        <w:ind w:firstLine="600"/>
        <w:rPr>
          <w:rFonts w:ascii="仿宋_GB2312" w:eastAsia="仿宋_GB2312"/>
          <w:sz w:val="28"/>
          <w:szCs w:val="28"/>
        </w:rPr>
      </w:pPr>
      <w:r>
        <w:rPr>
          <w:rFonts w:hint="eastAsia" w:ascii="仿宋_GB2312" w:eastAsia="仿宋_GB2312"/>
          <w:sz w:val="28"/>
          <w:szCs w:val="28"/>
        </w:rPr>
        <w:t>2025年度“三公”经费财政拨款决算数42,916.35元，比2025年度“三公”经费财政拨款年初预算297,945.00元减少255</w:t>
      </w:r>
      <w:r>
        <w:rPr>
          <w:rFonts w:hint="eastAsia" w:ascii="仿宋_GB2312" w:eastAsia="仿宋_GB2312"/>
          <w:sz w:val="28"/>
          <w:szCs w:val="28"/>
          <w:lang w:val="en-US" w:eastAsia="zh-CN"/>
        </w:rPr>
        <w:t>,</w:t>
      </w:r>
      <w:r>
        <w:rPr>
          <w:rFonts w:hint="eastAsia" w:ascii="仿宋_GB2312" w:eastAsia="仿宋_GB2312"/>
          <w:sz w:val="28"/>
          <w:szCs w:val="28"/>
        </w:rPr>
        <w:t>028.65元。其中：</w:t>
      </w:r>
    </w:p>
    <w:p>
      <w:pPr>
        <w:spacing w:line="560" w:lineRule="exact"/>
        <w:ind w:firstLine="600"/>
        <w:rPr>
          <w:rFonts w:ascii="仿宋_GB2312" w:eastAsia="仿宋_GB2312"/>
          <w:sz w:val="28"/>
          <w:szCs w:val="28"/>
        </w:rPr>
      </w:pPr>
      <w:r>
        <w:rPr>
          <w:rFonts w:hint="eastAsia" w:ascii="仿宋_GB2312" w:eastAsia="仿宋_GB2312"/>
          <w:sz w:val="28"/>
          <w:szCs w:val="28"/>
        </w:rPr>
        <w:t>1.因公出国（境）费用。2025年度决算数</w:t>
      </w:r>
      <w:r>
        <w:rPr>
          <w:rFonts w:ascii="仿宋_GB2312" w:eastAsia="仿宋_GB2312"/>
          <w:sz w:val="28"/>
          <w:szCs w:val="28"/>
        </w:rPr>
        <w:t>0</w:t>
      </w:r>
      <w:r>
        <w:rPr>
          <w:rFonts w:hint="eastAsia" w:ascii="仿宋_GB2312" w:eastAsia="仿宋_GB2312"/>
          <w:sz w:val="28"/>
          <w:szCs w:val="28"/>
        </w:rPr>
        <w:t>元。</w:t>
      </w:r>
    </w:p>
    <w:p>
      <w:pPr>
        <w:spacing w:line="560" w:lineRule="exact"/>
        <w:ind w:firstLine="600"/>
        <w:rPr>
          <w:rFonts w:ascii="仿宋_GB2312" w:eastAsia="仿宋_GB2312"/>
          <w:sz w:val="28"/>
          <w:szCs w:val="28"/>
        </w:rPr>
      </w:pPr>
      <w:r>
        <w:rPr>
          <w:rFonts w:hint="eastAsia" w:ascii="仿宋_GB2312" w:eastAsia="仿宋_GB2312"/>
          <w:sz w:val="28"/>
          <w:szCs w:val="28"/>
        </w:rPr>
        <w:t>2.公务接待费。2025年度决算数</w:t>
      </w:r>
      <w:r>
        <w:rPr>
          <w:rFonts w:ascii="仿宋_GB2312" w:eastAsia="仿宋_GB2312"/>
          <w:sz w:val="28"/>
          <w:szCs w:val="28"/>
        </w:rPr>
        <w:t>0</w:t>
      </w:r>
      <w:r>
        <w:rPr>
          <w:rFonts w:hint="eastAsia" w:ascii="仿宋_GB2312" w:eastAsia="仿宋_GB2312"/>
          <w:sz w:val="28"/>
          <w:szCs w:val="28"/>
        </w:rPr>
        <w:t>元</w:t>
      </w:r>
      <w:r>
        <w:rPr>
          <w:rFonts w:hint="eastAsia" w:ascii="仿宋_GB2312" w:eastAsia="仿宋_GB2312"/>
          <w:sz w:val="28"/>
          <w:szCs w:val="28"/>
          <w:lang w:eastAsia="zh-CN"/>
        </w:rPr>
        <w:t>，</w:t>
      </w:r>
      <w:r>
        <w:rPr>
          <w:rFonts w:hint="eastAsia" w:ascii="仿宋_GB2312" w:eastAsia="仿宋_GB2312"/>
          <w:sz w:val="28"/>
          <w:szCs w:val="28"/>
        </w:rPr>
        <w:t>比2025年度年初预算数</w:t>
      </w:r>
      <w:r>
        <w:rPr>
          <w:rFonts w:hint="eastAsia" w:ascii="仿宋_GB2312" w:eastAsia="仿宋_GB2312"/>
          <w:sz w:val="28"/>
          <w:szCs w:val="28"/>
          <w:lang w:val="en-US" w:eastAsia="zh-CN"/>
        </w:rPr>
        <w:t>33945</w:t>
      </w:r>
      <w:r>
        <w:rPr>
          <w:rFonts w:hint="eastAsia" w:ascii="仿宋_GB2312" w:eastAsia="仿宋_GB2312"/>
          <w:sz w:val="28"/>
          <w:szCs w:val="28"/>
        </w:rPr>
        <w:t>元减少</w:t>
      </w:r>
      <w:r>
        <w:rPr>
          <w:rFonts w:hint="eastAsia" w:ascii="仿宋_GB2312" w:eastAsia="仿宋_GB2312"/>
          <w:sz w:val="28"/>
          <w:szCs w:val="28"/>
          <w:lang w:val="en-US" w:eastAsia="zh-CN"/>
        </w:rPr>
        <w:t>33945</w:t>
      </w:r>
      <w:r>
        <w:rPr>
          <w:rFonts w:hint="eastAsia" w:ascii="仿宋_GB2312" w:eastAsia="仿宋_GB2312"/>
          <w:sz w:val="28"/>
          <w:szCs w:val="28"/>
        </w:rPr>
        <w:t>元。</w:t>
      </w:r>
    </w:p>
    <w:p>
      <w:pPr>
        <w:spacing w:line="560" w:lineRule="exact"/>
        <w:ind w:firstLine="560" w:firstLineChars="200"/>
        <w:rPr>
          <w:rFonts w:ascii="仿宋_GB2312" w:eastAsia="仿宋_GB2312"/>
          <w:sz w:val="28"/>
          <w:szCs w:val="28"/>
        </w:rPr>
      </w:pPr>
      <w:r>
        <w:rPr>
          <w:rFonts w:hint="eastAsia" w:ascii="仿宋_GB2312" w:eastAsia="仿宋_GB2312"/>
          <w:sz w:val="28"/>
          <w:szCs w:val="28"/>
        </w:rPr>
        <w:t>3.公务用车购置及运行维护费。2025年度决算数42,916.35元，比2025年度年初预算数264,000.00元减少221</w:t>
      </w:r>
      <w:r>
        <w:rPr>
          <w:rFonts w:hint="eastAsia" w:ascii="仿宋_GB2312" w:eastAsia="仿宋_GB2312"/>
          <w:sz w:val="28"/>
          <w:szCs w:val="28"/>
          <w:lang w:val="en-US" w:eastAsia="zh-CN"/>
        </w:rPr>
        <w:t>,</w:t>
      </w:r>
      <w:r>
        <w:rPr>
          <w:rFonts w:hint="eastAsia" w:ascii="仿宋_GB2312" w:eastAsia="仿宋_GB2312"/>
          <w:sz w:val="28"/>
          <w:szCs w:val="28"/>
        </w:rPr>
        <w:t>083.65元。其中，公务用车购置费2025年度决算数0元。公务用车运行维护费2025年度决算数42,916.35元，主要原因：落实习惯过紧日子要求，减少非急需非刚性支出。2025年度公务用车保有量</w:t>
      </w:r>
      <w:r>
        <w:rPr>
          <w:rFonts w:ascii="仿宋_GB2312" w:eastAsia="仿宋_GB2312"/>
          <w:sz w:val="28"/>
          <w:szCs w:val="28"/>
        </w:rPr>
        <w:t>12</w:t>
      </w:r>
      <w:r>
        <w:rPr>
          <w:rFonts w:hint="eastAsia" w:ascii="仿宋_GB2312" w:eastAsia="仿宋_GB2312"/>
          <w:sz w:val="28"/>
          <w:szCs w:val="28"/>
        </w:rPr>
        <w:t>辆。</w:t>
      </w:r>
    </w:p>
    <w:p>
      <w:pPr>
        <w:tabs>
          <w:tab w:val="center" w:pos="6979"/>
        </w:tabs>
        <w:ind w:firstLine="554" w:firstLineChars="198"/>
        <w:rPr>
          <w:rFonts w:ascii="黑体" w:eastAsia="黑体"/>
          <w:sz w:val="28"/>
          <w:szCs w:val="28"/>
        </w:rPr>
      </w:pPr>
      <w:r>
        <w:rPr>
          <w:rFonts w:hint="eastAsia" w:ascii="黑体" w:eastAsia="黑体"/>
          <w:sz w:val="28"/>
          <w:szCs w:val="28"/>
        </w:rPr>
        <w:t>二、机关运行经费支出情况</w:t>
      </w:r>
    </w:p>
    <w:p>
      <w:pPr>
        <w:ind w:firstLine="537" w:firstLineChars="192"/>
        <w:rPr>
          <w:rFonts w:ascii="仿宋_GB2312" w:eastAsia="仿宋_GB2312"/>
          <w:sz w:val="28"/>
          <w:szCs w:val="28"/>
        </w:rPr>
      </w:pPr>
      <w:r>
        <w:rPr>
          <w:rFonts w:hint="eastAsia" w:ascii="仿宋_GB2312" w:eastAsia="仿宋_GB2312"/>
          <w:sz w:val="28"/>
          <w:szCs w:val="28"/>
        </w:rPr>
        <w:t>2025年度机关运行经费支出合计4</w:t>
      </w:r>
      <w:r>
        <w:rPr>
          <w:rFonts w:hint="eastAsia" w:ascii="仿宋_GB2312" w:eastAsia="仿宋_GB2312"/>
          <w:sz w:val="28"/>
          <w:szCs w:val="28"/>
          <w:lang w:val="en-US" w:eastAsia="zh-CN"/>
        </w:rPr>
        <w:t>,</w:t>
      </w:r>
      <w:r>
        <w:rPr>
          <w:rFonts w:hint="eastAsia" w:ascii="仿宋_GB2312" w:eastAsia="仿宋_GB2312"/>
          <w:sz w:val="28"/>
          <w:szCs w:val="28"/>
        </w:rPr>
        <w:t>076</w:t>
      </w:r>
      <w:r>
        <w:rPr>
          <w:rFonts w:hint="eastAsia" w:ascii="仿宋_GB2312" w:eastAsia="仿宋_GB2312"/>
          <w:sz w:val="28"/>
          <w:szCs w:val="28"/>
          <w:lang w:val="en-US" w:eastAsia="zh-CN"/>
        </w:rPr>
        <w:t>,</w:t>
      </w:r>
      <w:r>
        <w:rPr>
          <w:rFonts w:hint="eastAsia" w:ascii="仿宋_GB2312" w:eastAsia="仿宋_GB2312"/>
          <w:sz w:val="28"/>
          <w:szCs w:val="28"/>
        </w:rPr>
        <w:t>394.29元，比上年增加</w:t>
      </w:r>
      <w:r>
        <w:rPr>
          <w:rFonts w:hint="eastAsia" w:ascii="仿宋_GB2312" w:eastAsia="仿宋_GB2312"/>
          <w:sz w:val="28"/>
          <w:szCs w:val="28"/>
          <w:lang w:val="en-US" w:eastAsia="zh-CN"/>
        </w:rPr>
        <w:t>29,887.3</w:t>
      </w:r>
      <w:r>
        <w:rPr>
          <w:rFonts w:hint="eastAsia" w:ascii="仿宋_GB2312" w:eastAsia="仿宋_GB2312"/>
          <w:sz w:val="28"/>
          <w:szCs w:val="28"/>
        </w:rPr>
        <w:t>元，增加原因：受人员</w:t>
      </w:r>
      <w:r>
        <w:rPr>
          <w:rFonts w:hint="eastAsia" w:ascii="仿宋_GB2312" w:eastAsia="仿宋_GB2312"/>
          <w:sz w:val="28"/>
          <w:szCs w:val="28"/>
          <w:lang w:val="en-US" w:eastAsia="zh-CN"/>
        </w:rPr>
        <w:t>增加</w:t>
      </w:r>
      <w:r>
        <w:rPr>
          <w:rFonts w:hint="eastAsia" w:ascii="仿宋_GB2312" w:eastAsia="仿宋_GB2312"/>
          <w:sz w:val="28"/>
          <w:szCs w:val="28"/>
        </w:rPr>
        <w:t>因素影响，实际支出相应</w:t>
      </w:r>
      <w:r>
        <w:rPr>
          <w:rFonts w:hint="eastAsia" w:ascii="仿宋_GB2312" w:eastAsia="仿宋_GB2312"/>
          <w:sz w:val="28"/>
          <w:szCs w:val="28"/>
          <w:lang w:val="en-US" w:eastAsia="zh-CN"/>
        </w:rPr>
        <w:t>增加</w:t>
      </w:r>
      <w:r>
        <w:rPr>
          <w:rFonts w:hint="eastAsia" w:ascii="仿宋_GB2312" w:eastAsia="仿宋_GB2312"/>
          <w:sz w:val="28"/>
          <w:szCs w:val="28"/>
        </w:rPr>
        <w:t>。</w:t>
      </w:r>
    </w:p>
    <w:p>
      <w:pPr>
        <w:ind w:left="540"/>
        <w:rPr>
          <w:rFonts w:ascii="黑体" w:eastAsia="黑体"/>
          <w:sz w:val="28"/>
          <w:szCs w:val="28"/>
        </w:rPr>
      </w:pPr>
      <w:r>
        <w:rPr>
          <w:rFonts w:hint="eastAsia" w:ascii="黑体" w:eastAsia="黑体"/>
          <w:sz w:val="28"/>
          <w:szCs w:val="28"/>
        </w:rPr>
        <w:t>三、政府采购支出情况</w:t>
      </w:r>
    </w:p>
    <w:p>
      <w:pPr>
        <w:ind w:firstLine="537" w:firstLineChars="192"/>
        <w:rPr>
          <w:rFonts w:ascii="仿宋_GB2312" w:eastAsia="仿宋_GB2312"/>
          <w:sz w:val="28"/>
          <w:szCs w:val="28"/>
        </w:rPr>
      </w:pPr>
      <w:r>
        <w:rPr>
          <w:rFonts w:hint="eastAsia" w:ascii="仿宋_GB2312" w:eastAsia="仿宋_GB2312"/>
          <w:sz w:val="28"/>
          <w:szCs w:val="28"/>
        </w:rPr>
        <w:t>2025年度政府采购支出总额1,788,664.03元，其中：政府采购货物支出435,730.48元，政府采购工程支出</w:t>
      </w:r>
      <w:r>
        <w:rPr>
          <w:rFonts w:ascii="仿宋_GB2312" w:eastAsia="仿宋_GB2312"/>
          <w:sz w:val="28"/>
          <w:szCs w:val="28"/>
        </w:rPr>
        <w:t>0</w:t>
      </w:r>
      <w:r>
        <w:rPr>
          <w:rFonts w:hint="eastAsia" w:ascii="仿宋_GB2312" w:eastAsia="仿宋_GB2312"/>
          <w:sz w:val="28"/>
          <w:szCs w:val="28"/>
        </w:rPr>
        <w:t>元，政府采购服务支出1,352,933.55元。授予中小企业合同金额1,779,528.68元，占政府采购支出总额的</w:t>
      </w:r>
      <w:r>
        <w:rPr>
          <w:rFonts w:hint="eastAsia" w:ascii="仿宋_GB2312" w:eastAsia="仿宋_GB2312"/>
          <w:sz w:val="28"/>
          <w:szCs w:val="28"/>
          <w:lang w:val="en-US" w:eastAsia="zh-CN"/>
        </w:rPr>
        <w:t>99.5</w:t>
      </w:r>
      <w:r>
        <w:rPr>
          <w:rFonts w:hint="eastAsia" w:ascii="仿宋_GB2312" w:eastAsia="仿宋_GB2312"/>
          <w:sz w:val="28"/>
          <w:szCs w:val="28"/>
        </w:rPr>
        <w:t>%，其中：授予小微企业合同金额1,779,528.68元，占政府采购支出总额的</w:t>
      </w:r>
      <w:r>
        <w:rPr>
          <w:rFonts w:hint="eastAsia" w:ascii="仿宋_GB2312" w:eastAsia="仿宋_GB2312"/>
          <w:sz w:val="28"/>
          <w:szCs w:val="28"/>
          <w:lang w:val="en-US" w:eastAsia="zh-CN"/>
        </w:rPr>
        <w:t>99.5</w:t>
      </w:r>
      <w:r>
        <w:rPr>
          <w:rFonts w:hint="eastAsia" w:ascii="仿宋_GB2312" w:eastAsia="仿宋_GB2312"/>
          <w:sz w:val="28"/>
          <w:szCs w:val="28"/>
        </w:rPr>
        <w:t>%。</w:t>
      </w:r>
    </w:p>
    <w:p>
      <w:pPr>
        <w:ind w:firstLine="560" w:firstLineChars="200"/>
        <w:rPr>
          <w:rFonts w:ascii="黑体" w:eastAsia="黑体"/>
          <w:sz w:val="28"/>
          <w:szCs w:val="28"/>
          <w:highlight w:val="yellow"/>
        </w:rPr>
      </w:pPr>
      <w:r>
        <w:rPr>
          <w:rFonts w:hint="eastAsia" w:ascii="黑体" w:eastAsia="黑体"/>
          <w:sz w:val="28"/>
          <w:szCs w:val="28"/>
        </w:rPr>
        <w:t>四、国有资产占用情况</w:t>
      </w:r>
    </w:p>
    <w:p>
      <w:pPr>
        <w:ind w:firstLine="560" w:firstLineChars="200"/>
        <w:rPr>
          <w:rFonts w:ascii="仿宋_GB2312" w:eastAsia="仿宋_GB2312"/>
          <w:sz w:val="32"/>
          <w:szCs w:val="32"/>
        </w:rPr>
      </w:pPr>
      <w:r>
        <w:rPr>
          <w:rFonts w:hint="eastAsia" w:ascii="仿宋_GB2312" w:eastAsia="仿宋_GB2312"/>
          <w:sz w:val="28"/>
          <w:szCs w:val="28"/>
        </w:rPr>
        <w:t>截至12月31日，北京市门头沟区永定镇人民政府（部门）共有车辆12台；单位价值100</w:t>
      </w:r>
      <w:r>
        <w:rPr>
          <w:rFonts w:hint="eastAsia" w:ascii="仿宋_GB2312" w:eastAsia="仿宋_GB2312"/>
          <w:sz w:val="28"/>
          <w:szCs w:val="28"/>
          <w:lang w:val="en-US" w:eastAsia="zh-CN"/>
        </w:rPr>
        <w:t>万</w:t>
      </w:r>
      <w:r>
        <w:rPr>
          <w:rFonts w:hint="eastAsia" w:ascii="仿宋_GB2312" w:eastAsia="仿宋_GB2312"/>
          <w:sz w:val="28"/>
          <w:szCs w:val="28"/>
        </w:rPr>
        <w:t>元（含）以上的设备0台（套）。</w:t>
      </w:r>
    </w:p>
    <w:p>
      <w:pPr>
        <w:ind w:firstLine="560" w:firstLineChars="200"/>
        <w:jc w:val="left"/>
        <w:rPr>
          <w:rFonts w:ascii="仿宋_GB2312" w:eastAsia="仿宋_GB2312"/>
          <w:color w:val="000000"/>
          <w:sz w:val="32"/>
          <w:szCs w:val="32"/>
        </w:rPr>
      </w:pPr>
      <w:r>
        <w:rPr>
          <w:rFonts w:hint="eastAsia" w:ascii="黑体" w:eastAsia="黑体"/>
          <w:sz w:val="28"/>
          <w:szCs w:val="28"/>
        </w:rPr>
        <w:t>五、</w:t>
      </w:r>
      <w:r>
        <w:rPr>
          <w:rFonts w:ascii="黑体" w:eastAsia="黑体"/>
          <w:sz w:val="28"/>
          <w:szCs w:val="28"/>
        </w:rPr>
        <w:t>专业名词解释</w:t>
      </w:r>
    </w:p>
    <w:p>
      <w:pPr>
        <w:ind w:firstLine="560" w:firstLineChars="200"/>
        <w:rPr>
          <w:rFonts w:ascii="仿宋_GB2312" w:eastAsia="仿宋_GB2312"/>
          <w:sz w:val="28"/>
          <w:szCs w:val="28"/>
        </w:rPr>
      </w:pPr>
      <w:r>
        <w:rPr>
          <w:rFonts w:hint="eastAsia" w:ascii="仿宋_GB2312" w:eastAsia="仿宋_GB2312"/>
          <w:sz w:val="28"/>
          <w:szCs w:val="28"/>
        </w:rPr>
        <w:t>1.基本支出：指为保障机构正常运转、完成日常工作任务而发生的人员支出和公用支出。</w:t>
      </w:r>
    </w:p>
    <w:p>
      <w:pPr>
        <w:ind w:firstLine="560" w:firstLineChars="200"/>
        <w:rPr>
          <w:rFonts w:ascii="仿宋_GB2312" w:eastAsia="仿宋_GB2312"/>
          <w:sz w:val="28"/>
          <w:szCs w:val="28"/>
        </w:rPr>
      </w:pPr>
      <w:r>
        <w:rPr>
          <w:rFonts w:hint="eastAsia" w:ascii="仿宋_GB2312" w:eastAsia="仿宋_GB2312"/>
          <w:sz w:val="28"/>
          <w:szCs w:val="28"/>
        </w:rPr>
        <w:t>2.项目支出：指在基本支出之外为完成特定行政任务或事业发展目标所发生的支出。</w:t>
      </w:r>
    </w:p>
    <w:p>
      <w:pPr>
        <w:ind w:firstLine="560" w:firstLineChars="200"/>
        <w:rPr>
          <w:rFonts w:ascii="仿宋_GB2312" w:eastAsia="仿宋_GB2312"/>
          <w:sz w:val="28"/>
          <w:szCs w:val="28"/>
        </w:rPr>
      </w:pPr>
      <w:r>
        <w:rPr>
          <w:rFonts w:hint="eastAsia" w:ascii="仿宋_GB2312" w:eastAsia="仿宋_GB2312"/>
          <w:sz w:val="28"/>
          <w:szCs w:val="28"/>
        </w:rPr>
        <w:t>3.“三公”经费：是指单位通过财政拨款资金安排的因公出国（境）费、公务用车购置及运行费和公务接待费。</w:t>
      </w:r>
    </w:p>
    <w:p>
      <w:pPr>
        <w:ind w:firstLine="560" w:firstLineChars="200"/>
      </w:pPr>
      <w:r>
        <w:rPr>
          <w:rFonts w:hint="eastAsia" w:ascii="仿宋_GB2312" w:eastAsia="仿宋_GB2312"/>
          <w:sz w:val="28"/>
          <w:szCs w:val="28"/>
        </w:rPr>
        <w:t>4.机关运行经费：反映为保障行政单位（包括参照公务员法管理的事业单位）运行用于购买货物和服务的各项资金，包括办公费、会议费、培训费、委托业务费、公务接待费、公务用车运行维护费、维修（护）费及其他费用。</w:t>
      </w:r>
    </w:p>
    <w:p>
      <w:pPr>
        <w:ind w:firstLine="560" w:firstLineChars="200"/>
        <w:rPr>
          <w:rFonts w:ascii="仿宋_GB2312" w:eastAsia="仿宋_GB2312"/>
          <w:sz w:val="28"/>
          <w:szCs w:val="28"/>
        </w:rPr>
      </w:pPr>
      <w:r>
        <w:rPr>
          <w:rFonts w:hint="eastAsia" w:ascii="仿宋_GB2312" w:eastAsia="仿宋_GB2312"/>
          <w:sz w:val="28"/>
          <w:szCs w:val="28"/>
        </w:rPr>
        <w:t>5.政府采购：指各级国家机关、事业单位和团体组织，使用财政性资金采购依法制定的集中目录以内的或者采购限额标准以上的货物、工程和服务的行为，是规范财政支出管理和强化预算约束的有效措施。</w:t>
      </w:r>
    </w:p>
    <w:p>
      <w:pPr>
        <w:ind w:firstLine="560" w:firstLineChars="200"/>
        <w:rPr>
          <w:rFonts w:hint="eastAsia" w:ascii="仿宋_GB2312" w:eastAsia="仿宋_GB2312"/>
          <w:sz w:val="28"/>
          <w:szCs w:val="28"/>
        </w:rPr>
      </w:pPr>
      <w:r>
        <w:rPr>
          <w:rFonts w:hint="eastAsia" w:ascii="仿宋_GB2312" w:eastAsia="仿宋_GB2312"/>
          <w:sz w:val="28"/>
          <w:szCs w:val="28"/>
        </w:rPr>
        <w:t>6.</w:t>
      </w:r>
      <w:r>
        <w:rPr>
          <w:rFonts w:ascii="仿宋_GB2312" w:eastAsia="仿宋_GB2312"/>
          <w:sz w:val="28"/>
          <w:szCs w:val="28"/>
        </w:rPr>
        <w:t>政府购买服务：</w:t>
      </w:r>
      <w:r>
        <w:rPr>
          <w:rFonts w:hint="eastAsia" w:ascii="仿宋_GB2312" w:eastAsia="仿宋_GB2312"/>
          <w:sz w:val="28"/>
          <w:szCs w:val="28"/>
        </w:rPr>
        <w:t>是指各级国家机关将属于自身职责范围且适合通过市场化方式提供的服务事项，按照政府采购方式和程序，交由符合条件的服务供应商承担，并根据服务数量和质量等因素向其支付费用的行为。</w:t>
      </w:r>
    </w:p>
    <w:p>
      <w:pPr>
        <w:ind w:firstLine="420" w:firstLineChars="150"/>
        <w:rPr>
          <w:rFonts w:ascii="仿宋_GB2312" w:eastAsia="仿宋_GB2312"/>
          <w:sz w:val="28"/>
          <w:szCs w:val="28"/>
        </w:rPr>
      </w:pPr>
    </w:p>
    <w:p>
      <w:pPr>
        <w:ind w:firstLine="420" w:firstLineChars="150"/>
        <w:rPr>
          <w:rFonts w:ascii="仿宋_GB2312" w:eastAsia="仿宋_GB2312"/>
          <w:sz w:val="28"/>
          <w:szCs w:val="28"/>
        </w:rPr>
      </w:pPr>
    </w:p>
    <w:p>
      <w:pPr>
        <w:ind w:firstLine="420" w:firstLineChars="150"/>
        <w:rPr>
          <w:rFonts w:ascii="仿宋_GB2312" w:eastAsia="仿宋_GB2312"/>
          <w:sz w:val="28"/>
          <w:szCs w:val="28"/>
        </w:rPr>
      </w:pPr>
    </w:p>
    <w:p>
      <w:pPr>
        <w:ind w:firstLine="420" w:firstLineChars="150"/>
        <w:rPr>
          <w:rFonts w:ascii="仿宋_GB2312" w:eastAsia="仿宋_GB2312"/>
          <w:sz w:val="28"/>
          <w:szCs w:val="28"/>
        </w:rPr>
      </w:pPr>
    </w:p>
    <w:p>
      <w:pPr>
        <w:ind w:firstLine="420" w:firstLineChars="150"/>
        <w:rPr>
          <w:rFonts w:ascii="仿宋_GB2312" w:eastAsia="仿宋_GB2312"/>
          <w:sz w:val="28"/>
          <w:szCs w:val="28"/>
        </w:rPr>
      </w:pPr>
    </w:p>
    <w:p>
      <w:pPr>
        <w:rPr>
          <w:rFonts w:ascii="黑体" w:eastAsia="黑体"/>
          <w:sz w:val="32"/>
          <w:szCs w:val="32"/>
        </w:rPr>
      </w:pPr>
    </w:p>
    <w:p>
      <w:pPr>
        <w:rPr>
          <w:rFonts w:ascii="黑体" w:eastAsia="黑体"/>
          <w:sz w:val="32"/>
          <w:szCs w:val="32"/>
        </w:rPr>
      </w:pPr>
    </w:p>
    <w:p>
      <w:pPr>
        <w:rPr>
          <w:rFonts w:ascii="黑体" w:eastAsia="黑体"/>
          <w:sz w:val="32"/>
          <w:szCs w:val="32"/>
        </w:rPr>
      </w:pPr>
    </w:p>
    <w:p>
      <w:pPr>
        <w:rPr>
          <w:rFonts w:ascii="黑体" w:eastAsia="黑体"/>
          <w:sz w:val="32"/>
          <w:szCs w:val="32"/>
        </w:rPr>
      </w:pPr>
    </w:p>
    <w:p>
      <w:pPr>
        <w:rPr>
          <w:rFonts w:ascii="黑体" w:eastAsia="黑体"/>
          <w:sz w:val="32"/>
          <w:szCs w:val="32"/>
        </w:rPr>
      </w:pPr>
    </w:p>
    <w:p>
      <w:pPr>
        <w:rPr>
          <w:rFonts w:ascii="黑体" w:eastAsia="黑体"/>
          <w:sz w:val="32"/>
          <w:szCs w:val="32"/>
        </w:rPr>
      </w:pPr>
    </w:p>
    <w:p>
      <w:pPr>
        <w:rPr>
          <w:rFonts w:ascii="黑体" w:eastAsia="黑体"/>
          <w:sz w:val="32"/>
          <w:szCs w:val="32"/>
        </w:rPr>
      </w:pPr>
    </w:p>
    <w:p>
      <w:pPr>
        <w:rPr>
          <w:rFonts w:ascii="黑体" w:eastAsia="黑体"/>
          <w:sz w:val="32"/>
          <w:szCs w:val="32"/>
        </w:rPr>
      </w:pPr>
    </w:p>
    <w:p>
      <w:pPr>
        <w:rPr>
          <w:rFonts w:ascii="黑体" w:eastAsia="黑体"/>
          <w:sz w:val="32"/>
          <w:szCs w:val="32"/>
        </w:rPr>
      </w:pPr>
    </w:p>
    <w:p>
      <w:pPr>
        <w:rPr>
          <w:rFonts w:ascii="黑体" w:eastAsia="黑体"/>
          <w:sz w:val="32"/>
          <w:szCs w:val="32"/>
        </w:rPr>
      </w:pPr>
    </w:p>
    <w:p>
      <w:pPr>
        <w:rPr>
          <w:rFonts w:ascii="黑体" w:eastAsia="黑体"/>
          <w:sz w:val="32"/>
          <w:szCs w:val="32"/>
        </w:rPr>
      </w:pPr>
    </w:p>
    <w:p>
      <w:pPr>
        <w:rPr>
          <w:rFonts w:ascii="黑体" w:eastAsia="黑体"/>
          <w:sz w:val="32"/>
          <w:szCs w:val="32"/>
        </w:rPr>
      </w:pPr>
    </w:p>
    <w:p>
      <w:pPr>
        <w:tabs>
          <w:tab w:val="center" w:pos="6979"/>
        </w:tabs>
        <w:spacing w:line="380" w:lineRule="exact"/>
        <w:jc w:val="center"/>
        <w:rPr>
          <w:rFonts w:ascii="宋体" w:hAnsi="宋体" w:cs="宋体"/>
          <w:b/>
          <w:bCs/>
          <w:kern w:val="0"/>
          <w:sz w:val="28"/>
          <w:szCs w:val="28"/>
        </w:rPr>
      </w:pPr>
    </w:p>
    <w:p>
      <w:pPr>
        <w:tabs>
          <w:tab w:val="center" w:pos="6979"/>
        </w:tabs>
        <w:spacing w:line="380" w:lineRule="exact"/>
        <w:jc w:val="center"/>
        <w:rPr>
          <w:rFonts w:ascii="宋体" w:hAnsi="宋体" w:cs="宋体"/>
          <w:b/>
          <w:bCs/>
          <w:kern w:val="0"/>
          <w:sz w:val="28"/>
          <w:szCs w:val="28"/>
        </w:rPr>
      </w:pPr>
    </w:p>
    <w:p>
      <w:pPr>
        <w:rPr>
          <w:rFonts w:ascii="黑体" w:eastAsia="黑体"/>
          <w:sz w:val="32"/>
          <w:szCs w:val="32"/>
        </w:rPr>
      </w:pPr>
    </w:p>
    <w:p>
      <w:pPr>
        <w:ind w:firstLine="640" w:firstLineChars="200"/>
        <w:jc w:val="center"/>
        <w:rPr>
          <w:rFonts w:ascii="黑体" w:eastAsia="黑体"/>
          <w:sz w:val="32"/>
          <w:szCs w:val="32"/>
        </w:rPr>
      </w:pPr>
    </w:p>
    <w:p>
      <w:pPr>
        <w:tabs>
          <w:tab w:val="center" w:pos="6979"/>
        </w:tabs>
        <w:spacing w:line="580" w:lineRule="exact"/>
        <w:ind w:firstLine="720" w:firstLineChars="200"/>
        <w:jc w:val="center"/>
        <w:rPr>
          <w:rFonts w:asciiTheme="minorEastAsia" w:hAnsiTheme="minorEastAsia" w:eastAsiaTheme="minorEastAsia"/>
          <w:b/>
          <w:sz w:val="36"/>
          <w:szCs w:val="36"/>
        </w:rPr>
      </w:pPr>
      <w:r>
        <w:rPr>
          <w:rFonts w:hint="eastAsia" w:asciiTheme="minorEastAsia" w:hAnsiTheme="minorEastAsia" w:eastAsiaTheme="minorEastAsia"/>
          <w:b/>
          <w:sz w:val="36"/>
          <w:szCs w:val="36"/>
        </w:rPr>
        <w:t>第四部分2025年度部门绩效评价情况</w:t>
      </w:r>
    </w:p>
    <w:p>
      <w:pPr>
        <w:tabs>
          <w:tab w:val="center" w:pos="6979"/>
        </w:tabs>
        <w:spacing w:line="580" w:lineRule="exact"/>
        <w:ind w:firstLine="560" w:firstLineChars="200"/>
        <w:jc w:val="center"/>
        <w:rPr>
          <w:rFonts w:hint="eastAsia" w:ascii="华文中宋" w:hAnsi="华文中宋" w:eastAsia="华文中宋"/>
          <w:sz w:val="28"/>
          <w:szCs w:val="28"/>
        </w:rPr>
      </w:pPr>
    </w:p>
    <w:p>
      <w:pPr>
        <w:spacing w:line="580" w:lineRule="exact"/>
        <w:ind w:firstLine="640" w:firstLineChars="200"/>
        <w:rPr>
          <w:rFonts w:hint="eastAsia" w:ascii="黑体" w:hAnsi="黑体" w:eastAsia="黑体"/>
          <w:sz w:val="32"/>
          <w:szCs w:val="32"/>
        </w:rPr>
      </w:pPr>
      <w:r>
        <w:rPr>
          <w:rFonts w:hint="eastAsia" w:ascii="黑体" w:eastAsia="黑体"/>
          <w:sz w:val="32"/>
          <w:szCs w:val="32"/>
        </w:rPr>
        <w:t xml:space="preserve"> </w:t>
      </w:r>
      <w:r>
        <w:rPr>
          <w:rFonts w:hint="eastAsia" w:ascii="黑体" w:hAnsi="黑体" w:eastAsia="黑体"/>
          <w:sz w:val="32"/>
          <w:szCs w:val="32"/>
        </w:rPr>
        <w:t>一、部门整体绩效评价报告</w:t>
      </w:r>
    </w:p>
    <w:p>
      <w:pPr>
        <w:spacing w:line="580" w:lineRule="exact"/>
        <w:ind w:firstLine="640"/>
        <w:rPr>
          <w:rFonts w:hint="eastAsia" w:ascii="楷体_GB2312" w:hAnsi="Calibri" w:eastAsia="楷体_GB2312"/>
          <w:b/>
          <w:sz w:val="32"/>
          <w:szCs w:val="32"/>
        </w:rPr>
      </w:pPr>
      <w:r>
        <w:rPr>
          <w:rFonts w:hint="eastAsia" w:ascii="楷体_GB2312" w:eastAsia="楷体_GB2312"/>
          <w:b/>
          <w:sz w:val="32"/>
          <w:szCs w:val="32"/>
        </w:rPr>
        <w:t>（一）部门概况</w:t>
      </w:r>
    </w:p>
    <w:p>
      <w:pPr>
        <w:spacing w:line="580" w:lineRule="exact"/>
        <w:ind w:firstLine="640"/>
        <w:rPr>
          <w:rFonts w:hint="eastAsia" w:ascii="仿宋_GB2312" w:eastAsia="仿宋_GB2312"/>
          <w:sz w:val="32"/>
          <w:szCs w:val="32"/>
        </w:rPr>
      </w:pPr>
      <w:bookmarkStart w:id="0" w:name="_Toc268005755"/>
      <w:r>
        <w:rPr>
          <w:rFonts w:hint="eastAsia" w:ascii="仿宋_GB2312" w:eastAsia="仿宋_GB2312"/>
          <w:sz w:val="32"/>
          <w:szCs w:val="32"/>
        </w:rPr>
        <w:t>1.部门职责情况</w:t>
      </w:r>
    </w:p>
    <w:p>
      <w:pPr>
        <w:spacing w:line="580" w:lineRule="exact"/>
        <w:ind w:firstLine="640"/>
        <w:rPr>
          <w:rFonts w:hint="eastAsia" w:ascii="仿宋_GB2312" w:eastAsia="仿宋_GB2312"/>
          <w:sz w:val="32"/>
          <w:szCs w:val="32"/>
        </w:rPr>
      </w:pPr>
      <w:r>
        <w:rPr>
          <w:rFonts w:hint="eastAsia" w:ascii="仿宋_GB2312" w:eastAsia="仿宋_GB2312"/>
          <w:sz w:val="32"/>
          <w:szCs w:val="32"/>
        </w:rPr>
        <w:t>永定镇人民政府隶属于门头沟区人民政府，属于政府职能部门，其职责是加强对永定镇经济和社会发展的统筹规划和组织协调服务；加强社会主义民主政治和法制建设，依法行政，规范管理；完善农村社会化服务体系，为农业和农村经济发展创造条件。</w:t>
      </w:r>
    </w:p>
    <w:p>
      <w:pPr>
        <w:spacing w:line="580" w:lineRule="exact"/>
        <w:ind w:firstLine="640"/>
        <w:rPr>
          <w:rFonts w:hint="eastAsia" w:ascii="仿宋_GB2312" w:eastAsia="仿宋_GB2312"/>
          <w:sz w:val="32"/>
          <w:szCs w:val="32"/>
        </w:rPr>
      </w:pPr>
      <w:r>
        <w:rPr>
          <w:rFonts w:hint="eastAsia" w:ascii="仿宋_GB2312" w:eastAsia="仿宋_GB2312"/>
          <w:sz w:val="32"/>
          <w:szCs w:val="32"/>
        </w:rPr>
        <w:t>2.部门机构设置情况</w:t>
      </w:r>
    </w:p>
    <w:p>
      <w:pPr>
        <w:spacing w:line="580" w:lineRule="exact"/>
        <w:ind w:firstLine="640"/>
        <w:rPr>
          <w:rFonts w:hint="eastAsia" w:ascii="仿宋_GB2312" w:eastAsia="仿宋_GB2312"/>
          <w:sz w:val="32"/>
          <w:szCs w:val="32"/>
        </w:rPr>
      </w:pPr>
      <w:r>
        <w:rPr>
          <w:rFonts w:hint="eastAsia" w:ascii="仿宋_GB2312" w:eastAsia="仿宋_GB2312"/>
          <w:sz w:val="32"/>
          <w:szCs w:val="32"/>
        </w:rPr>
        <w:t>永定镇人民政府本级行政单位1个，下设5个事业单位。包括永定镇区域经济发展中心、永定镇市民活动中心、永定镇便民服务中心、永定镇市民诉求处置中心、永定镇农村经济经营管理站。</w:t>
      </w:r>
    </w:p>
    <w:p>
      <w:pPr>
        <w:spacing w:line="580" w:lineRule="exact"/>
        <w:ind w:firstLine="640"/>
        <w:rPr>
          <w:rFonts w:hint="eastAsia" w:ascii="仿宋_GB2312" w:eastAsia="仿宋_GB2312"/>
          <w:sz w:val="32"/>
          <w:szCs w:val="32"/>
        </w:rPr>
      </w:pPr>
      <w:r>
        <w:rPr>
          <w:rFonts w:hint="eastAsia" w:ascii="仿宋_GB2312" w:eastAsia="仿宋_GB2312"/>
          <w:sz w:val="32"/>
          <w:szCs w:val="32"/>
        </w:rPr>
        <w:t>3.2025年主要工作任务</w:t>
      </w:r>
    </w:p>
    <w:p>
      <w:pPr>
        <w:spacing w:line="580" w:lineRule="exact"/>
        <w:ind w:firstLine="640"/>
        <w:rPr>
          <w:rFonts w:hint="eastAsia" w:ascii="仿宋_GB2312" w:eastAsia="仿宋_GB2312"/>
          <w:sz w:val="32"/>
          <w:szCs w:val="32"/>
        </w:rPr>
      </w:pPr>
      <w:r>
        <w:rPr>
          <w:rFonts w:hint="eastAsia" w:ascii="仿宋_GB2312" w:eastAsia="仿宋_GB2312"/>
          <w:sz w:val="32"/>
          <w:szCs w:val="32"/>
        </w:rPr>
        <w:t>永定镇人民政府</w:t>
      </w:r>
      <w:r>
        <w:rPr>
          <w:rFonts w:hint="eastAsia" w:ascii="仿宋_GB2312" w:eastAsia="仿宋_GB2312"/>
          <w:sz w:val="32"/>
          <w:szCs w:val="32"/>
          <w:lang w:val="en-US" w:eastAsia="zh-CN"/>
        </w:rPr>
        <w:t>2025</w:t>
      </w:r>
      <w:r>
        <w:rPr>
          <w:rFonts w:hint="eastAsia" w:ascii="仿宋_GB2312" w:eastAsia="仿宋_GB2312"/>
          <w:sz w:val="32"/>
          <w:szCs w:val="32"/>
        </w:rPr>
        <w:t>年主要工作任务</w:t>
      </w:r>
      <w:r>
        <w:rPr>
          <w:rFonts w:hint="eastAsia" w:ascii="仿宋_GB2312" w:eastAsia="仿宋_GB2312"/>
          <w:sz w:val="32"/>
          <w:szCs w:val="32"/>
          <w:lang w:val="en-US" w:eastAsia="zh-CN"/>
        </w:rPr>
        <w:t>是</w:t>
      </w:r>
      <w:r>
        <w:rPr>
          <w:rFonts w:hint="eastAsia" w:ascii="仿宋_GB2312" w:eastAsia="仿宋_GB2312"/>
          <w:sz w:val="32"/>
          <w:szCs w:val="32"/>
        </w:rPr>
        <w:t>维持镇域内机构正常运转，足额保障我单位人员经费和日常公用支出</w:t>
      </w:r>
      <w:r>
        <w:rPr>
          <w:rFonts w:hint="eastAsia" w:ascii="仿宋_GB2312" w:eastAsia="仿宋_GB2312"/>
          <w:sz w:val="32"/>
          <w:szCs w:val="32"/>
          <w:lang w:eastAsia="zh-CN"/>
        </w:rPr>
        <w:t>，</w:t>
      </w:r>
      <w:r>
        <w:rPr>
          <w:rFonts w:hint="eastAsia" w:ascii="仿宋_GB2312" w:eastAsia="仿宋_GB2312"/>
          <w:sz w:val="32"/>
          <w:szCs w:val="32"/>
        </w:rPr>
        <w:t>包括镇村居各类办公经费，按照永定镇当年政府工作计划及相关政策要求开展实施；民生类：主要为各类人员补助，包含生态护林员，乡村医生等；工程类：主要为一事一议项目，按照合同的条款进行执行；社会事业发展类：主要为镇街文化活动经费、图书共享工程，按照下划资金的标准进行安排执行。</w:t>
      </w:r>
    </w:p>
    <w:bookmarkEnd w:id="0"/>
    <w:p>
      <w:pPr>
        <w:spacing w:line="580" w:lineRule="exact"/>
        <w:ind w:firstLine="640"/>
        <w:rPr>
          <w:rFonts w:hint="eastAsia" w:ascii="仿宋_GB2312" w:eastAsia="仿宋_GB2312"/>
          <w:sz w:val="32"/>
          <w:szCs w:val="32"/>
        </w:rPr>
      </w:pPr>
      <w:bookmarkStart w:id="1" w:name="_Toc268005759"/>
      <w:bookmarkStart w:id="2" w:name="_Toc263686375"/>
      <w:r>
        <w:rPr>
          <w:rFonts w:hint="eastAsia" w:ascii="仿宋_GB2312" w:eastAsia="仿宋_GB2312"/>
          <w:sz w:val="32"/>
          <w:szCs w:val="32"/>
        </w:rPr>
        <w:t>4.部门</w:t>
      </w:r>
      <w:bookmarkEnd w:id="1"/>
      <w:r>
        <w:rPr>
          <w:rFonts w:hint="eastAsia" w:ascii="仿宋_GB2312" w:eastAsia="仿宋_GB2312"/>
          <w:sz w:val="32"/>
          <w:szCs w:val="32"/>
        </w:rPr>
        <w:t>整体绩效目标设立情况</w:t>
      </w:r>
    </w:p>
    <w:p>
      <w:pPr>
        <w:spacing w:line="580" w:lineRule="exact"/>
        <w:ind w:firstLine="640"/>
        <w:rPr>
          <w:rFonts w:hint="eastAsia" w:ascii="仿宋_GB2312" w:eastAsia="仿宋_GB2312"/>
          <w:sz w:val="32"/>
          <w:szCs w:val="32"/>
        </w:rPr>
      </w:pPr>
      <w:r>
        <w:rPr>
          <w:rFonts w:hint="eastAsia" w:ascii="仿宋_GB2312" w:hAnsi="仿宋" w:eastAsia="仿宋_GB2312" w:cs="Times New Roman"/>
          <w:sz w:val="32"/>
          <w:szCs w:val="32"/>
        </w:rPr>
        <w:t>加强对永定镇经济和社会发展的统筹规划和组织协调服务；加强社会主义民主政治和法制建设，依法行政，规范管理，完善农村社会化服务体系，为农业和农村经济发展创造条件。</w:t>
      </w:r>
    </w:p>
    <w:tbl>
      <w:tblPr>
        <w:tblStyle w:val="10"/>
        <w:tblW w:w="5000" w:type="pct"/>
        <w:tblInd w:w="0" w:type="dxa"/>
        <w:tblLayout w:type="fixed"/>
        <w:tblCellMar>
          <w:top w:w="0" w:type="dxa"/>
          <w:left w:w="108" w:type="dxa"/>
          <w:bottom w:w="0" w:type="dxa"/>
          <w:right w:w="108" w:type="dxa"/>
        </w:tblCellMar>
      </w:tblPr>
      <w:tblGrid>
        <w:gridCol w:w="745"/>
        <w:gridCol w:w="3804"/>
        <w:gridCol w:w="1116"/>
        <w:gridCol w:w="2316"/>
        <w:gridCol w:w="912"/>
        <w:gridCol w:w="961"/>
      </w:tblGrid>
      <w:tr>
        <w:tblPrEx>
          <w:tblCellMar>
            <w:top w:w="0" w:type="dxa"/>
            <w:left w:w="108" w:type="dxa"/>
            <w:bottom w:w="0" w:type="dxa"/>
            <w:right w:w="108" w:type="dxa"/>
          </w:tblCellMar>
        </w:tblPrEx>
        <w:trPr>
          <w:trHeight w:val="275" w:hRule="atLeast"/>
        </w:trPr>
        <w:tc>
          <w:tcPr>
            <w:tcW w:w="378" w:type="pct"/>
            <w:tcBorders>
              <w:top w:val="single" w:color="auto" w:sz="4" w:space="0"/>
              <w:left w:val="single" w:color="auto" w:sz="4" w:space="0"/>
              <w:bottom w:val="single" w:color="auto" w:sz="4" w:space="0"/>
              <w:right w:val="single" w:color="auto" w:sz="4" w:space="0"/>
            </w:tcBorders>
            <w:noWrap/>
            <w:vAlign w:val="bottom"/>
          </w:tcPr>
          <w:p>
            <w:pPr>
              <w:spacing w:line="520" w:lineRule="exact"/>
              <w:jc w:val="center"/>
              <w:rPr>
                <w:rFonts w:hint="eastAsia" w:ascii="仿宋_GB2312" w:eastAsia="仿宋_GB2312"/>
                <w:sz w:val="28"/>
                <w:szCs w:val="28"/>
              </w:rPr>
            </w:pPr>
            <w:r>
              <w:rPr>
                <w:rFonts w:hint="eastAsia" w:ascii="仿宋_GB2312" w:eastAsia="仿宋_GB2312"/>
                <w:sz w:val="28"/>
                <w:szCs w:val="28"/>
              </w:rPr>
              <w:t>序号</w:t>
            </w:r>
          </w:p>
        </w:tc>
        <w:tc>
          <w:tcPr>
            <w:tcW w:w="1930" w:type="pct"/>
            <w:tcBorders>
              <w:top w:val="single" w:color="auto" w:sz="4" w:space="0"/>
              <w:left w:val="nil"/>
              <w:bottom w:val="single" w:color="auto" w:sz="4" w:space="0"/>
              <w:right w:val="single" w:color="auto" w:sz="4" w:space="0"/>
            </w:tcBorders>
            <w:noWrap/>
            <w:vAlign w:val="bottom"/>
          </w:tcPr>
          <w:p>
            <w:pPr>
              <w:spacing w:line="520" w:lineRule="exact"/>
              <w:jc w:val="center"/>
              <w:rPr>
                <w:rFonts w:hint="eastAsia" w:ascii="仿宋_GB2312" w:eastAsia="仿宋_GB2312"/>
                <w:sz w:val="28"/>
                <w:szCs w:val="28"/>
              </w:rPr>
            </w:pPr>
            <w:r>
              <w:rPr>
                <w:rFonts w:hint="eastAsia" w:ascii="仿宋_GB2312" w:eastAsia="仿宋_GB2312"/>
                <w:sz w:val="28"/>
                <w:szCs w:val="28"/>
              </w:rPr>
              <w:t>三级指标</w:t>
            </w:r>
          </w:p>
        </w:tc>
        <w:tc>
          <w:tcPr>
            <w:tcW w:w="566" w:type="pct"/>
            <w:tcBorders>
              <w:top w:val="single" w:color="auto" w:sz="4" w:space="0"/>
              <w:left w:val="nil"/>
              <w:bottom w:val="single" w:color="auto" w:sz="4" w:space="0"/>
              <w:right w:val="single" w:color="auto" w:sz="4" w:space="0"/>
            </w:tcBorders>
            <w:noWrap/>
            <w:vAlign w:val="bottom"/>
          </w:tcPr>
          <w:p>
            <w:pPr>
              <w:spacing w:line="520" w:lineRule="exact"/>
              <w:jc w:val="center"/>
              <w:rPr>
                <w:rFonts w:hint="eastAsia" w:ascii="仿宋_GB2312" w:eastAsia="仿宋_GB2312"/>
                <w:sz w:val="28"/>
                <w:szCs w:val="28"/>
              </w:rPr>
            </w:pPr>
            <w:r>
              <w:rPr>
                <w:rFonts w:hint="eastAsia" w:ascii="仿宋_GB2312" w:eastAsia="仿宋_GB2312"/>
                <w:sz w:val="28"/>
                <w:szCs w:val="28"/>
              </w:rPr>
              <w:t>指标性质</w:t>
            </w:r>
          </w:p>
        </w:tc>
        <w:tc>
          <w:tcPr>
            <w:tcW w:w="1175" w:type="pct"/>
            <w:tcBorders>
              <w:top w:val="single" w:color="auto" w:sz="4" w:space="0"/>
              <w:left w:val="nil"/>
              <w:bottom w:val="single" w:color="auto" w:sz="4" w:space="0"/>
              <w:right w:val="single" w:color="auto" w:sz="4" w:space="0"/>
            </w:tcBorders>
            <w:noWrap/>
            <w:vAlign w:val="bottom"/>
          </w:tcPr>
          <w:p>
            <w:pPr>
              <w:spacing w:line="520" w:lineRule="exact"/>
              <w:jc w:val="center"/>
              <w:rPr>
                <w:rFonts w:hint="eastAsia" w:ascii="仿宋_GB2312" w:eastAsia="仿宋_GB2312"/>
                <w:sz w:val="28"/>
                <w:szCs w:val="28"/>
              </w:rPr>
            </w:pPr>
            <w:r>
              <w:rPr>
                <w:rFonts w:hint="eastAsia" w:ascii="仿宋_GB2312" w:eastAsia="仿宋_GB2312"/>
                <w:sz w:val="28"/>
                <w:szCs w:val="28"/>
              </w:rPr>
              <w:t>指标值</w:t>
            </w:r>
          </w:p>
        </w:tc>
        <w:tc>
          <w:tcPr>
            <w:tcW w:w="462" w:type="pct"/>
            <w:tcBorders>
              <w:top w:val="single" w:color="auto" w:sz="4" w:space="0"/>
              <w:left w:val="nil"/>
              <w:bottom w:val="single" w:color="auto" w:sz="4" w:space="0"/>
              <w:right w:val="single" w:color="auto" w:sz="4" w:space="0"/>
            </w:tcBorders>
          </w:tcPr>
          <w:p>
            <w:pPr>
              <w:spacing w:line="520" w:lineRule="exact"/>
              <w:jc w:val="center"/>
              <w:rPr>
                <w:rFonts w:hint="eastAsia" w:ascii="仿宋_GB2312" w:eastAsia="仿宋_GB2312"/>
                <w:sz w:val="28"/>
                <w:szCs w:val="28"/>
              </w:rPr>
            </w:pPr>
            <w:r>
              <w:rPr>
                <w:rFonts w:hint="eastAsia" w:ascii="仿宋_GB2312" w:eastAsia="仿宋_GB2312"/>
                <w:sz w:val="28"/>
                <w:szCs w:val="28"/>
              </w:rPr>
              <w:t>度量单位</w:t>
            </w:r>
          </w:p>
        </w:tc>
        <w:tc>
          <w:tcPr>
            <w:tcW w:w="487" w:type="pct"/>
            <w:tcBorders>
              <w:top w:val="single" w:color="auto" w:sz="4" w:space="0"/>
              <w:left w:val="nil"/>
              <w:bottom w:val="single" w:color="auto" w:sz="4" w:space="0"/>
              <w:right w:val="single" w:color="auto" w:sz="4" w:space="0"/>
            </w:tcBorders>
          </w:tcPr>
          <w:p>
            <w:pPr>
              <w:spacing w:line="520" w:lineRule="exact"/>
              <w:jc w:val="center"/>
              <w:rPr>
                <w:rFonts w:hint="eastAsia" w:ascii="仿宋_GB2312" w:eastAsia="仿宋_GB2312"/>
                <w:sz w:val="28"/>
                <w:szCs w:val="28"/>
              </w:rPr>
            </w:pPr>
            <w:r>
              <w:rPr>
                <w:rFonts w:hint="eastAsia" w:ascii="仿宋_GB2312" w:eastAsia="仿宋_GB2312"/>
                <w:sz w:val="28"/>
                <w:szCs w:val="28"/>
              </w:rPr>
              <w:t>指标权重</w:t>
            </w:r>
          </w:p>
        </w:tc>
      </w:tr>
      <w:tr>
        <w:tblPrEx>
          <w:tblCellMar>
            <w:top w:w="0" w:type="dxa"/>
            <w:left w:w="108" w:type="dxa"/>
            <w:bottom w:w="0" w:type="dxa"/>
            <w:right w:w="108" w:type="dxa"/>
          </w:tblCellMar>
        </w:tblPrEx>
        <w:trPr>
          <w:trHeight w:val="275" w:hRule="atLeast"/>
        </w:trPr>
        <w:tc>
          <w:tcPr>
            <w:tcW w:w="378" w:type="pct"/>
            <w:tcBorders>
              <w:top w:val="nil"/>
              <w:left w:val="single" w:color="auto" w:sz="4" w:space="0"/>
              <w:bottom w:val="single" w:color="auto" w:sz="4" w:space="0"/>
              <w:right w:val="single" w:color="auto" w:sz="4" w:space="0"/>
            </w:tcBorders>
            <w:noWrap/>
            <w:vAlign w:val="bottom"/>
          </w:tcPr>
          <w:p>
            <w:pPr>
              <w:spacing w:line="520" w:lineRule="exact"/>
              <w:jc w:val="center"/>
              <w:rPr>
                <w:rFonts w:hint="eastAsia" w:ascii="仿宋_GB2312" w:eastAsia="仿宋_GB2312"/>
                <w:sz w:val="28"/>
                <w:szCs w:val="28"/>
              </w:rPr>
            </w:pPr>
            <w:r>
              <w:rPr>
                <w:rFonts w:hint="eastAsia" w:ascii="仿宋_GB2312" w:eastAsia="仿宋_GB2312"/>
                <w:sz w:val="28"/>
                <w:szCs w:val="28"/>
              </w:rPr>
              <w:t>1</w:t>
            </w:r>
          </w:p>
        </w:tc>
        <w:tc>
          <w:tcPr>
            <w:tcW w:w="1930" w:type="pct"/>
            <w:tcBorders>
              <w:top w:val="nil"/>
              <w:left w:val="nil"/>
              <w:bottom w:val="single" w:color="auto" w:sz="4" w:space="0"/>
              <w:right w:val="single" w:color="auto" w:sz="4" w:space="0"/>
            </w:tcBorders>
            <w:noWrap/>
            <w:vAlign w:val="bottom"/>
          </w:tcPr>
          <w:p>
            <w:pPr>
              <w:spacing w:line="520" w:lineRule="exact"/>
              <w:rPr>
                <w:rFonts w:hint="eastAsia" w:ascii="仿宋_GB2312" w:eastAsia="仿宋_GB2312"/>
                <w:sz w:val="28"/>
                <w:szCs w:val="28"/>
              </w:rPr>
            </w:pPr>
            <w:r>
              <w:rPr>
                <w:rFonts w:hint="eastAsia" w:ascii="仿宋_GB2312" w:hAnsi="仿宋" w:eastAsia="仿宋_GB2312" w:cs="Times New Roman"/>
                <w:sz w:val="28"/>
                <w:szCs w:val="28"/>
              </w:rPr>
              <w:t>严重精神障碍患者监护人补贴数量</w:t>
            </w:r>
          </w:p>
        </w:tc>
        <w:tc>
          <w:tcPr>
            <w:tcW w:w="566" w:type="pct"/>
            <w:tcBorders>
              <w:top w:val="nil"/>
              <w:left w:val="nil"/>
              <w:bottom w:val="single" w:color="auto" w:sz="4" w:space="0"/>
              <w:right w:val="single" w:color="auto" w:sz="4" w:space="0"/>
            </w:tcBorders>
            <w:noWrap/>
            <w:vAlign w:val="bottom"/>
          </w:tcPr>
          <w:p>
            <w:pPr>
              <w:spacing w:line="520" w:lineRule="exact"/>
              <w:jc w:val="left"/>
              <w:rPr>
                <w:rFonts w:hint="eastAsia" w:ascii="仿宋_GB2312" w:eastAsia="仿宋_GB2312"/>
                <w:sz w:val="28"/>
                <w:szCs w:val="28"/>
                <w:lang w:val="en-US" w:eastAsia="zh-CN"/>
              </w:rPr>
            </w:pPr>
            <w:r>
              <w:rPr>
                <w:rFonts w:hint="eastAsia" w:ascii="仿宋_GB2312" w:hAnsi="仿宋" w:eastAsia="仿宋_GB2312" w:cs="Times New Roman"/>
                <w:sz w:val="28"/>
                <w:szCs w:val="28"/>
              </w:rPr>
              <w:t>＝</w:t>
            </w:r>
          </w:p>
        </w:tc>
        <w:tc>
          <w:tcPr>
            <w:tcW w:w="1175" w:type="pct"/>
            <w:tcBorders>
              <w:top w:val="nil"/>
              <w:left w:val="nil"/>
              <w:bottom w:val="single" w:color="auto" w:sz="4" w:space="0"/>
              <w:right w:val="single" w:color="auto" w:sz="4" w:space="0"/>
            </w:tcBorders>
            <w:noWrap/>
            <w:vAlign w:val="bottom"/>
          </w:tcPr>
          <w:p>
            <w:pPr>
              <w:spacing w:line="520" w:lineRule="exact"/>
              <w:rPr>
                <w:rFonts w:hint="default" w:ascii="仿宋_GB2312" w:eastAsia="仿宋_GB2312"/>
                <w:sz w:val="28"/>
                <w:szCs w:val="28"/>
                <w:lang w:val="en-US" w:eastAsia="zh-CN"/>
              </w:rPr>
            </w:pPr>
            <w:r>
              <w:rPr>
                <w:rFonts w:hint="eastAsia" w:ascii="仿宋_GB2312" w:eastAsia="仿宋_GB2312"/>
                <w:sz w:val="28"/>
                <w:szCs w:val="28"/>
                <w:lang w:val="en-US" w:eastAsia="zh-CN"/>
              </w:rPr>
              <w:t>200</w:t>
            </w:r>
          </w:p>
        </w:tc>
        <w:tc>
          <w:tcPr>
            <w:tcW w:w="462" w:type="pct"/>
            <w:tcBorders>
              <w:top w:val="nil"/>
              <w:left w:val="nil"/>
              <w:bottom w:val="single" w:color="auto" w:sz="4" w:space="0"/>
              <w:right w:val="single" w:color="auto" w:sz="4" w:space="0"/>
            </w:tcBorders>
          </w:tcPr>
          <w:p>
            <w:pPr>
              <w:spacing w:line="520" w:lineRule="exact"/>
              <w:rPr>
                <w:rFonts w:hint="eastAsia" w:ascii="仿宋_GB2312" w:eastAsia="仿宋_GB2312"/>
                <w:sz w:val="28"/>
                <w:szCs w:val="28"/>
              </w:rPr>
            </w:pPr>
            <w:r>
              <w:rPr>
                <w:rFonts w:hint="eastAsia" w:ascii="仿宋_GB2312" w:hAnsi="仿宋" w:eastAsia="仿宋_GB2312" w:cs="Times New Roman"/>
                <w:sz w:val="28"/>
                <w:szCs w:val="28"/>
              </w:rPr>
              <w:t>人</w:t>
            </w:r>
          </w:p>
        </w:tc>
        <w:tc>
          <w:tcPr>
            <w:tcW w:w="487" w:type="pct"/>
            <w:tcBorders>
              <w:top w:val="nil"/>
              <w:left w:val="nil"/>
              <w:bottom w:val="single" w:color="auto" w:sz="4" w:space="0"/>
              <w:right w:val="single" w:color="auto" w:sz="4" w:space="0"/>
            </w:tcBorders>
          </w:tcPr>
          <w:p>
            <w:pPr>
              <w:spacing w:line="520" w:lineRule="exact"/>
              <w:rPr>
                <w:rFonts w:hint="default" w:ascii="仿宋_GB2312" w:eastAsia="仿宋_GB2312"/>
                <w:sz w:val="28"/>
                <w:szCs w:val="28"/>
                <w:lang w:val="en-US" w:eastAsia="zh-CN"/>
              </w:rPr>
            </w:pPr>
            <w:r>
              <w:rPr>
                <w:rFonts w:hint="eastAsia" w:ascii="仿宋_GB2312" w:eastAsia="仿宋_GB2312"/>
                <w:sz w:val="28"/>
                <w:szCs w:val="28"/>
                <w:lang w:val="en-US" w:eastAsia="zh-CN"/>
              </w:rPr>
              <w:t>10</w:t>
            </w:r>
          </w:p>
        </w:tc>
      </w:tr>
      <w:tr>
        <w:tblPrEx>
          <w:tblCellMar>
            <w:top w:w="0" w:type="dxa"/>
            <w:left w:w="108" w:type="dxa"/>
            <w:bottom w:w="0" w:type="dxa"/>
            <w:right w:w="108" w:type="dxa"/>
          </w:tblCellMar>
        </w:tblPrEx>
        <w:trPr>
          <w:trHeight w:val="275" w:hRule="atLeast"/>
        </w:trPr>
        <w:tc>
          <w:tcPr>
            <w:tcW w:w="378" w:type="pct"/>
            <w:tcBorders>
              <w:top w:val="nil"/>
              <w:left w:val="single" w:color="auto" w:sz="4" w:space="0"/>
              <w:bottom w:val="single" w:color="auto" w:sz="4" w:space="0"/>
              <w:right w:val="single" w:color="auto" w:sz="4" w:space="0"/>
            </w:tcBorders>
            <w:noWrap/>
            <w:vAlign w:val="bottom"/>
          </w:tcPr>
          <w:p>
            <w:pPr>
              <w:spacing w:line="520" w:lineRule="exact"/>
              <w:jc w:val="center"/>
              <w:rPr>
                <w:rFonts w:hint="eastAsia" w:ascii="仿宋_GB2312" w:eastAsia="仿宋_GB2312"/>
                <w:sz w:val="28"/>
                <w:szCs w:val="28"/>
                <w:lang w:val="en-US" w:eastAsia="zh-CN"/>
              </w:rPr>
            </w:pPr>
            <w:r>
              <w:rPr>
                <w:rFonts w:hint="eastAsia" w:ascii="仿宋_GB2312" w:eastAsia="仿宋_GB2312"/>
                <w:sz w:val="28"/>
                <w:szCs w:val="28"/>
                <w:lang w:val="en-US" w:eastAsia="zh-CN"/>
              </w:rPr>
              <w:t>2</w:t>
            </w:r>
          </w:p>
        </w:tc>
        <w:tc>
          <w:tcPr>
            <w:tcW w:w="1930" w:type="pct"/>
            <w:tcBorders>
              <w:top w:val="nil"/>
              <w:left w:val="nil"/>
              <w:bottom w:val="single" w:color="auto" w:sz="4" w:space="0"/>
              <w:right w:val="single" w:color="auto" w:sz="4" w:space="0"/>
            </w:tcBorders>
            <w:noWrap/>
            <w:vAlign w:val="bottom"/>
          </w:tcPr>
          <w:p>
            <w:pPr>
              <w:spacing w:line="520" w:lineRule="exact"/>
              <w:rPr>
                <w:rFonts w:hint="eastAsia" w:ascii="仿宋_GB2312" w:eastAsia="仿宋_GB2312"/>
                <w:sz w:val="28"/>
                <w:szCs w:val="28"/>
              </w:rPr>
            </w:pPr>
            <w:r>
              <w:rPr>
                <w:rFonts w:hint="eastAsia" w:ascii="仿宋_GB2312" w:hAnsi="仿宋" w:eastAsia="仿宋_GB2312" w:cs="Times New Roman"/>
                <w:sz w:val="28"/>
                <w:szCs w:val="28"/>
              </w:rPr>
              <w:t>非在编人员数量</w:t>
            </w:r>
          </w:p>
        </w:tc>
        <w:tc>
          <w:tcPr>
            <w:tcW w:w="566" w:type="pct"/>
            <w:tcBorders>
              <w:top w:val="nil"/>
              <w:left w:val="nil"/>
              <w:bottom w:val="single" w:color="auto" w:sz="4" w:space="0"/>
              <w:right w:val="single" w:color="auto" w:sz="4" w:space="0"/>
            </w:tcBorders>
            <w:noWrap/>
            <w:vAlign w:val="bottom"/>
          </w:tcPr>
          <w:p>
            <w:pPr>
              <w:spacing w:line="520" w:lineRule="exact"/>
              <w:rPr>
                <w:rFonts w:hint="eastAsia" w:ascii="仿宋_GB2312" w:eastAsia="仿宋_GB2312"/>
                <w:sz w:val="28"/>
                <w:szCs w:val="28"/>
              </w:rPr>
            </w:pPr>
            <w:r>
              <w:rPr>
                <w:rFonts w:hint="eastAsia" w:ascii="仿宋_GB2312" w:hAnsi="仿宋" w:eastAsia="仿宋_GB2312" w:cs="Times New Roman"/>
                <w:sz w:val="28"/>
                <w:szCs w:val="28"/>
              </w:rPr>
              <w:t>＝</w:t>
            </w:r>
          </w:p>
        </w:tc>
        <w:tc>
          <w:tcPr>
            <w:tcW w:w="1175" w:type="pct"/>
            <w:tcBorders>
              <w:top w:val="nil"/>
              <w:left w:val="nil"/>
              <w:bottom w:val="single" w:color="auto" w:sz="4" w:space="0"/>
              <w:right w:val="single" w:color="auto" w:sz="4" w:space="0"/>
            </w:tcBorders>
            <w:noWrap/>
            <w:vAlign w:val="bottom"/>
          </w:tcPr>
          <w:p>
            <w:pPr>
              <w:spacing w:line="520" w:lineRule="exact"/>
              <w:rPr>
                <w:rFonts w:hint="default" w:ascii="仿宋_GB2312" w:eastAsia="仿宋_GB2312"/>
                <w:sz w:val="28"/>
                <w:szCs w:val="28"/>
                <w:lang w:val="en-US" w:eastAsia="zh-CN"/>
              </w:rPr>
            </w:pPr>
            <w:r>
              <w:rPr>
                <w:rFonts w:hint="eastAsia" w:ascii="仿宋_GB2312" w:eastAsia="仿宋_GB2312"/>
                <w:sz w:val="28"/>
                <w:szCs w:val="28"/>
                <w:lang w:val="en-US" w:eastAsia="zh-CN"/>
              </w:rPr>
              <w:t>33</w:t>
            </w:r>
          </w:p>
        </w:tc>
        <w:tc>
          <w:tcPr>
            <w:tcW w:w="462" w:type="pct"/>
            <w:tcBorders>
              <w:top w:val="nil"/>
              <w:left w:val="nil"/>
              <w:bottom w:val="single" w:color="auto" w:sz="4" w:space="0"/>
              <w:right w:val="single" w:color="auto" w:sz="4" w:space="0"/>
            </w:tcBorders>
          </w:tcPr>
          <w:p>
            <w:pPr>
              <w:spacing w:line="520" w:lineRule="exact"/>
              <w:rPr>
                <w:rFonts w:hint="default" w:ascii="仿宋_GB2312" w:eastAsia="仿宋_GB2312"/>
                <w:sz w:val="28"/>
                <w:szCs w:val="28"/>
                <w:lang w:val="en-US" w:eastAsia="zh-CN"/>
              </w:rPr>
            </w:pPr>
            <w:r>
              <w:rPr>
                <w:rFonts w:hint="eastAsia" w:ascii="仿宋_GB2312" w:hAnsi="仿宋" w:eastAsia="仿宋_GB2312" w:cs="Times New Roman"/>
                <w:sz w:val="28"/>
                <w:szCs w:val="28"/>
              </w:rPr>
              <w:t>人</w:t>
            </w:r>
          </w:p>
        </w:tc>
        <w:tc>
          <w:tcPr>
            <w:tcW w:w="487" w:type="pct"/>
            <w:tcBorders>
              <w:top w:val="nil"/>
              <w:left w:val="nil"/>
              <w:bottom w:val="single" w:color="auto" w:sz="4" w:space="0"/>
              <w:right w:val="single" w:color="auto" w:sz="4" w:space="0"/>
            </w:tcBorders>
          </w:tcPr>
          <w:p>
            <w:pPr>
              <w:spacing w:line="520" w:lineRule="exact"/>
              <w:rPr>
                <w:rFonts w:hint="default" w:ascii="仿宋_GB2312" w:eastAsia="仿宋_GB2312"/>
                <w:sz w:val="28"/>
                <w:szCs w:val="28"/>
                <w:lang w:val="en-US" w:eastAsia="zh-CN"/>
              </w:rPr>
            </w:pPr>
            <w:r>
              <w:rPr>
                <w:rFonts w:hint="eastAsia" w:ascii="仿宋_GB2312" w:eastAsia="仿宋_GB2312"/>
                <w:sz w:val="28"/>
                <w:szCs w:val="28"/>
                <w:lang w:val="en-US" w:eastAsia="zh-CN"/>
              </w:rPr>
              <w:t>10</w:t>
            </w:r>
          </w:p>
        </w:tc>
      </w:tr>
      <w:tr>
        <w:tblPrEx>
          <w:tblCellMar>
            <w:top w:w="0" w:type="dxa"/>
            <w:left w:w="108" w:type="dxa"/>
            <w:bottom w:w="0" w:type="dxa"/>
            <w:right w:w="108" w:type="dxa"/>
          </w:tblCellMar>
        </w:tblPrEx>
        <w:trPr>
          <w:trHeight w:val="275" w:hRule="atLeast"/>
        </w:trPr>
        <w:tc>
          <w:tcPr>
            <w:tcW w:w="378" w:type="pct"/>
            <w:tcBorders>
              <w:top w:val="nil"/>
              <w:left w:val="single" w:color="auto" w:sz="4" w:space="0"/>
              <w:bottom w:val="single" w:color="auto" w:sz="4" w:space="0"/>
              <w:right w:val="single" w:color="auto" w:sz="4" w:space="0"/>
            </w:tcBorders>
            <w:noWrap/>
            <w:vAlign w:val="bottom"/>
          </w:tcPr>
          <w:p>
            <w:pPr>
              <w:spacing w:line="520" w:lineRule="exact"/>
              <w:jc w:val="center"/>
              <w:rPr>
                <w:rFonts w:hint="eastAsia" w:ascii="仿宋_GB2312" w:eastAsia="仿宋_GB2312"/>
                <w:sz w:val="28"/>
                <w:szCs w:val="28"/>
                <w:lang w:val="en-US" w:eastAsia="zh-CN"/>
              </w:rPr>
            </w:pPr>
            <w:r>
              <w:rPr>
                <w:rFonts w:hint="eastAsia" w:ascii="仿宋_GB2312" w:eastAsia="仿宋_GB2312"/>
                <w:sz w:val="28"/>
                <w:szCs w:val="28"/>
                <w:lang w:val="en-US" w:eastAsia="zh-CN"/>
              </w:rPr>
              <w:t>3</w:t>
            </w:r>
          </w:p>
        </w:tc>
        <w:tc>
          <w:tcPr>
            <w:tcW w:w="1930" w:type="pct"/>
            <w:tcBorders>
              <w:top w:val="nil"/>
              <w:left w:val="nil"/>
              <w:bottom w:val="single" w:color="auto" w:sz="4" w:space="0"/>
              <w:right w:val="single" w:color="auto" w:sz="4" w:space="0"/>
            </w:tcBorders>
            <w:noWrap/>
            <w:vAlign w:val="bottom"/>
          </w:tcPr>
          <w:p>
            <w:pPr>
              <w:spacing w:line="520" w:lineRule="exact"/>
              <w:rPr>
                <w:rFonts w:hint="eastAsia" w:ascii="仿宋_GB2312" w:eastAsia="仿宋_GB2312"/>
                <w:sz w:val="28"/>
                <w:szCs w:val="28"/>
              </w:rPr>
            </w:pPr>
            <w:r>
              <w:rPr>
                <w:rFonts w:hint="eastAsia" w:ascii="仿宋_GB2312" w:hAnsi="仿宋" w:eastAsia="仿宋_GB2312" w:cs="Times New Roman"/>
                <w:sz w:val="28"/>
                <w:szCs w:val="28"/>
              </w:rPr>
              <w:t>党员数量</w:t>
            </w:r>
          </w:p>
        </w:tc>
        <w:tc>
          <w:tcPr>
            <w:tcW w:w="566" w:type="pct"/>
            <w:tcBorders>
              <w:top w:val="nil"/>
              <w:left w:val="nil"/>
              <w:bottom w:val="single" w:color="auto" w:sz="4" w:space="0"/>
              <w:right w:val="single" w:color="auto" w:sz="4" w:space="0"/>
            </w:tcBorders>
            <w:noWrap/>
            <w:vAlign w:val="bottom"/>
          </w:tcPr>
          <w:p>
            <w:pPr>
              <w:spacing w:line="520" w:lineRule="exact"/>
              <w:rPr>
                <w:rFonts w:hint="eastAsia" w:ascii="仿宋_GB2312" w:eastAsia="仿宋_GB2312"/>
                <w:sz w:val="28"/>
                <w:szCs w:val="28"/>
              </w:rPr>
            </w:pPr>
            <w:r>
              <w:rPr>
                <w:rFonts w:hint="eastAsia" w:ascii="仿宋_GB2312" w:hAnsi="仿宋" w:eastAsia="仿宋_GB2312" w:cs="Times New Roman"/>
                <w:sz w:val="28"/>
                <w:szCs w:val="28"/>
              </w:rPr>
              <w:t>＝</w:t>
            </w:r>
          </w:p>
        </w:tc>
        <w:tc>
          <w:tcPr>
            <w:tcW w:w="1175" w:type="pct"/>
            <w:tcBorders>
              <w:top w:val="nil"/>
              <w:left w:val="nil"/>
              <w:bottom w:val="single" w:color="auto" w:sz="4" w:space="0"/>
              <w:right w:val="single" w:color="auto" w:sz="4" w:space="0"/>
            </w:tcBorders>
            <w:noWrap/>
            <w:vAlign w:val="bottom"/>
          </w:tcPr>
          <w:p>
            <w:pPr>
              <w:spacing w:line="520" w:lineRule="exact"/>
              <w:rPr>
                <w:rFonts w:hint="default" w:ascii="仿宋_GB2312" w:eastAsia="仿宋_GB2312"/>
                <w:sz w:val="28"/>
                <w:szCs w:val="28"/>
                <w:lang w:val="en-US" w:eastAsia="zh-CN"/>
              </w:rPr>
            </w:pPr>
            <w:r>
              <w:rPr>
                <w:rFonts w:hint="eastAsia" w:ascii="仿宋_GB2312" w:eastAsia="仿宋_GB2312"/>
                <w:sz w:val="28"/>
                <w:szCs w:val="28"/>
                <w:lang w:val="en-US" w:eastAsia="zh-CN"/>
              </w:rPr>
              <w:t>4015</w:t>
            </w:r>
          </w:p>
        </w:tc>
        <w:tc>
          <w:tcPr>
            <w:tcW w:w="462" w:type="pct"/>
            <w:tcBorders>
              <w:top w:val="nil"/>
              <w:left w:val="nil"/>
              <w:bottom w:val="single" w:color="auto" w:sz="4" w:space="0"/>
              <w:right w:val="single" w:color="auto" w:sz="4" w:space="0"/>
            </w:tcBorders>
          </w:tcPr>
          <w:p>
            <w:pPr>
              <w:spacing w:line="520" w:lineRule="exact"/>
              <w:rPr>
                <w:rFonts w:hint="eastAsia" w:ascii="仿宋_GB2312" w:eastAsia="仿宋_GB2312"/>
                <w:sz w:val="28"/>
                <w:szCs w:val="28"/>
              </w:rPr>
            </w:pPr>
            <w:r>
              <w:rPr>
                <w:rFonts w:hint="eastAsia" w:ascii="仿宋_GB2312" w:hAnsi="仿宋" w:eastAsia="仿宋_GB2312" w:cs="Times New Roman"/>
                <w:sz w:val="28"/>
                <w:szCs w:val="28"/>
              </w:rPr>
              <w:t>人</w:t>
            </w:r>
          </w:p>
        </w:tc>
        <w:tc>
          <w:tcPr>
            <w:tcW w:w="487" w:type="pct"/>
            <w:tcBorders>
              <w:top w:val="nil"/>
              <w:left w:val="nil"/>
              <w:bottom w:val="single" w:color="auto" w:sz="4" w:space="0"/>
              <w:right w:val="single" w:color="auto" w:sz="4" w:space="0"/>
            </w:tcBorders>
          </w:tcPr>
          <w:p>
            <w:pPr>
              <w:spacing w:line="520" w:lineRule="exact"/>
              <w:rPr>
                <w:rFonts w:hint="default" w:ascii="仿宋_GB2312" w:eastAsia="仿宋_GB2312"/>
                <w:sz w:val="28"/>
                <w:szCs w:val="28"/>
                <w:lang w:val="en-US" w:eastAsia="zh-CN"/>
              </w:rPr>
            </w:pPr>
            <w:r>
              <w:rPr>
                <w:rFonts w:hint="eastAsia" w:ascii="仿宋_GB2312" w:eastAsia="仿宋_GB2312"/>
                <w:sz w:val="28"/>
                <w:szCs w:val="28"/>
                <w:lang w:val="en-US" w:eastAsia="zh-CN"/>
              </w:rPr>
              <w:t>10</w:t>
            </w:r>
          </w:p>
        </w:tc>
      </w:tr>
      <w:tr>
        <w:tblPrEx>
          <w:tblCellMar>
            <w:top w:w="0" w:type="dxa"/>
            <w:left w:w="108" w:type="dxa"/>
            <w:bottom w:w="0" w:type="dxa"/>
            <w:right w:w="108" w:type="dxa"/>
          </w:tblCellMar>
        </w:tblPrEx>
        <w:trPr>
          <w:trHeight w:val="275" w:hRule="atLeast"/>
        </w:trPr>
        <w:tc>
          <w:tcPr>
            <w:tcW w:w="378" w:type="pct"/>
            <w:tcBorders>
              <w:top w:val="nil"/>
              <w:left w:val="single" w:color="auto" w:sz="4" w:space="0"/>
              <w:bottom w:val="single" w:color="auto" w:sz="4" w:space="0"/>
              <w:right w:val="single" w:color="auto" w:sz="4" w:space="0"/>
            </w:tcBorders>
            <w:noWrap/>
            <w:vAlign w:val="bottom"/>
          </w:tcPr>
          <w:p>
            <w:pPr>
              <w:spacing w:line="520" w:lineRule="exact"/>
              <w:jc w:val="center"/>
              <w:rPr>
                <w:rFonts w:hint="eastAsia" w:ascii="仿宋_GB2312" w:eastAsia="仿宋_GB2312"/>
                <w:sz w:val="28"/>
                <w:szCs w:val="28"/>
                <w:lang w:val="en-US" w:eastAsia="zh-CN"/>
              </w:rPr>
            </w:pPr>
            <w:r>
              <w:rPr>
                <w:rFonts w:hint="eastAsia" w:ascii="仿宋_GB2312" w:eastAsia="仿宋_GB2312"/>
                <w:sz w:val="28"/>
                <w:szCs w:val="28"/>
                <w:lang w:val="en-US" w:eastAsia="zh-CN"/>
              </w:rPr>
              <w:t>4</w:t>
            </w:r>
          </w:p>
        </w:tc>
        <w:tc>
          <w:tcPr>
            <w:tcW w:w="1930" w:type="pct"/>
            <w:tcBorders>
              <w:top w:val="nil"/>
              <w:left w:val="nil"/>
              <w:bottom w:val="single" w:color="auto" w:sz="4" w:space="0"/>
              <w:right w:val="single" w:color="auto" w:sz="4" w:space="0"/>
            </w:tcBorders>
            <w:noWrap/>
            <w:vAlign w:val="bottom"/>
          </w:tcPr>
          <w:p>
            <w:pPr>
              <w:spacing w:line="520" w:lineRule="exact"/>
              <w:rPr>
                <w:rFonts w:hint="eastAsia" w:ascii="仿宋_GB2312" w:eastAsia="仿宋_GB2312"/>
                <w:sz w:val="28"/>
                <w:szCs w:val="28"/>
              </w:rPr>
            </w:pPr>
            <w:r>
              <w:rPr>
                <w:rFonts w:hint="eastAsia" w:ascii="仿宋_GB2312" w:hAnsi="仿宋" w:eastAsia="仿宋_GB2312" w:cs="Times New Roman"/>
                <w:sz w:val="28"/>
                <w:szCs w:val="28"/>
              </w:rPr>
              <w:t>村居数量</w:t>
            </w:r>
          </w:p>
        </w:tc>
        <w:tc>
          <w:tcPr>
            <w:tcW w:w="566" w:type="pct"/>
            <w:tcBorders>
              <w:top w:val="nil"/>
              <w:left w:val="nil"/>
              <w:bottom w:val="single" w:color="auto" w:sz="4" w:space="0"/>
              <w:right w:val="single" w:color="auto" w:sz="4" w:space="0"/>
            </w:tcBorders>
            <w:noWrap/>
            <w:vAlign w:val="bottom"/>
          </w:tcPr>
          <w:p>
            <w:pPr>
              <w:spacing w:line="520" w:lineRule="exact"/>
              <w:rPr>
                <w:rFonts w:hint="eastAsia" w:ascii="仿宋_GB2312" w:eastAsia="仿宋_GB2312"/>
                <w:sz w:val="28"/>
                <w:szCs w:val="28"/>
              </w:rPr>
            </w:pPr>
            <w:r>
              <w:rPr>
                <w:rFonts w:hint="eastAsia" w:ascii="仿宋_GB2312" w:hAnsi="仿宋" w:eastAsia="仿宋_GB2312" w:cs="Times New Roman"/>
                <w:sz w:val="28"/>
                <w:szCs w:val="28"/>
              </w:rPr>
              <w:t>＝</w:t>
            </w:r>
          </w:p>
        </w:tc>
        <w:tc>
          <w:tcPr>
            <w:tcW w:w="1175" w:type="pct"/>
            <w:tcBorders>
              <w:top w:val="nil"/>
              <w:left w:val="nil"/>
              <w:bottom w:val="single" w:color="auto" w:sz="4" w:space="0"/>
              <w:right w:val="single" w:color="auto" w:sz="4" w:space="0"/>
            </w:tcBorders>
            <w:noWrap/>
            <w:vAlign w:val="bottom"/>
          </w:tcPr>
          <w:p>
            <w:pPr>
              <w:spacing w:line="520" w:lineRule="exact"/>
              <w:rPr>
                <w:rFonts w:hint="default" w:ascii="仿宋_GB2312" w:eastAsia="仿宋_GB2312"/>
                <w:sz w:val="28"/>
                <w:szCs w:val="28"/>
                <w:lang w:val="en-US" w:eastAsia="zh-CN"/>
              </w:rPr>
            </w:pPr>
            <w:r>
              <w:rPr>
                <w:rFonts w:hint="eastAsia" w:ascii="仿宋_GB2312" w:eastAsia="仿宋_GB2312"/>
                <w:sz w:val="28"/>
                <w:szCs w:val="28"/>
                <w:lang w:val="en-US" w:eastAsia="zh-CN"/>
              </w:rPr>
              <w:t>55</w:t>
            </w:r>
          </w:p>
        </w:tc>
        <w:tc>
          <w:tcPr>
            <w:tcW w:w="462" w:type="pct"/>
            <w:tcBorders>
              <w:top w:val="nil"/>
              <w:left w:val="nil"/>
              <w:bottom w:val="single" w:color="auto" w:sz="4" w:space="0"/>
              <w:right w:val="single" w:color="auto" w:sz="4" w:space="0"/>
            </w:tcBorders>
          </w:tcPr>
          <w:p>
            <w:pPr>
              <w:spacing w:line="520" w:lineRule="exact"/>
              <w:rPr>
                <w:rFonts w:hint="default" w:ascii="仿宋_GB2312" w:eastAsia="仿宋_GB2312"/>
                <w:sz w:val="28"/>
                <w:szCs w:val="28"/>
                <w:lang w:val="en-US" w:eastAsia="zh-CN"/>
              </w:rPr>
            </w:pPr>
            <w:r>
              <w:rPr>
                <w:rFonts w:hint="eastAsia" w:ascii="仿宋_GB2312" w:eastAsia="仿宋_GB2312"/>
                <w:sz w:val="28"/>
                <w:szCs w:val="28"/>
                <w:lang w:val="en-US" w:eastAsia="zh-CN"/>
              </w:rPr>
              <w:t>个</w:t>
            </w:r>
          </w:p>
        </w:tc>
        <w:tc>
          <w:tcPr>
            <w:tcW w:w="487" w:type="pct"/>
            <w:tcBorders>
              <w:top w:val="nil"/>
              <w:left w:val="nil"/>
              <w:bottom w:val="single" w:color="auto" w:sz="4" w:space="0"/>
              <w:right w:val="single" w:color="auto" w:sz="4" w:space="0"/>
            </w:tcBorders>
          </w:tcPr>
          <w:p>
            <w:pPr>
              <w:spacing w:line="520" w:lineRule="exact"/>
              <w:rPr>
                <w:rFonts w:hint="default" w:ascii="仿宋_GB2312" w:eastAsia="仿宋_GB2312"/>
                <w:sz w:val="28"/>
                <w:szCs w:val="28"/>
                <w:lang w:val="en-US" w:eastAsia="zh-CN"/>
              </w:rPr>
            </w:pPr>
            <w:r>
              <w:rPr>
                <w:rFonts w:hint="eastAsia" w:ascii="仿宋_GB2312" w:eastAsia="仿宋_GB2312"/>
                <w:sz w:val="28"/>
                <w:szCs w:val="28"/>
                <w:lang w:val="en-US" w:eastAsia="zh-CN"/>
              </w:rPr>
              <w:t>10</w:t>
            </w:r>
          </w:p>
        </w:tc>
      </w:tr>
      <w:tr>
        <w:tblPrEx>
          <w:tblCellMar>
            <w:top w:w="0" w:type="dxa"/>
            <w:left w:w="108" w:type="dxa"/>
            <w:bottom w:w="0" w:type="dxa"/>
            <w:right w:w="108" w:type="dxa"/>
          </w:tblCellMar>
        </w:tblPrEx>
        <w:trPr>
          <w:trHeight w:val="275" w:hRule="atLeast"/>
        </w:trPr>
        <w:tc>
          <w:tcPr>
            <w:tcW w:w="378" w:type="pct"/>
            <w:tcBorders>
              <w:top w:val="nil"/>
              <w:left w:val="single" w:color="auto" w:sz="4" w:space="0"/>
              <w:bottom w:val="single" w:color="auto" w:sz="4" w:space="0"/>
              <w:right w:val="single" w:color="auto" w:sz="4" w:space="0"/>
            </w:tcBorders>
            <w:noWrap/>
            <w:vAlign w:val="bottom"/>
          </w:tcPr>
          <w:p>
            <w:pPr>
              <w:spacing w:line="520" w:lineRule="exact"/>
              <w:jc w:val="center"/>
              <w:rPr>
                <w:rFonts w:hint="eastAsia" w:ascii="仿宋_GB2312" w:eastAsia="仿宋_GB2312"/>
                <w:sz w:val="28"/>
                <w:szCs w:val="28"/>
                <w:lang w:val="en-US" w:eastAsia="zh-CN"/>
              </w:rPr>
            </w:pPr>
            <w:r>
              <w:rPr>
                <w:rFonts w:hint="eastAsia" w:ascii="仿宋_GB2312" w:eastAsia="仿宋_GB2312"/>
                <w:sz w:val="28"/>
                <w:szCs w:val="28"/>
                <w:lang w:val="en-US" w:eastAsia="zh-CN"/>
              </w:rPr>
              <w:t>5</w:t>
            </w:r>
          </w:p>
        </w:tc>
        <w:tc>
          <w:tcPr>
            <w:tcW w:w="1930" w:type="pct"/>
            <w:tcBorders>
              <w:top w:val="nil"/>
              <w:left w:val="nil"/>
              <w:bottom w:val="single" w:color="auto" w:sz="4" w:space="0"/>
              <w:right w:val="single" w:color="auto" w:sz="4" w:space="0"/>
            </w:tcBorders>
            <w:noWrap/>
            <w:vAlign w:val="bottom"/>
          </w:tcPr>
          <w:p>
            <w:pPr>
              <w:spacing w:line="520" w:lineRule="exact"/>
              <w:rPr>
                <w:rFonts w:hint="eastAsia" w:ascii="仿宋_GB2312" w:eastAsia="仿宋_GB2312"/>
                <w:sz w:val="28"/>
                <w:szCs w:val="28"/>
              </w:rPr>
            </w:pPr>
            <w:r>
              <w:rPr>
                <w:rFonts w:hint="eastAsia" w:ascii="仿宋_GB2312" w:hAnsi="仿宋" w:eastAsia="仿宋_GB2312" w:cs="Times New Roman"/>
                <w:sz w:val="28"/>
                <w:szCs w:val="28"/>
              </w:rPr>
              <w:t>成本控制</w:t>
            </w:r>
          </w:p>
        </w:tc>
        <w:tc>
          <w:tcPr>
            <w:tcW w:w="566" w:type="pct"/>
            <w:tcBorders>
              <w:top w:val="nil"/>
              <w:left w:val="nil"/>
              <w:bottom w:val="single" w:color="auto" w:sz="4" w:space="0"/>
              <w:right w:val="single" w:color="auto" w:sz="4" w:space="0"/>
            </w:tcBorders>
            <w:noWrap/>
            <w:vAlign w:val="bottom"/>
          </w:tcPr>
          <w:p>
            <w:pPr>
              <w:spacing w:line="520" w:lineRule="exact"/>
              <w:rPr>
                <w:rFonts w:hint="eastAsia" w:ascii="仿宋_GB2312" w:eastAsia="仿宋_GB2312"/>
                <w:sz w:val="28"/>
                <w:szCs w:val="28"/>
              </w:rPr>
            </w:pPr>
            <w:r>
              <w:rPr>
                <w:rFonts w:hint="eastAsia" w:ascii="仿宋_GB2312" w:hAnsi="仿宋" w:eastAsia="仿宋_GB2312" w:cs="Times New Roman"/>
                <w:sz w:val="28"/>
                <w:szCs w:val="28"/>
              </w:rPr>
              <w:t>＝</w:t>
            </w:r>
          </w:p>
        </w:tc>
        <w:tc>
          <w:tcPr>
            <w:tcW w:w="1175" w:type="pct"/>
            <w:tcBorders>
              <w:top w:val="nil"/>
              <w:left w:val="nil"/>
              <w:bottom w:val="single" w:color="auto" w:sz="4" w:space="0"/>
              <w:right w:val="single" w:color="auto" w:sz="4" w:space="0"/>
            </w:tcBorders>
            <w:noWrap/>
            <w:vAlign w:val="bottom"/>
          </w:tcPr>
          <w:p>
            <w:pPr>
              <w:spacing w:line="520" w:lineRule="exact"/>
              <w:rPr>
                <w:rFonts w:hint="default" w:ascii="仿宋_GB2312" w:eastAsia="仿宋_GB2312"/>
                <w:sz w:val="28"/>
                <w:szCs w:val="28"/>
                <w:lang w:val="en-US" w:eastAsia="zh-CN"/>
              </w:rPr>
            </w:pPr>
            <w:r>
              <w:rPr>
                <w:rFonts w:hint="eastAsia" w:ascii="仿宋_GB2312" w:eastAsia="仿宋_GB2312"/>
                <w:sz w:val="28"/>
                <w:szCs w:val="28"/>
                <w:lang w:val="en-US" w:eastAsia="zh-CN"/>
              </w:rPr>
              <w:t>1.5</w:t>
            </w:r>
          </w:p>
        </w:tc>
        <w:tc>
          <w:tcPr>
            <w:tcW w:w="462" w:type="pct"/>
            <w:tcBorders>
              <w:top w:val="nil"/>
              <w:left w:val="nil"/>
              <w:bottom w:val="single" w:color="auto" w:sz="4" w:space="0"/>
              <w:right w:val="single" w:color="auto" w:sz="4" w:space="0"/>
            </w:tcBorders>
          </w:tcPr>
          <w:p>
            <w:pPr>
              <w:spacing w:line="520" w:lineRule="exact"/>
              <w:rPr>
                <w:rFonts w:hint="eastAsia" w:ascii="仿宋_GB2312" w:eastAsia="仿宋_GB2312"/>
                <w:sz w:val="28"/>
                <w:szCs w:val="28"/>
                <w:lang w:val="en-US" w:eastAsia="zh-CN"/>
              </w:rPr>
            </w:pPr>
            <w:r>
              <w:rPr>
                <w:rFonts w:hint="eastAsia" w:ascii="仿宋_GB2312" w:eastAsia="仿宋_GB2312"/>
                <w:sz w:val="28"/>
                <w:szCs w:val="28"/>
                <w:lang w:val="en-US" w:eastAsia="zh-CN"/>
              </w:rPr>
              <w:t>亿元</w:t>
            </w:r>
          </w:p>
        </w:tc>
        <w:tc>
          <w:tcPr>
            <w:tcW w:w="487" w:type="pct"/>
            <w:tcBorders>
              <w:top w:val="nil"/>
              <w:left w:val="nil"/>
              <w:bottom w:val="single" w:color="auto" w:sz="4" w:space="0"/>
              <w:right w:val="single" w:color="auto" w:sz="4" w:space="0"/>
            </w:tcBorders>
          </w:tcPr>
          <w:p>
            <w:pPr>
              <w:spacing w:line="520" w:lineRule="exact"/>
              <w:rPr>
                <w:rFonts w:hint="default" w:ascii="仿宋_GB2312" w:eastAsia="仿宋_GB2312"/>
                <w:sz w:val="28"/>
                <w:szCs w:val="28"/>
                <w:lang w:val="en-US" w:eastAsia="zh-CN"/>
              </w:rPr>
            </w:pPr>
            <w:r>
              <w:rPr>
                <w:rFonts w:hint="eastAsia" w:ascii="仿宋_GB2312" w:eastAsia="仿宋_GB2312"/>
                <w:sz w:val="28"/>
                <w:szCs w:val="28"/>
                <w:lang w:val="en-US" w:eastAsia="zh-CN"/>
              </w:rPr>
              <w:t>10</w:t>
            </w:r>
          </w:p>
        </w:tc>
      </w:tr>
      <w:tr>
        <w:tblPrEx>
          <w:tblCellMar>
            <w:top w:w="0" w:type="dxa"/>
            <w:left w:w="108" w:type="dxa"/>
            <w:bottom w:w="0" w:type="dxa"/>
            <w:right w:w="108" w:type="dxa"/>
          </w:tblCellMar>
        </w:tblPrEx>
        <w:trPr>
          <w:trHeight w:val="275" w:hRule="atLeast"/>
        </w:trPr>
        <w:tc>
          <w:tcPr>
            <w:tcW w:w="378" w:type="pct"/>
            <w:tcBorders>
              <w:top w:val="nil"/>
              <w:left w:val="single" w:color="auto" w:sz="4" w:space="0"/>
              <w:bottom w:val="single" w:color="auto" w:sz="4" w:space="0"/>
              <w:right w:val="single" w:color="auto" w:sz="4" w:space="0"/>
            </w:tcBorders>
            <w:noWrap/>
            <w:vAlign w:val="bottom"/>
          </w:tcPr>
          <w:p>
            <w:pPr>
              <w:spacing w:line="520" w:lineRule="exact"/>
              <w:jc w:val="center"/>
              <w:rPr>
                <w:rFonts w:hint="eastAsia" w:ascii="仿宋_GB2312" w:eastAsia="仿宋_GB2312"/>
                <w:sz w:val="28"/>
                <w:szCs w:val="28"/>
                <w:lang w:val="en-US" w:eastAsia="zh-CN"/>
              </w:rPr>
            </w:pPr>
            <w:r>
              <w:rPr>
                <w:rFonts w:hint="eastAsia" w:ascii="仿宋_GB2312" w:eastAsia="仿宋_GB2312"/>
                <w:sz w:val="28"/>
                <w:szCs w:val="28"/>
                <w:lang w:val="en-US" w:eastAsia="zh-CN"/>
              </w:rPr>
              <w:t>6</w:t>
            </w:r>
          </w:p>
        </w:tc>
        <w:tc>
          <w:tcPr>
            <w:tcW w:w="1930" w:type="pct"/>
            <w:tcBorders>
              <w:top w:val="nil"/>
              <w:left w:val="nil"/>
              <w:bottom w:val="single" w:color="auto" w:sz="4" w:space="0"/>
              <w:right w:val="single" w:color="auto" w:sz="4" w:space="0"/>
            </w:tcBorders>
            <w:noWrap/>
            <w:vAlign w:val="bottom"/>
          </w:tcPr>
          <w:p>
            <w:pPr>
              <w:spacing w:line="520" w:lineRule="exact"/>
              <w:rPr>
                <w:rFonts w:hint="eastAsia" w:ascii="仿宋_GB2312" w:eastAsia="仿宋_GB2312"/>
                <w:sz w:val="28"/>
                <w:szCs w:val="28"/>
              </w:rPr>
            </w:pPr>
            <w:r>
              <w:rPr>
                <w:rFonts w:hint="eastAsia" w:ascii="仿宋_GB2312" w:hAnsi="仿宋" w:eastAsia="仿宋_GB2312" w:cs="Times New Roman"/>
                <w:sz w:val="28"/>
                <w:szCs w:val="28"/>
              </w:rPr>
              <w:t>绿化成果得到延续</w:t>
            </w:r>
          </w:p>
        </w:tc>
        <w:tc>
          <w:tcPr>
            <w:tcW w:w="566" w:type="pct"/>
            <w:tcBorders>
              <w:top w:val="nil"/>
              <w:left w:val="nil"/>
              <w:bottom w:val="single" w:color="auto" w:sz="4" w:space="0"/>
              <w:right w:val="single" w:color="auto" w:sz="4" w:space="0"/>
            </w:tcBorders>
            <w:noWrap/>
            <w:vAlign w:val="bottom"/>
          </w:tcPr>
          <w:p>
            <w:pPr>
              <w:spacing w:line="520" w:lineRule="exact"/>
              <w:rPr>
                <w:rFonts w:hint="default" w:ascii="仿宋_GB2312" w:eastAsia="仿宋_GB2312"/>
                <w:sz w:val="28"/>
                <w:szCs w:val="28"/>
                <w:lang w:val="en-US" w:eastAsia="zh-CN"/>
              </w:rPr>
            </w:pPr>
            <w:r>
              <w:rPr>
                <w:rFonts w:hint="eastAsia" w:ascii="仿宋_GB2312" w:eastAsia="仿宋_GB2312"/>
                <w:sz w:val="28"/>
                <w:szCs w:val="28"/>
                <w:lang w:val="en-US" w:eastAsia="zh-CN"/>
              </w:rPr>
              <w:t>定性</w:t>
            </w:r>
          </w:p>
        </w:tc>
        <w:tc>
          <w:tcPr>
            <w:tcW w:w="1175" w:type="pct"/>
            <w:tcBorders>
              <w:top w:val="nil"/>
              <w:left w:val="nil"/>
              <w:bottom w:val="single" w:color="auto" w:sz="4" w:space="0"/>
              <w:right w:val="single" w:color="auto" w:sz="4" w:space="0"/>
            </w:tcBorders>
            <w:noWrap/>
            <w:vAlign w:val="bottom"/>
          </w:tcPr>
          <w:p>
            <w:pPr>
              <w:spacing w:line="520" w:lineRule="exact"/>
              <w:rPr>
                <w:rFonts w:hint="eastAsia" w:ascii="仿宋_GB2312" w:eastAsia="仿宋_GB2312"/>
                <w:sz w:val="28"/>
                <w:szCs w:val="28"/>
              </w:rPr>
            </w:pPr>
            <w:r>
              <w:rPr>
                <w:rFonts w:hint="eastAsia" w:ascii="仿宋_GB2312" w:hAnsi="仿宋" w:eastAsia="仿宋_GB2312" w:cs="Times New Roman"/>
                <w:sz w:val="28"/>
                <w:szCs w:val="28"/>
              </w:rPr>
              <w:t>得到延续</w:t>
            </w:r>
          </w:p>
        </w:tc>
        <w:tc>
          <w:tcPr>
            <w:tcW w:w="462" w:type="pct"/>
            <w:tcBorders>
              <w:top w:val="nil"/>
              <w:left w:val="nil"/>
              <w:bottom w:val="single" w:color="auto" w:sz="4" w:space="0"/>
              <w:right w:val="single" w:color="auto" w:sz="4" w:space="0"/>
            </w:tcBorders>
          </w:tcPr>
          <w:p>
            <w:pPr>
              <w:spacing w:line="520" w:lineRule="exact"/>
              <w:ind w:firstLine="640"/>
              <w:rPr>
                <w:rFonts w:hint="eastAsia" w:ascii="仿宋_GB2312" w:eastAsia="仿宋_GB2312"/>
                <w:sz w:val="28"/>
                <w:szCs w:val="28"/>
              </w:rPr>
            </w:pPr>
          </w:p>
        </w:tc>
        <w:tc>
          <w:tcPr>
            <w:tcW w:w="487" w:type="pct"/>
            <w:tcBorders>
              <w:top w:val="nil"/>
              <w:left w:val="nil"/>
              <w:bottom w:val="single" w:color="auto" w:sz="4" w:space="0"/>
              <w:right w:val="single" w:color="auto" w:sz="4" w:space="0"/>
            </w:tcBorders>
          </w:tcPr>
          <w:p>
            <w:pPr>
              <w:spacing w:line="520" w:lineRule="exact"/>
              <w:rPr>
                <w:rFonts w:hint="default" w:ascii="仿宋_GB2312" w:eastAsia="仿宋_GB2312"/>
                <w:sz w:val="28"/>
                <w:szCs w:val="28"/>
                <w:lang w:val="en-US" w:eastAsia="zh-CN"/>
              </w:rPr>
            </w:pPr>
            <w:r>
              <w:rPr>
                <w:rFonts w:hint="eastAsia" w:ascii="仿宋_GB2312" w:eastAsia="仿宋_GB2312"/>
                <w:sz w:val="28"/>
                <w:szCs w:val="28"/>
                <w:lang w:val="en-US" w:eastAsia="zh-CN"/>
              </w:rPr>
              <w:t>10</w:t>
            </w:r>
          </w:p>
        </w:tc>
      </w:tr>
      <w:tr>
        <w:tblPrEx>
          <w:tblCellMar>
            <w:top w:w="0" w:type="dxa"/>
            <w:left w:w="108" w:type="dxa"/>
            <w:bottom w:w="0" w:type="dxa"/>
            <w:right w:w="108" w:type="dxa"/>
          </w:tblCellMar>
        </w:tblPrEx>
        <w:trPr>
          <w:trHeight w:val="275" w:hRule="atLeast"/>
        </w:trPr>
        <w:tc>
          <w:tcPr>
            <w:tcW w:w="378" w:type="pct"/>
            <w:tcBorders>
              <w:top w:val="nil"/>
              <w:left w:val="single" w:color="auto" w:sz="4" w:space="0"/>
              <w:bottom w:val="single" w:color="auto" w:sz="4" w:space="0"/>
              <w:right w:val="single" w:color="auto" w:sz="4" w:space="0"/>
            </w:tcBorders>
            <w:noWrap/>
            <w:vAlign w:val="bottom"/>
          </w:tcPr>
          <w:p>
            <w:pPr>
              <w:spacing w:line="520" w:lineRule="exact"/>
              <w:jc w:val="center"/>
              <w:rPr>
                <w:rFonts w:hint="eastAsia" w:ascii="仿宋_GB2312" w:eastAsia="仿宋_GB2312"/>
                <w:sz w:val="28"/>
                <w:szCs w:val="28"/>
                <w:lang w:val="en-US" w:eastAsia="zh-CN"/>
              </w:rPr>
            </w:pPr>
            <w:r>
              <w:rPr>
                <w:rFonts w:hint="eastAsia" w:ascii="仿宋_GB2312" w:eastAsia="仿宋_GB2312"/>
                <w:sz w:val="28"/>
                <w:szCs w:val="28"/>
                <w:lang w:val="en-US" w:eastAsia="zh-CN"/>
              </w:rPr>
              <w:t>7</w:t>
            </w:r>
          </w:p>
        </w:tc>
        <w:tc>
          <w:tcPr>
            <w:tcW w:w="1930" w:type="pct"/>
            <w:tcBorders>
              <w:top w:val="nil"/>
              <w:left w:val="nil"/>
              <w:bottom w:val="single" w:color="auto" w:sz="4" w:space="0"/>
              <w:right w:val="single" w:color="auto" w:sz="4" w:space="0"/>
            </w:tcBorders>
            <w:noWrap/>
            <w:vAlign w:val="bottom"/>
          </w:tcPr>
          <w:p>
            <w:pPr>
              <w:spacing w:line="520" w:lineRule="exact"/>
              <w:rPr>
                <w:rFonts w:hint="eastAsia" w:ascii="仿宋_GB2312" w:eastAsia="仿宋_GB2312"/>
                <w:sz w:val="28"/>
                <w:szCs w:val="28"/>
              </w:rPr>
            </w:pPr>
            <w:r>
              <w:rPr>
                <w:rFonts w:hint="eastAsia" w:ascii="仿宋_GB2312" w:hAnsi="仿宋" w:eastAsia="仿宋_GB2312" w:cs="Times New Roman"/>
                <w:sz w:val="28"/>
                <w:szCs w:val="28"/>
              </w:rPr>
              <w:t>保证社区两委、社工人员工资，保证社区正常运转</w:t>
            </w:r>
          </w:p>
        </w:tc>
        <w:tc>
          <w:tcPr>
            <w:tcW w:w="566" w:type="pct"/>
            <w:tcBorders>
              <w:top w:val="nil"/>
              <w:left w:val="nil"/>
              <w:bottom w:val="single" w:color="auto" w:sz="4" w:space="0"/>
              <w:right w:val="single" w:color="auto" w:sz="4" w:space="0"/>
            </w:tcBorders>
            <w:noWrap/>
            <w:vAlign w:val="bottom"/>
          </w:tcPr>
          <w:p>
            <w:pPr>
              <w:spacing w:line="520" w:lineRule="exact"/>
              <w:rPr>
                <w:rFonts w:hint="eastAsia" w:ascii="仿宋_GB2312" w:eastAsia="仿宋_GB2312"/>
                <w:sz w:val="28"/>
                <w:szCs w:val="28"/>
              </w:rPr>
            </w:pPr>
            <w:r>
              <w:rPr>
                <w:rFonts w:hint="eastAsia" w:ascii="仿宋_GB2312" w:hAnsi="仿宋" w:eastAsia="仿宋_GB2312" w:cs="Times New Roman"/>
                <w:sz w:val="28"/>
                <w:szCs w:val="28"/>
              </w:rPr>
              <w:t>＝</w:t>
            </w:r>
          </w:p>
        </w:tc>
        <w:tc>
          <w:tcPr>
            <w:tcW w:w="1175" w:type="pct"/>
            <w:tcBorders>
              <w:top w:val="nil"/>
              <w:left w:val="nil"/>
              <w:bottom w:val="single" w:color="auto" w:sz="4" w:space="0"/>
              <w:right w:val="single" w:color="auto" w:sz="4" w:space="0"/>
            </w:tcBorders>
            <w:noWrap/>
            <w:vAlign w:val="bottom"/>
          </w:tcPr>
          <w:p>
            <w:pPr>
              <w:spacing w:line="520" w:lineRule="exact"/>
              <w:rPr>
                <w:rFonts w:hint="default" w:ascii="仿宋_GB2312" w:eastAsia="仿宋_GB2312"/>
                <w:sz w:val="28"/>
                <w:szCs w:val="28"/>
                <w:lang w:val="en-US" w:eastAsia="zh-CN"/>
              </w:rPr>
            </w:pPr>
            <w:r>
              <w:rPr>
                <w:rFonts w:hint="eastAsia" w:ascii="仿宋_GB2312" w:eastAsia="仿宋_GB2312"/>
                <w:sz w:val="28"/>
                <w:szCs w:val="28"/>
                <w:lang w:val="en-US" w:eastAsia="zh-CN"/>
              </w:rPr>
              <w:t>100</w:t>
            </w:r>
          </w:p>
        </w:tc>
        <w:tc>
          <w:tcPr>
            <w:tcW w:w="462" w:type="pct"/>
            <w:tcBorders>
              <w:top w:val="nil"/>
              <w:left w:val="nil"/>
              <w:bottom w:val="single" w:color="auto" w:sz="4" w:space="0"/>
              <w:right w:val="single" w:color="auto" w:sz="4" w:space="0"/>
            </w:tcBorders>
          </w:tcPr>
          <w:p>
            <w:pPr>
              <w:spacing w:line="520" w:lineRule="exact"/>
              <w:rPr>
                <w:rFonts w:hint="eastAsia" w:ascii="仿宋_GB2312" w:eastAsia="仿宋_GB2312"/>
                <w:sz w:val="28"/>
                <w:szCs w:val="28"/>
                <w:lang w:val="en-US" w:eastAsia="zh-CN"/>
              </w:rPr>
            </w:pPr>
            <w:r>
              <w:rPr>
                <w:rFonts w:hint="eastAsia" w:ascii="仿宋_GB2312" w:eastAsia="仿宋_GB2312"/>
                <w:sz w:val="28"/>
                <w:szCs w:val="28"/>
                <w:lang w:val="en-US" w:eastAsia="zh-CN"/>
              </w:rPr>
              <w:t>%</w:t>
            </w:r>
          </w:p>
        </w:tc>
        <w:tc>
          <w:tcPr>
            <w:tcW w:w="487" w:type="pct"/>
            <w:tcBorders>
              <w:top w:val="nil"/>
              <w:left w:val="nil"/>
              <w:bottom w:val="single" w:color="auto" w:sz="4" w:space="0"/>
              <w:right w:val="single" w:color="auto" w:sz="4" w:space="0"/>
            </w:tcBorders>
          </w:tcPr>
          <w:p>
            <w:pPr>
              <w:spacing w:line="520" w:lineRule="exact"/>
              <w:rPr>
                <w:rFonts w:hint="default" w:ascii="仿宋_GB2312" w:eastAsia="仿宋_GB2312"/>
                <w:sz w:val="28"/>
                <w:szCs w:val="28"/>
                <w:lang w:val="en-US" w:eastAsia="zh-CN"/>
              </w:rPr>
            </w:pPr>
            <w:r>
              <w:rPr>
                <w:rFonts w:hint="eastAsia" w:ascii="仿宋_GB2312" w:eastAsia="仿宋_GB2312"/>
                <w:sz w:val="28"/>
                <w:szCs w:val="28"/>
                <w:lang w:val="en-US" w:eastAsia="zh-CN"/>
              </w:rPr>
              <w:t>10</w:t>
            </w:r>
          </w:p>
        </w:tc>
      </w:tr>
      <w:tr>
        <w:tblPrEx>
          <w:tblCellMar>
            <w:top w:w="0" w:type="dxa"/>
            <w:left w:w="108" w:type="dxa"/>
            <w:bottom w:w="0" w:type="dxa"/>
            <w:right w:w="108" w:type="dxa"/>
          </w:tblCellMar>
        </w:tblPrEx>
        <w:trPr>
          <w:trHeight w:val="275" w:hRule="atLeast"/>
        </w:trPr>
        <w:tc>
          <w:tcPr>
            <w:tcW w:w="378" w:type="pct"/>
            <w:tcBorders>
              <w:top w:val="nil"/>
              <w:left w:val="single" w:color="auto" w:sz="4" w:space="0"/>
              <w:bottom w:val="single" w:color="auto" w:sz="4" w:space="0"/>
              <w:right w:val="single" w:color="auto" w:sz="4" w:space="0"/>
            </w:tcBorders>
            <w:noWrap/>
            <w:vAlign w:val="bottom"/>
          </w:tcPr>
          <w:p>
            <w:pPr>
              <w:spacing w:line="520" w:lineRule="exact"/>
              <w:jc w:val="center"/>
              <w:rPr>
                <w:rFonts w:hint="eastAsia" w:ascii="仿宋_GB2312" w:eastAsia="仿宋_GB2312"/>
                <w:sz w:val="28"/>
                <w:szCs w:val="28"/>
                <w:lang w:val="en-US" w:eastAsia="zh-CN"/>
              </w:rPr>
            </w:pPr>
            <w:r>
              <w:rPr>
                <w:rFonts w:hint="eastAsia" w:ascii="仿宋_GB2312" w:eastAsia="仿宋_GB2312"/>
                <w:sz w:val="28"/>
                <w:szCs w:val="28"/>
                <w:lang w:val="en-US" w:eastAsia="zh-CN"/>
              </w:rPr>
              <w:t>8</w:t>
            </w:r>
          </w:p>
        </w:tc>
        <w:tc>
          <w:tcPr>
            <w:tcW w:w="1930" w:type="pct"/>
            <w:tcBorders>
              <w:top w:val="nil"/>
              <w:left w:val="nil"/>
              <w:bottom w:val="single" w:color="auto" w:sz="4" w:space="0"/>
              <w:right w:val="single" w:color="auto" w:sz="4" w:space="0"/>
            </w:tcBorders>
            <w:noWrap/>
            <w:vAlign w:val="bottom"/>
          </w:tcPr>
          <w:p>
            <w:pPr>
              <w:spacing w:line="520" w:lineRule="exact"/>
              <w:rPr>
                <w:rFonts w:hint="eastAsia" w:ascii="仿宋_GB2312" w:eastAsia="仿宋_GB2312"/>
                <w:sz w:val="28"/>
                <w:szCs w:val="28"/>
              </w:rPr>
            </w:pPr>
            <w:r>
              <w:rPr>
                <w:rFonts w:hint="eastAsia" w:ascii="仿宋_GB2312" w:hAnsi="仿宋" w:eastAsia="仿宋_GB2312" w:cs="Times New Roman"/>
                <w:sz w:val="28"/>
                <w:szCs w:val="28"/>
              </w:rPr>
              <w:t>项目时效</w:t>
            </w:r>
            <w:r>
              <w:rPr>
                <w:rFonts w:hint="eastAsia" w:ascii="仿宋_GB2312" w:eastAsia="仿宋_GB2312"/>
                <w:sz w:val="28"/>
                <w:szCs w:val="28"/>
              </w:rPr>
              <w:t>　</w:t>
            </w:r>
          </w:p>
        </w:tc>
        <w:tc>
          <w:tcPr>
            <w:tcW w:w="566" w:type="pct"/>
            <w:tcBorders>
              <w:top w:val="nil"/>
              <w:left w:val="nil"/>
              <w:bottom w:val="single" w:color="auto" w:sz="4" w:space="0"/>
              <w:right w:val="single" w:color="auto" w:sz="4" w:space="0"/>
            </w:tcBorders>
            <w:noWrap/>
            <w:vAlign w:val="bottom"/>
          </w:tcPr>
          <w:p>
            <w:pPr>
              <w:spacing w:line="520" w:lineRule="exact"/>
              <w:rPr>
                <w:rFonts w:hint="eastAsia" w:ascii="仿宋_GB2312" w:eastAsia="仿宋_GB2312"/>
                <w:sz w:val="28"/>
                <w:szCs w:val="28"/>
              </w:rPr>
            </w:pPr>
            <w:r>
              <w:rPr>
                <w:rFonts w:hint="eastAsia" w:ascii="仿宋_GB2312" w:hAnsi="仿宋" w:eastAsia="仿宋_GB2312" w:cs="Times New Roman"/>
                <w:sz w:val="28"/>
                <w:szCs w:val="28"/>
              </w:rPr>
              <w:t>＝</w:t>
            </w:r>
            <w:r>
              <w:rPr>
                <w:rFonts w:hint="eastAsia" w:ascii="仿宋_GB2312" w:eastAsia="仿宋_GB2312"/>
                <w:sz w:val="28"/>
                <w:szCs w:val="28"/>
              </w:rPr>
              <w:t>　</w:t>
            </w:r>
          </w:p>
        </w:tc>
        <w:tc>
          <w:tcPr>
            <w:tcW w:w="1175" w:type="pct"/>
            <w:tcBorders>
              <w:top w:val="nil"/>
              <w:left w:val="nil"/>
              <w:bottom w:val="single" w:color="auto" w:sz="4" w:space="0"/>
              <w:right w:val="single" w:color="auto" w:sz="4" w:space="0"/>
            </w:tcBorders>
            <w:noWrap/>
            <w:vAlign w:val="bottom"/>
          </w:tcPr>
          <w:p>
            <w:pPr>
              <w:spacing w:line="520" w:lineRule="exact"/>
              <w:rPr>
                <w:rFonts w:hint="eastAsia" w:ascii="仿宋_GB2312" w:eastAsia="仿宋_GB2312"/>
                <w:sz w:val="28"/>
                <w:szCs w:val="28"/>
              </w:rPr>
            </w:pPr>
            <w:r>
              <w:rPr>
                <w:rFonts w:hint="eastAsia" w:ascii="仿宋_GB2312" w:eastAsia="仿宋_GB2312"/>
                <w:sz w:val="28"/>
                <w:szCs w:val="28"/>
                <w:lang w:val="en-US" w:eastAsia="zh-CN"/>
              </w:rPr>
              <w:t>1</w:t>
            </w:r>
            <w:r>
              <w:rPr>
                <w:rFonts w:hint="eastAsia" w:ascii="仿宋_GB2312" w:eastAsia="仿宋_GB2312"/>
                <w:sz w:val="28"/>
                <w:szCs w:val="28"/>
              </w:rPr>
              <w:t>　</w:t>
            </w:r>
          </w:p>
        </w:tc>
        <w:tc>
          <w:tcPr>
            <w:tcW w:w="462" w:type="pct"/>
            <w:tcBorders>
              <w:top w:val="nil"/>
              <w:left w:val="nil"/>
              <w:bottom w:val="single" w:color="auto" w:sz="4" w:space="0"/>
              <w:right w:val="single" w:color="auto" w:sz="4" w:space="0"/>
            </w:tcBorders>
          </w:tcPr>
          <w:p>
            <w:pPr>
              <w:spacing w:line="520" w:lineRule="exact"/>
              <w:rPr>
                <w:rFonts w:hint="eastAsia" w:ascii="仿宋_GB2312" w:eastAsia="仿宋_GB2312"/>
                <w:sz w:val="28"/>
                <w:szCs w:val="28"/>
                <w:lang w:val="en-US" w:eastAsia="zh-CN"/>
              </w:rPr>
            </w:pPr>
            <w:r>
              <w:rPr>
                <w:rFonts w:hint="eastAsia" w:ascii="仿宋_GB2312" w:eastAsia="仿宋_GB2312"/>
                <w:sz w:val="28"/>
                <w:szCs w:val="28"/>
                <w:lang w:val="en-US" w:eastAsia="zh-CN"/>
              </w:rPr>
              <w:t>年</w:t>
            </w:r>
          </w:p>
        </w:tc>
        <w:tc>
          <w:tcPr>
            <w:tcW w:w="487" w:type="pct"/>
            <w:tcBorders>
              <w:top w:val="nil"/>
              <w:left w:val="nil"/>
              <w:bottom w:val="single" w:color="auto" w:sz="4" w:space="0"/>
              <w:right w:val="single" w:color="auto" w:sz="4" w:space="0"/>
            </w:tcBorders>
          </w:tcPr>
          <w:p>
            <w:pPr>
              <w:spacing w:line="520" w:lineRule="exact"/>
              <w:rPr>
                <w:rFonts w:hint="default" w:ascii="仿宋_GB2312" w:eastAsia="仿宋_GB2312"/>
                <w:sz w:val="28"/>
                <w:szCs w:val="28"/>
                <w:lang w:val="en-US" w:eastAsia="zh-CN"/>
              </w:rPr>
            </w:pPr>
            <w:r>
              <w:rPr>
                <w:rFonts w:hint="eastAsia" w:ascii="仿宋_GB2312" w:eastAsia="仿宋_GB2312"/>
                <w:sz w:val="28"/>
                <w:szCs w:val="28"/>
                <w:lang w:val="en-US" w:eastAsia="zh-CN"/>
              </w:rPr>
              <w:t>10</w:t>
            </w:r>
          </w:p>
        </w:tc>
      </w:tr>
      <w:tr>
        <w:tblPrEx>
          <w:tblCellMar>
            <w:top w:w="0" w:type="dxa"/>
            <w:left w:w="108" w:type="dxa"/>
            <w:bottom w:w="0" w:type="dxa"/>
            <w:right w:w="108" w:type="dxa"/>
          </w:tblCellMar>
        </w:tblPrEx>
        <w:trPr>
          <w:trHeight w:val="275" w:hRule="atLeast"/>
        </w:trPr>
        <w:tc>
          <w:tcPr>
            <w:tcW w:w="378" w:type="pct"/>
            <w:tcBorders>
              <w:top w:val="nil"/>
              <w:left w:val="single" w:color="auto" w:sz="4" w:space="0"/>
              <w:bottom w:val="single" w:color="auto" w:sz="4" w:space="0"/>
              <w:right w:val="single" w:color="auto" w:sz="4" w:space="0"/>
            </w:tcBorders>
            <w:noWrap/>
            <w:vAlign w:val="bottom"/>
          </w:tcPr>
          <w:p>
            <w:pPr>
              <w:spacing w:line="520" w:lineRule="exact"/>
              <w:jc w:val="center"/>
              <w:rPr>
                <w:rFonts w:hint="eastAsia" w:ascii="仿宋_GB2312" w:eastAsia="仿宋_GB2312"/>
                <w:sz w:val="28"/>
                <w:szCs w:val="28"/>
                <w:lang w:val="en-US" w:eastAsia="zh-CN"/>
              </w:rPr>
            </w:pPr>
            <w:r>
              <w:rPr>
                <w:rFonts w:hint="eastAsia" w:ascii="仿宋_GB2312" w:eastAsia="仿宋_GB2312"/>
                <w:sz w:val="28"/>
                <w:szCs w:val="28"/>
                <w:lang w:val="en-US" w:eastAsia="zh-CN"/>
              </w:rPr>
              <w:t>9</w:t>
            </w:r>
          </w:p>
        </w:tc>
        <w:tc>
          <w:tcPr>
            <w:tcW w:w="1930" w:type="pct"/>
            <w:tcBorders>
              <w:top w:val="nil"/>
              <w:left w:val="nil"/>
              <w:bottom w:val="single" w:color="auto" w:sz="4" w:space="0"/>
              <w:right w:val="single" w:color="auto" w:sz="4" w:space="0"/>
            </w:tcBorders>
            <w:noWrap/>
            <w:vAlign w:val="bottom"/>
          </w:tcPr>
          <w:p>
            <w:pPr>
              <w:spacing w:line="520" w:lineRule="exact"/>
              <w:rPr>
                <w:rFonts w:hint="eastAsia" w:ascii="仿宋_GB2312" w:eastAsia="仿宋_GB2312"/>
                <w:sz w:val="28"/>
                <w:szCs w:val="28"/>
              </w:rPr>
            </w:pPr>
            <w:r>
              <w:rPr>
                <w:rFonts w:hint="eastAsia" w:ascii="仿宋_GB2312" w:hAnsi="仿宋" w:eastAsia="仿宋_GB2312" w:cs="Times New Roman"/>
                <w:sz w:val="28"/>
                <w:szCs w:val="28"/>
                <w:lang w:val="en-US" w:eastAsia="zh-CN"/>
              </w:rPr>
              <w:t>职工</w:t>
            </w:r>
            <w:r>
              <w:rPr>
                <w:rFonts w:hint="eastAsia" w:ascii="仿宋_GB2312" w:hAnsi="仿宋" w:eastAsia="仿宋_GB2312" w:cs="Times New Roman"/>
                <w:sz w:val="28"/>
                <w:szCs w:val="28"/>
              </w:rPr>
              <w:t>满意度</w:t>
            </w:r>
            <w:r>
              <w:rPr>
                <w:rFonts w:hint="eastAsia" w:ascii="仿宋_GB2312" w:eastAsia="仿宋_GB2312"/>
                <w:sz w:val="28"/>
                <w:szCs w:val="28"/>
              </w:rPr>
              <w:t>　</w:t>
            </w:r>
          </w:p>
        </w:tc>
        <w:tc>
          <w:tcPr>
            <w:tcW w:w="566" w:type="pct"/>
            <w:tcBorders>
              <w:top w:val="nil"/>
              <w:left w:val="nil"/>
              <w:bottom w:val="single" w:color="auto" w:sz="4" w:space="0"/>
              <w:right w:val="single" w:color="auto" w:sz="4" w:space="0"/>
            </w:tcBorders>
            <w:noWrap/>
            <w:vAlign w:val="bottom"/>
          </w:tcPr>
          <w:p>
            <w:pPr>
              <w:spacing w:line="520" w:lineRule="exact"/>
              <w:rPr>
                <w:rFonts w:hint="eastAsia" w:ascii="仿宋_GB2312" w:eastAsia="仿宋_GB2312"/>
                <w:sz w:val="28"/>
                <w:szCs w:val="28"/>
              </w:rPr>
            </w:pPr>
            <w:r>
              <w:rPr>
                <w:rFonts w:hint="eastAsia" w:ascii="仿宋_GB2312" w:hAnsi="仿宋" w:eastAsia="仿宋_GB2312" w:cs="Times New Roman"/>
                <w:sz w:val="28"/>
                <w:szCs w:val="28"/>
              </w:rPr>
              <w:t>＝</w:t>
            </w:r>
            <w:r>
              <w:rPr>
                <w:rFonts w:hint="eastAsia" w:ascii="仿宋_GB2312" w:eastAsia="仿宋_GB2312"/>
                <w:sz w:val="28"/>
                <w:szCs w:val="28"/>
              </w:rPr>
              <w:t>　</w:t>
            </w:r>
          </w:p>
        </w:tc>
        <w:tc>
          <w:tcPr>
            <w:tcW w:w="1175" w:type="pct"/>
            <w:tcBorders>
              <w:top w:val="nil"/>
              <w:left w:val="nil"/>
              <w:bottom w:val="single" w:color="auto" w:sz="4" w:space="0"/>
              <w:right w:val="single" w:color="auto" w:sz="4" w:space="0"/>
            </w:tcBorders>
            <w:noWrap/>
            <w:vAlign w:val="bottom"/>
          </w:tcPr>
          <w:p>
            <w:pPr>
              <w:spacing w:line="520" w:lineRule="exact"/>
              <w:rPr>
                <w:rFonts w:hint="eastAsia" w:ascii="仿宋_GB2312" w:eastAsia="仿宋_GB2312"/>
                <w:sz w:val="28"/>
                <w:szCs w:val="28"/>
              </w:rPr>
            </w:pPr>
            <w:r>
              <w:rPr>
                <w:rFonts w:hint="eastAsia" w:ascii="仿宋_GB2312" w:eastAsia="仿宋_GB2312"/>
                <w:sz w:val="28"/>
                <w:szCs w:val="28"/>
                <w:lang w:val="en-US" w:eastAsia="zh-CN"/>
              </w:rPr>
              <w:t>100</w:t>
            </w:r>
            <w:r>
              <w:rPr>
                <w:rFonts w:hint="eastAsia" w:ascii="仿宋_GB2312" w:eastAsia="仿宋_GB2312"/>
                <w:sz w:val="28"/>
                <w:szCs w:val="28"/>
              </w:rPr>
              <w:t>　</w:t>
            </w:r>
          </w:p>
        </w:tc>
        <w:tc>
          <w:tcPr>
            <w:tcW w:w="462" w:type="pct"/>
            <w:tcBorders>
              <w:top w:val="nil"/>
              <w:left w:val="nil"/>
              <w:bottom w:val="single" w:color="auto" w:sz="4" w:space="0"/>
              <w:right w:val="single" w:color="auto" w:sz="4" w:space="0"/>
            </w:tcBorders>
          </w:tcPr>
          <w:p>
            <w:pPr>
              <w:spacing w:line="520" w:lineRule="exact"/>
              <w:rPr>
                <w:rFonts w:hint="eastAsia" w:ascii="仿宋_GB2312" w:eastAsia="仿宋_GB2312"/>
                <w:sz w:val="28"/>
                <w:szCs w:val="28"/>
              </w:rPr>
            </w:pPr>
            <w:r>
              <w:rPr>
                <w:rFonts w:hint="eastAsia" w:ascii="仿宋_GB2312" w:eastAsia="仿宋_GB2312"/>
                <w:sz w:val="28"/>
                <w:szCs w:val="28"/>
                <w:lang w:val="en-US" w:eastAsia="zh-CN"/>
              </w:rPr>
              <w:t>%</w:t>
            </w:r>
          </w:p>
        </w:tc>
        <w:tc>
          <w:tcPr>
            <w:tcW w:w="487" w:type="pct"/>
            <w:tcBorders>
              <w:top w:val="nil"/>
              <w:left w:val="nil"/>
              <w:bottom w:val="single" w:color="auto" w:sz="4" w:space="0"/>
              <w:right w:val="single" w:color="auto" w:sz="4" w:space="0"/>
            </w:tcBorders>
          </w:tcPr>
          <w:p>
            <w:pPr>
              <w:spacing w:line="520" w:lineRule="exact"/>
              <w:rPr>
                <w:rFonts w:hint="default" w:ascii="仿宋_GB2312" w:eastAsia="仿宋_GB2312"/>
                <w:sz w:val="28"/>
                <w:szCs w:val="28"/>
                <w:lang w:val="en-US" w:eastAsia="zh-CN"/>
              </w:rPr>
            </w:pPr>
            <w:r>
              <w:rPr>
                <w:rFonts w:hint="eastAsia" w:ascii="仿宋_GB2312" w:eastAsia="仿宋_GB2312"/>
                <w:sz w:val="28"/>
                <w:szCs w:val="28"/>
                <w:lang w:val="en-US" w:eastAsia="zh-CN"/>
              </w:rPr>
              <w:t>10</w:t>
            </w:r>
          </w:p>
        </w:tc>
      </w:tr>
    </w:tbl>
    <w:p>
      <w:pPr>
        <w:spacing w:line="580" w:lineRule="exact"/>
        <w:ind w:firstLine="641"/>
        <w:rPr>
          <w:rFonts w:hint="eastAsia" w:ascii="楷体_GB2312" w:hAnsi="Calibri" w:eastAsia="楷体_GB2312"/>
          <w:b/>
          <w:sz w:val="32"/>
          <w:szCs w:val="32"/>
        </w:rPr>
      </w:pPr>
      <w:bookmarkStart w:id="3" w:name="_Toc268005761"/>
      <w:r>
        <w:rPr>
          <w:rFonts w:hint="eastAsia" w:ascii="楷体_GB2312" w:eastAsia="楷体_GB2312"/>
          <w:b/>
          <w:sz w:val="32"/>
          <w:szCs w:val="32"/>
        </w:rPr>
        <w:t>(二)当年预算执行情况</w:t>
      </w:r>
      <w:bookmarkEnd w:id="3"/>
      <w:r>
        <w:rPr>
          <w:rFonts w:hint="eastAsia" w:ascii="仿宋_GB2312" w:eastAsia="仿宋_GB2312"/>
          <w:sz w:val="32"/>
          <w:szCs w:val="32"/>
        </w:rPr>
        <w:t xml:space="preserve">  </w:t>
      </w:r>
    </w:p>
    <w:p>
      <w:pPr>
        <w:spacing w:line="580" w:lineRule="exact"/>
        <w:ind w:firstLine="641"/>
        <w:rPr>
          <w:rFonts w:hint="eastAsia" w:ascii="仿宋_GB2312" w:eastAsia="仿宋_GB2312"/>
          <w:sz w:val="32"/>
          <w:szCs w:val="32"/>
        </w:rPr>
      </w:pPr>
      <w:r>
        <w:rPr>
          <w:rFonts w:hint="eastAsia" w:ascii="仿宋_GB2312" w:eastAsia="仿宋_GB2312"/>
          <w:sz w:val="32"/>
          <w:szCs w:val="32"/>
        </w:rPr>
        <w:t>2025年全年预算数219,965,184.24元，其中，基本支出预算数56,673,313.22元，项目支出预算数163,291,871.02元。全年支出219,965,184.24元，其中，基本支出56,673,313.22元，项目支出163,291,871.02元。预算执行率为</w:t>
      </w:r>
      <w:r>
        <w:rPr>
          <w:rFonts w:hint="eastAsia" w:ascii="仿宋_GB2312" w:eastAsia="仿宋_GB2312"/>
          <w:sz w:val="32"/>
          <w:szCs w:val="32"/>
          <w:lang w:val="en-US" w:eastAsia="zh-CN"/>
        </w:rPr>
        <w:t>100.0</w:t>
      </w:r>
      <w:r>
        <w:rPr>
          <w:rFonts w:hint="eastAsia" w:ascii="仿宋_GB2312" w:eastAsia="仿宋_GB2312"/>
          <w:sz w:val="32"/>
          <w:szCs w:val="32"/>
        </w:rPr>
        <w:t xml:space="preserve">%。(与决算数据保持一致)                                  </w:t>
      </w:r>
    </w:p>
    <w:p>
      <w:pPr>
        <w:spacing w:line="580" w:lineRule="exact"/>
        <w:ind w:firstLine="641"/>
        <w:rPr>
          <w:rFonts w:hint="eastAsia" w:ascii="仿宋_GB2312" w:eastAsia="仿宋_GB2312"/>
          <w:sz w:val="32"/>
          <w:szCs w:val="32"/>
        </w:rPr>
      </w:pPr>
      <w:r>
        <w:rPr>
          <w:rFonts w:hint="eastAsia" w:ascii="仿宋_GB2312" w:eastAsia="仿宋_GB2312"/>
          <w:sz w:val="32"/>
          <w:szCs w:val="32"/>
        </w:rPr>
        <w:t>2025年年末结转结余资金总额为</w:t>
      </w:r>
      <w:r>
        <w:rPr>
          <w:rFonts w:hint="eastAsia" w:ascii="仿宋_GB2312" w:eastAsia="仿宋_GB2312"/>
          <w:sz w:val="32"/>
          <w:szCs w:val="32"/>
          <w:lang w:val="en-US" w:eastAsia="zh-CN"/>
        </w:rPr>
        <w:t>0.00</w:t>
      </w:r>
      <w:r>
        <w:rPr>
          <w:rFonts w:hint="eastAsia" w:ascii="仿宋_GB2312" w:eastAsia="仿宋_GB2312"/>
          <w:sz w:val="32"/>
          <w:szCs w:val="32"/>
        </w:rPr>
        <w:t>元，全年支出预算数为219,965,184.24元；2024年年末结转结余资金总额为</w:t>
      </w:r>
      <w:r>
        <w:rPr>
          <w:rFonts w:hint="eastAsia" w:ascii="仿宋_GB2312" w:eastAsia="仿宋_GB2312"/>
          <w:sz w:val="32"/>
          <w:szCs w:val="32"/>
          <w:lang w:val="en-US" w:eastAsia="zh-CN"/>
        </w:rPr>
        <w:t>0.00</w:t>
      </w:r>
      <w:r>
        <w:rPr>
          <w:rFonts w:hint="eastAsia" w:ascii="仿宋_GB2312" w:eastAsia="仿宋_GB2312"/>
          <w:sz w:val="32"/>
          <w:szCs w:val="32"/>
        </w:rPr>
        <w:t>元，全年支出预算数为</w:t>
      </w:r>
      <w:r>
        <w:rPr>
          <w:rFonts w:hint="eastAsia" w:ascii="仿宋_GB2312" w:eastAsia="仿宋_GB2312"/>
          <w:sz w:val="32"/>
          <w:szCs w:val="32"/>
          <w:lang w:val="en-US" w:eastAsia="zh-CN"/>
        </w:rPr>
        <w:t>338,681,715.04</w:t>
      </w:r>
      <w:r>
        <w:rPr>
          <w:rFonts w:hint="eastAsia" w:ascii="仿宋_GB2312" w:eastAsia="仿宋_GB2312"/>
          <w:sz w:val="32"/>
          <w:szCs w:val="32"/>
        </w:rPr>
        <w:t>元；2025年度部门结转结余率较上一年</w:t>
      </w:r>
      <w:r>
        <w:rPr>
          <w:rFonts w:hint="eastAsia" w:ascii="仿宋_GB2312" w:eastAsia="仿宋_GB2312"/>
          <w:sz w:val="32"/>
          <w:szCs w:val="32"/>
          <w:lang w:val="en-US" w:eastAsia="zh-CN"/>
        </w:rPr>
        <w:t>持平</w:t>
      </w:r>
      <w:r>
        <w:rPr>
          <w:rFonts w:hint="eastAsia" w:ascii="仿宋_GB2312" w:eastAsia="仿宋_GB2312"/>
          <w:sz w:val="32"/>
          <w:szCs w:val="32"/>
        </w:rPr>
        <w:t>。</w:t>
      </w:r>
    </w:p>
    <w:p>
      <w:pPr>
        <w:spacing w:line="580" w:lineRule="exact"/>
        <w:ind w:firstLine="641"/>
        <w:rPr>
          <w:rFonts w:hint="eastAsia" w:ascii="楷体_GB2312" w:eastAsia="楷体_GB2312"/>
          <w:b/>
          <w:sz w:val="32"/>
          <w:szCs w:val="32"/>
        </w:rPr>
      </w:pPr>
    </w:p>
    <w:p>
      <w:pPr>
        <w:spacing w:line="580" w:lineRule="exact"/>
        <w:ind w:firstLine="641"/>
        <w:rPr>
          <w:rFonts w:hint="eastAsia" w:ascii="楷体_GB2312" w:eastAsia="楷体_GB2312"/>
          <w:b/>
          <w:sz w:val="32"/>
          <w:szCs w:val="32"/>
        </w:rPr>
      </w:pPr>
      <w:r>
        <w:rPr>
          <w:rFonts w:hint="eastAsia" w:ascii="楷体_GB2312" w:eastAsia="楷体_GB2312"/>
          <w:b/>
          <w:sz w:val="32"/>
          <w:szCs w:val="32"/>
        </w:rPr>
        <w:t>（三）整体绩效目标实现情况</w:t>
      </w:r>
    </w:p>
    <w:p>
      <w:pPr>
        <w:spacing w:line="580" w:lineRule="exact"/>
        <w:ind w:firstLine="641"/>
        <w:rPr>
          <w:rFonts w:hint="eastAsia" w:ascii="仿宋_GB2312" w:eastAsia="仿宋_GB2312"/>
          <w:sz w:val="32"/>
          <w:szCs w:val="32"/>
        </w:rPr>
      </w:pPr>
      <w:r>
        <w:rPr>
          <w:rFonts w:hint="eastAsia" w:ascii="仿宋_GB2312" w:eastAsia="仿宋_GB2312"/>
          <w:sz w:val="32"/>
          <w:szCs w:val="32"/>
        </w:rPr>
        <w:t>1.产出完成情况分析</w:t>
      </w:r>
    </w:p>
    <w:p>
      <w:pPr>
        <w:spacing w:line="580" w:lineRule="exact"/>
        <w:ind w:firstLine="641"/>
        <w:rPr>
          <w:rFonts w:hint="eastAsia" w:ascii="仿宋_GB2312" w:eastAsia="仿宋_GB2312"/>
          <w:sz w:val="32"/>
          <w:szCs w:val="32"/>
        </w:rPr>
      </w:pPr>
      <w:r>
        <w:rPr>
          <w:rFonts w:hint="eastAsia" w:ascii="仿宋_GB2312" w:eastAsia="仿宋_GB2312"/>
          <w:sz w:val="32"/>
          <w:szCs w:val="32"/>
        </w:rPr>
        <w:t>（1）产出数量</w:t>
      </w:r>
    </w:p>
    <w:tbl>
      <w:tblPr>
        <w:tblStyle w:val="10"/>
        <w:tblW w:w="9200" w:type="dxa"/>
        <w:tblInd w:w="108" w:type="dxa"/>
        <w:tblLayout w:type="autofit"/>
        <w:tblCellMar>
          <w:top w:w="0" w:type="dxa"/>
          <w:left w:w="108" w:type="dxa"/>
          <w:bottom w:w="0" w:type="dxa"/>
          <w:right w:w="108" w:type="dxa"/>
        </w:tblCellMar>
      </w:tblPr>
      <w:tblGrid>
        <w:gridCol w:w="880"/>
        <w:gridCol w:w="3681"/>
        <w:gridCol w:w="1272"/>
        <w:gridCol w:w="1500"/>
        <w:gridCol w:w="1867"/>
      </w:tblGrid>
      <w:tr>
        <w:tblPrEx>
          <w:tblCellMar>
            <w:top w:w="0" w:type="dxa"/>
            <w:left w:w="108" w:type="dxa"/>
            <w:bottom w:w="0" w:type="dxa"/>
            <w:right w:w="108" w:type="dxa"/>
          </w:tblCellMar>
        </w:tblPrEx>
        <w:trPr>
          <w:trHeight w:val="510" w:hRule="atLeast"/>
        </w:trPr>
        <w:tc>
          <w:tcPr>
            <w:tcW w:w="880" w:type="dxa"/>
            <w:tcBorders>
              <w:top w:val="single" w:color="auto" w:sz="4" w:space="0"/>
              <w:left w:val="single" w:color="auto" w:sz="4" w:space="0"/>
              <w:bottom w:val="single" w:color="auto" w:sz="4" w:space="0"/>
              <w:right w:val="single" w:color="auto" w:sz="4" w:space="0"/>
            </w:tcBorders>
            <w:vAlign w:val="center"/>
          </w:tcPr>
          <w:p>
            <w:pPr>
              <w:spacing w:line="520" w:lineRule="exact"/>
              <w:jc w:val="center"/>
              <w:rPr>
                <w:rFonts w:hint="eastAsia" w:ascii="仿宋_GB2312" w:eastAsia="仿宋_GB2312"/>
                <w:sz w:val="28"/>
                <w:szCs w:val="28"/>
              </w:rPr>
            </w:pPr>
            <w:r>
              <w:rPr>
                <w:rFonts w:hint="eastAsia" w:ascii="仿宋_GB2312" w:eastAsia="仿宋_GB2312"/>
                <w:sz w:val="28"/>
                <w:szCs w:val="28"/>
              </w:rPr>
              <w:t>序号</w:t>
            </w:r>
          </w:p>
        </w:tc>
        <w:tc>
          <w:tcPr>
            <w:tcW w:w="3681" w:type="dxa"/>
            <w:tcBorders>
              <w:top w:val="single" w:color="auto" w:sz="4" w:space="0"/>
              <w:left w:val="nil"/>
              <w:bottom w:val="single" w:color="auto" w:sz="4" w:space="0"/>
              <w:right w:val="single" w:color="auto" w:sz="4" w:space="0"/>
            </w:tcBorders>
            <w:vAlign w:val="center"/>
          </w:tcPr>
          <w:p>
            <w:pPr>
              <w:spacing w:line="520" w:lineRule="exact"/>
              <w:jc w:val="center"/>
              <w:rPr>
                <w:rFonts w:hint="eastAsia" w:ascii="仿宋_GB2312" w:eastAsia="仿宋_GB2312"/>
                <w:sz w:val="28"/>
                <w:szCs w:val="28"/>
              </w:rPr>
            </w:pPr>
            <w:r>
              <w:rPr>
                <w:rFonts w:hint="eastAsia" w:ascii="仿宋_GB2312" w:eastAsia="仿宋_GB2312"/>
                <w:sz w:val="28"/>
                <w:szCs w:val="28"/>
              </w:rPr>
              <w:t>三级指标</w:t>
            </w:r>
          </w:p>
        </w:tc>
        <w:tc>
          <w:tcPr>
            <w:tcW w:w="1272" w:type="dxa"/>
            <w:tcBorders>
              <w:top w:val="single" w:color="auto" w:sz="4" w:space="0"/>
              <w:left w:val="nil"/>
              <w:bottom w:val="single" w:color="auto" w:sz="4" w:space="0"/>
              <w:right w:val="single" w:color="auto" w:sz="4" w:space="0"/>
            </w:tcBorders>
            <w:vAlign w:val="center"/>
          </w:tcPr>
          <w:p>
            <w:pPr>
              <w:spacing w:line="520" w:lineRule="exact"/>
              <w:jc w:val="center"/>
              <w:rPr>
                <w:rFonts w:hint="eastAsia" w:ascii="仿宋_GB2312" w:eastAsia="仿宋_GB2312"/>
                <w:sz w:val="28"/>
                <w:szCs w:val="28"/>
              </w:rPr>
            </w:pPr>
            <w:r>
              <w:rPr>
                <w:rFonts w:hint="eastAsia" w:ascii="仿宋_GB2312" w:eastAsia="仿宋_GB2312"/>
                <w:sz w:val="28"/>
                <w:szCs w:val="28"/>
              </w:rPr>
              <w:t>计划值</w:t>
            </w:r>
          </w:p>
        </w:tc>
        <w:tc>
          <w:tcPr>
            <w:tcW w:w="1500" w:type="dxa"/>
            <w:tcBorders>
              <w:top w:val="single" w:color="auto" w:sz="4" w:space="0"/>
              <w:left w:val="nil"/>
              <w:bottom w:val="single" w:color="auto" w:sz="4" w:space="0"/>
              <w:right w:val="single" w:color="auto" w:sz="4" w:space="0"/>
            </w:tcBorders>
            <w:vAlign w:val="center"/>
          </w:tcPr>
          <w:p>
            <w:pPr>
              <w:spacing w:line="520" w:lineRule="exact"/>
              <w:jc w:val="center"/>
              <w:rPr>
                <w:rFonts w:hint="eastAsia" w:ascii="仿宋_GB2312" w:eastAsia="仿宋_GB2312"/>
                <w:sz w:val="28"/>
                <w:szCs w:val="28"/>
              </w:rPr>
            </w:pPr>
            <w:r>
              <w:rPr>
                <w:rFonts w:hint="eastAsia" w:ascii="仿宋_GB2312" w:eastAsia="仿宋_GB2312"/>
                <w:sz w:val="28"/>
                <w:szCs w:val="28"/>
              </w:rPr>
              <w:t>完成值</w:t>
            </w:r>
          </w:p>
        </w:tc>
        <w:tc>
          <w:tcPr>
            <w:tcW w:w="1867" w:type="dxa"/>
            <w:tcBorders>
              <w:top w:val="single" w:color="auto" w:sz="4" w:space="0"/>
              <w:left w:val="nil"/>
              <w:bottom w:val="single" w:color="auto" w:sz="4" w:space="0"/>
              <w:right w:val="single" w:color="auto" w:sz="4" w:space="0"/>
            </w:tcBorders>
            <w:vAlign w:val="center"/>
          </w:tcPr>
          <w:p>
            <w:pPr>
              <w:spacing w:line="520" w:lineRule="exact"/>
              <w:jc w:val="center"/>
              <w:rPr>
                <w:rFonts w:hint="eastAsia" w:ascii="仿宋_GB2312" w:eastAsia="仿宋_GB2312"/>
                <w:sz w:val="28"/>
                <w:szCs w:val="28"/>
              </w:rPr>
            </w:pPr>
            <w:r>
              <w:rPr>
                <w:rFonts w:hint="eastAsia" w:ascii="仿宋_GB2312" w:eastAsia="仿宋_GB2312"/>
                <w:sz w:val="28"/>
                <w:szCs w:val="28"/>
              </w:rPr>
              <w:t>偏差原因</w:t>
            </w:r>
          </w:p>
        </w:tc>
      </w:tr>
      <w:tr>
        <w:tblPrEx>
          <w:tblCellMar>
            <w:top w:w="0" w:type="dxa"/>
            <w:left w:w="108" w:type="dxa"/>
            <w:bottom w:w="0" w:type="dxa"/>
            <w:right w:w="108" w:type="dxa"/>
          </w:tblCellMar>
        </w:tblPrEx>
        <w:trPr>
          <w:trHeight w:val="510" w:hRule="atLeast"/>
        </w:trPr>
        <w:tc>
          <w:tcPr>
            <w:tcW w:w="880" w:type="dxa"/>
            <w:tcBorders>
              <w:top w:val="nil"/>
              <w:left w:val="single" w:color="auto" w:sz="4" w:space="0"/>
              <w:bottom w:val="single" w:color="auto" w:sz="4" w:space="0"/>
              <w:right w:val="single" w:color="auto" w:sz="4" w:space="0"/>
            </w:tcBorders>
            <w:vAlign w:val="center"/>
          </w:tcPr>
          <w:p>
            <w:pPr>
              <w:spacing w:line="520" w:lineRule="exact"/>
              <w:jc w:val="center"/>
              <w:rPr>
                <w:rFonts w:hint="eastAsia" w:ascii="仿宋_GB2312" w:eastAsia="仿宋_GB2312"/>
                <w:sz w:val="28"/>
                <w:szCs w:val="28"/>
              </w:rPr>
            </w:pPr>
            <w:r>
              <w:rPr>
                <w:rFonts w:hint="eastAsia" w:ascii="仿宋_GB2312" w:eastAsia="仿宋_GB2312"/>
                <w:sz w:val="28"/>
                <w:szCs w:val="28"/>
              </w:rPr>
              <w:t>1</w:t>
            </w:r>
          </w:p>
        </w:tc>
        <w:tc>
          <w:tcPr>
            <w:tcW w:w="3681" w:type="dxa"/>
            <w:tcBorders>
              <w:top w:val="nil"/>
              <w:left w:val="nil"/>
              <w:bottom w:val="single" w:color="auto" w:sz="4" w:space="0"/>
              <w:right w:val="single" w:color="auto" w:sz="4" w:space="0"/>
            </w:tcBorders>
            <w:vAlign w:val="center"/>
          </w:tcPr>
          <w:p>
            <w:pPr>
              <w:spacing w:line="580" w:lineRule="exact"/>
              <w:rPr>
                <w:rFonts w:hint="eastAsia" w:ascii="仿宋_GB2312" w:eastAsia="仿宋_GB2312"/>
                <w:sz w:val="32"/>
                <w:szCs w:val="32"/>
              </w:rPr>
            </w:pPr>
            <w:r>
              <w:rPr>
                <w:rFonts w:hint="eastAsia" w:ascii="仿宋_GB2312" w:eastAsia="仿宋_GB2312"/>
                <w:sz w:val="32"/>
                <w:szCs w:val="32"/>
              </w:rPr>
              <w:t>严重精神障碍患者监护人补贴数量　</w:t>
            </w:r>
          </w:p>
        </w:tc>
        <w:tc>
          <w:tcPr>
            <w:tcW w:w="1272" w:type="dxa"/>
            <w:tcBorders>
              <w:top w:val="nil"/>
              <w:left w:val="nil"/>
              <w:bottom w:val="single" w:color="auto" w:sz="4" w:space="0"/>
              <w:right w:val="single" w:color="auto" w:sz="4" w:space="0"/>
            </w:tcBorders>
            <w:vAlign w:val="center"/>
          </w:tcPr>
          <w:p>
            <w:pPr>
              <w:spacing w:line="580" w:lineRule="exact"/>
              <w:rPr>
                <w:rFonts w:hint="eastAsia" w:ascii="仿宋_GB2312" w:eastAsia="仿宋_GB2312"/>
                <w:sz w:val="32"/>
                <w:szCs w:val="32"/>
              </w:rPr>
            </w:pPr>
            <w:r>
              <w:rPr>
                <w:rFonts w:hint="eastAsia" w:ascii="仿宋_GB2312" w:eastAsia="仿宋_GB2312"/>
                <w:sz w:val="32"/>
                <w:szCs w:val="32"/>
                <w:lang w:val="en-US" w:eastAsia="zh-CN"/>
              </w:rPr>
              <w:t>200</w:t>
            </w:r>
            <w:r>
              <w:rPr>
                <w:rFonts w:hint="eastAsia" w:ascii="仿宋_GB2312" w:eastAsia="仿宋_GB2312"/>
                <w:sz w:val="32"/>
                <w:szCs w:val="32"/>
              </w:rPr>
              <w:t>　</w:t>
            </w:r>
          </w:p>
        </w:tc>
        <w:tc>
          <w:tcPr>
            <w:tcW w:w="1500" w:type="dxa"/>
            <w:tcBorders>
              <w:top w:val="nil"/>
              <w:left w:val="nil"/>
              <w:bottom w:val="single" w:color="auto" w:sz="4" w:space="0"/>
              <w:right w:val="single" w:color="auto" w:sz="4" w:space="0"/>
            </w:tcBorders>
            <w:vAlign w:val="center"/>
          </w:tcPr>
          <w:p>
            <w:pPr>
              <w:spacing w:line="580" w:lineRule="exact"/>
              <w:rPr>
                <w:rFonts w:hint="eastAsia" w:ascii="仿宋_GB2312" w:eastAsia="仿宋_GB2312"/>
                <w:sz w:val="32"/>
                <w:szCs w:val="32"/>
              </w:rPr>
            </w:pPr>
            <w:r>
              <w:rPr>
                <w:rFonts w:hint="eastAsia" w:ascii="仿宋_GB2312" w:eastAsia="仿宋_GB2312"/>
                <w:sz w:val="32"/>
                <w:szCs w:val="32"/>
                <w:lang w:val="en-US" w:eastAsia="zh-CN"/>
              </w:rPr>
              <w:t>200</w:t>
            </w:r>
            <w:r>
              <w:rPr>
                <w:rFonts w:hint="eastAsia" w:ascii="仿宋_GB2312" w:eastAsia="仿宋_GB2312"/>
                <w:sz w:val="32"/>
                <w:szCs w:val="32"/>
              </w:rPr>
              <w:t>　</w:t>
            </w:r>
          </w:p>
        </w:tc>
        <w:tc>
          <w:tcPr>
            <w:tcW w:w="1867" w:type="dxa"/>
            <w:tcBorders>
              <w:top w:val="nil"/>
              <w:left w:val="nil"/>
              <w:bottom w:val="single" w:color="auto" w:sz="4" w:space="0"/>
              <w:right w:val="single" w:color="auto" w:sz="4" w:space="0"/>
            </w:tcBorders>
            <w:vAlign w:val="center"/>
          </w:tcPr>
          <w:p>
            <w:pPr>
              <w:spacing w:line="580" w:lineRule="exact"/>
              <w:ind w:firstLine="641"/>
              <w:rPr>
                <w:rFonts w:hint="eastAsia" w:ascii="仿宋_GB2312" w:eastAsia="仿宋_GB2312"/>
                <w:sz w:val="32"/>
                <w:szCs w:val="32"/>
              </w:rPr>
            </w:pPr>
            <w:r>
              <w:rPr>
                <w:rFonts w:hint="eastAsia" w:ascii="仿宋_GB2312" w:eastAsia="仿宋_GB2312"/>
                <w:sz w:val="32"/>
                <w:szCs w:val="32"/>
              </w:rPr>
              <w:t>无</w:t>
            </w:r>
          </w:p>
        </w:tc>
      </w:tr>
      <w:tr>
        <w:tblPrEx>
          <w:tblCellMar>
            <w:top w:w="0" w:type="dxa"/>
            <w:left w:w="108" w:type="dxa"/>
            <w:bottom w:w="0" w:type="dxa"/>
            <w:right w:w="108" w:type="dxa"/>
          </w:tblCellMar>
        </w:tblPrEx>
        <w:trPr>
          <w:trHeight w:val="510" w:hRule="atLeast"/>
        </w:trPr>
        <w:tc>
          <w:tcPr>
            <w:tcW w:w="880" w:type="dxa"/>
            <w:tcBorders>
              <w:top w:val="nil"/>
              <w:left w:val="single" w:color="auto" w:sz="4" w:space="0"/>
              <w:bottom w:val="single" w:color="auto" w:sz="4" w:space="0"/>
              <w:right w:val="single" w:color="auto" w:sz="4" w:space="0"/>
            </w:tcBorders>
            <w:vAlign w:val="center"/>
          </w:tcPr>
          <w:p>
            <w:pPr>
              <w:spacing w:line="520" w:lineRule="exact"/>
              <w:jc w:val="center"/>
              <w:rPr>
                <w:rFonts w:hint="eastAsia" w:ascii="仿宋_GB2312" w:eastAsia="仿宋_GB2312"/>
                <w:sz w:val="28"/>
                <w:szCs w:val="28"/>
              </w:rPr>
            </w:pPr>
            <w:r>
              <w:rPr>
                <w:rFonts w:hint="eastAsia" w:ascii="仿宋_GB2312" w:eastAsia="仿宋_GB2312"/>
                <w:sz w:val="28"/>
                <w:szCs w:val="28"/>
              </w:rPr>
              <w:t>2</w:t>
            </w:r>
          </w:p>
        </w:tc>
        <w:tc>
          <w:tcPr>
            <w:tcW w:w="3681" w:type="dxa"/>
            <w:tcBorders>
              <w:top w:val="nil"/>
              <w:left w:val="nil"/>
              <w:bottom w:val="single" w:color="auto" w:sz="4" w:space="0"/>
              <w:right w:val="single" w:color="auto" w:sz="4" w:space="0"/>
            </w:tcBorders>
            <w:vAlign w:val="center"/>
          </w:tcPr>
          <w:p>
            <w:pPr>
              <w:spacing w:line="580" w:lineRule="exact"/>
              <w:rPr>
                <w:rFonts w:hint="eastAsia" w:ascii="仿宋_GB2312" w:eastAsia="仿宋_GB2312"/>
                <w:sz w:val="32"/>
                <w:szCs w:val="32"/>
              </w:rPr>
            </w:pPr>
            <w:r>
              <w:rPr>
                <w:rFonts w:hint="eastAsia" w:ascii="仿宋_GB2312" w:eastAsia="仿宋_GB2312"/>
                <w:sz w:val="32"/>
                <w:szCs w:val="32"/>
              </w:rPr>
              <w:t>非在编人员数量</w:t>
            </w:r>
          </w:p>
        </w:tc>
        <w:tc>
          <w:tcPr>
            <w:tcW w:w="1272" w:type="dxa"/>
            <w:tcBorders>
              <w:top w:val="nil"/>
              <w:left w:val="nil"/>
              <w:bottom w:val="single" w:color="auto" w:sz="4" w:space="0"/>
              <w:right w:val="single" w:color="auto" w:sz="4" w:space="0"/>
            </w:tcBorders>
            <w:vAlign w:val="center"/>
          </w:tcPr>
          <w:p>
            <w:pPr>
              <w:spacing w:line="580" w:lineRule="exact"/>
              <w:rPr>
                <w:rFonts w:hint="eastAsia" w:ascii="仿宋_GB2312" w:eastAsia="仿宋_GB2312"/>
                <w:sz w:val="32"/>
                <w:szCs w:val="32"/>
              </w:rPr>
            </w:pPr>
            <w:r>
              <w:rPr>
                <w:rFonts w:hint="eastAsia" w:ascii="仿宋_GB2312" w:eastAsia="仿宋_GB2312"/>
                <w:sz w:val="32"/>
                <w:szCs w:val="32"/>
                <w:lang w:val="en-US" w:eastAsia="zh-CN"/>
              </w:rPr>
              <w:t>33</w:t>
            </w:r>
            <w:r>
              <w:rPr>
                <w:rFonts w:hint="eastAsia" w:ascii="仿宋_GB2312" w:eastAsia="仿宋_GB2312"/>
                <w:sz w:val="32"/>
                <w:szCs w:val="32"/>
              </w:rPr>
              <w:t>　</w:t>
            </w:r>
          </w:p>
        </w:tc>
        <w:tc>
          <w:tcPr>
            <w:tcW w:w="1500" w:type="dxa"/>
            <w:tcBorders>
              <w:top w:val="nil"/>
              <w:left w:val="nil"/>
              <w:bottom w:val="single" w:color="auto" w:sz="4" w:space="0"/>
              <w:right w:val="single" w:color="auto" w:sz="4" w:space="0"/>
            </w:tcBorders>
            <w:vAlign w:val="center"/>
          </w:tcPr>
          <w:p>
            <w:pPr>
              <w:spacing w:line="580" w:lineRule="exact"/>
              <w:rPr>
                <w:rFonts w:hint="default" w:ascii="仿宋_GB2312" w:eastAsia="仿宋_GB2312"/>
                <w:sz w:val="32"/>
                <w:szCs w:val="32"/>
                <w:lang w:val="en-US" w:eastAsia="zh-CN"/>
              </w:rPr>
            </w:pPr>
            <w:r>
              <w:rPr>
                <w:rFonts w:hint="eastAsia" w:ascii="仿宋_GB2312" w:eastAsia="仿宋_GB2312"/>
                <w:sz w:val="32"/>
                <w:szCs w:val="32"/>
                <w:lang w:val="en-US" w:eastAsia="zh-CN"/>
              </w:rPr>
              <w:t>33</w:t>
            </w:r>
          </w:p>
        </w:tc>
        <w:tc>
          <w:tcPr>
            <w:tcW w:w="1867" w:type="dxa"/>
            <w:tcBorders>
              <w:top w:val="nil"/>
              <w:left w:val="nil"/>
              <w:bottom w:val="single" w:color="auto" w:sz="4" w:space="0"/>
              <w:right w:val="single" w:color="auto" w:sz="4" w:space="0"/>
            </w:tcBorders>
            <w:vAlign w:val="center"/>
          </w:tcPr>
          <w:p>
            <w:pPr>
              <w:spacing w:line="580" w:lineRule="exact"/>
              <w:ind w:firstLine="641"/>
              <w:rPr>
                <w:rFonts w:hint="eastAsia" w:ascii="仿宋_GB2312" w:eastAsia="仿宋_GB2312"/>
                <w:sz w:val="32"/>
                <w:szCs w:val="32"/>
              </w:rPr>
            </w:pPr>
            <w:r>
              <w:rPr>
                <w:rFonts w:hint="eastAsia" w:ascii="仿宋_GB2312" w:eastAsia="仿宋_GB2312"/>
                <w:sz w:val="32"/>
                <w:szCs w:val="32"/>
              </w:rPr>
              <w:t>无　</w:t>
            </w:r>
          </w:p>
        </w:tc>
      </w:tr>
      <w:tr>
        <w:tblPrEx>
          <w:tblCellMar>
            <w:top w:w="0" w:type="dxa"/>
            <w:left w:w="108" w:type="dxa"/>
            <w:bottom w:w="0" w:type="dxa"/>
            <w:right w:w="108" w:type="dxa"/>
          </w:tblCellMar>
        </w:tblPrEx>
        <w:trPr>
          <w:trHeight w:val="510" w:hRule="atLeast"/>
        </w:trPr>
        <w:tc>
          <w:tcPr>
            <w:tcW w:w="880" w:type="dxa"/>
            <w:tcBorders>
              <w:top w:val="nil"/>
              <w:left w:val="single" w:color="auto" w:sz="4" w:space="0"/>
              <w:bottom w:val="single" w:color="auto" w:sz="4" w:space="0"/>
              <w:right w:val="single" w:color="auto" w:sz="4" w:space="0"/>
            </w:tcBorders>
            <w:vAlign w:val="center"/>
          </w:tcPr>
          <w:p>
            <w:pPr>
              <w:spacing w:line="520" w:lineRule="exact"/>
              <w:jc w:val="center"/>
              <w:rPr>
                <w:rFonts w:hint="eastAsia" w:ascii="仿宋_GB2312" w:eastAsia="仿宋_GB2312"/>
                <w:sz w:val="28"/>
                <w:szCs w:val="28"/>
              </w:rPr>
            </w:pPr>
            <w:r>
              <w:rPr>
                <w:rFonts w:hint="eastAsia" w:ascii="仿宋_GB2312" w:eastAsia="仿宋_GB2312"/>
                <w:sz w:val="28"/>
                <w:szCs w:val="28"/>
              </w:rPr>
              <w:t>3</w:t>
            </w:r>
          </w:p>
        </w:tc>
        <w:tc>
          <w:tcPr>
            <w:tcW w:w="3681" w:type="dxa"/>
            <w:tcBorders>
              <w:top w:val="nil"/>
              <w:left w:val="nil"/>
              <w:bottom w:val="single" w:color="auto" w:sz="4" w:space="0"/>
              <w:right w:val="single" w:color="auto" w:sz="4" w:space="0"/>
            </w:tcBorders>
            <w:vAlign w:val="center"/>
          </w:tcPr>
          <w:p>
            <w:pPr>
              <w:spacing w:line="580" w:lineRule="exact"/>
              <w:rPr>
                <w:rFonts w:hint="eastAsia" w:ascii="仿宋_GB2312" w:eastAsia="仿宋_GB2312"/>
                <w:sz w:val="32"/>
                <w:szCs w:val="32"/>
              </w:rPr>
            </w:pPr>
            <w:r>
              <w:rPr>
                <w:rFonts w:hint="eastAsia" w:ascii="仿宋_GB2312" w:eastAsia="仿宋_GB2312"/>
                <w:sz w:val="32"/>
                <w:szCs w:val="32"/>
              </w:rPr>
              <w:t>党员数量</w:t>
            </w:r>
          </w:p>
        </w:tc>
        <w:tc>
          <w:tcPr>
            <w:tcW w:w="1272" w:type="dxa"/>
            <w:tcBorders>
              <w:top w:val="nil"/>
              <w:left w:val="nil"/>
              <w:bottom w:val="single" w:color="auto" w:sz="4" w:space="0"/>
              <w:right w:val="single" w:color="auto" w:sz="4" w:space="0"/>
            </w:tcBorders>
            <w:vAlign w:val="center"/>
          </w:tcPr>
          <w:p>
            <w:pPr>
              <w:spacing w:line="580" w:lineRule="exact"/>
              <w:rPr>
                <w:rFonts w:hint="eastAsia" w:ascii="仿宋_GB2312" w:eastAsia="仿宋_GB2312"/>
                <w:sz w:val="32"/>
                <w:szCs w:val="32"/>
              </w:rPr>
            </w:pPr>
            <w:r>
              <w:rPr>
                <w:rFonts w:hint="eastAsia" w:ascii="仿宋_GB2312" w:eastAsia="仿宋_GB2312"/>
                <w:sz w:val="32"/>
                <w:szCs w:val="32"/>
                <w:lang w:val="en-US" w:eastAsia="zh-CN"/>
              </w:rPr>
              <w:t>4015</w:t>
            </w:r>
            <w:r>
              <w:rPr>
                <w:rFonts w:hint="eastAsia" w:ascii="仿宋_GB2312" w:eastAsia="仿宋_GB2312"/>
                <w:sz w:val="32"/>
                <w:szCs w:val="32"/>
              </w:rPr>
              <w:t>　</w:t>
            </w:r>
          </w:p>
        </w:tc>
        <w:tc>
          <w:tcPr>
            <w:tcW w:w="1500" w:type="dxa"/>
            <w:tcBorders>
              <w:top w:val="nil"/>
              <w:left w:val="nil"/>
              <w:bottom w:val="single" w:color="auto" w:sz="4" w:space="0"/>
              <w:right w:val="single" w:color="auto" w:sz="4" w:space="0"/>
            </w:tcBorders>
            <w:vAlign w:val="center"/>
          </w:tcPr>
          <w:p>
            <w:pPr>
              <w:spacing w:line="580" w:lineRule="exact"/>
              <w:rPr>
                <w:rFonts w:hint="eastAsia" w:ascii="仿宋_GB2312" w:eastAsia="仿宋_GB2312"/>
                <w:sz w:val="32"/>
                <w:szCs w:val="32"/>
              </w:rPr>
            </w:pPr>
            <w:r>
              <w:rPr>
                <w:rFonts w:hint="eastAsia" w:ascii="仿宋_GB2312" w:eastAsia="仿宋_GB2312"/>
                <w:sz w:val="32"/>
                <w:szCs w:val="32"/>
                <w:lang w:val="en-US" w:eastAsia="zh-CN"/>
              </w:rPr>
              <w:t>4015</w:t>
            </w:r>
            <w:r>
              <w:rPr>
                <w:rFonts w:hint="eastAsia" w:ascii="仿宋_GB2312" w:eastAsia="仿宋_GB2312"/>
                <w:sz w:val="32"/>
                <w:szCs w:val="32"/>
              </w:rPr>
              <w:t>　</w:t>
            </w:r>
          </w:p>
        </w:tc>
        <w:tc>
          <w:tcPr>
            <w:tcW w:w="1867" w:type="dxa"/>
            <w:tcBorders>
              <w:top w:val="nil"/>
              <w:left w:val="nil"/>
              <w:bottom w:val="single" w:color="auto" w:sz="4" w:space="0"/>
              <w:right w:val="single" w:color="auto" w:sz="4" w:space="0"/>
            </w:tcBorders>
            <w:vAlign w:val="center"/>
          </w:tcPr>
          <w:p>
            <w:pPr>
              <w:spacing w:line="580" w:lineRule="exact"/>
              <w:ind w:firstLine="641"/>
              <w:rPr>
                <w:rFonts w:hint="eastAsia" w:ascii="仿宋_GB2312" w:eastAsia="仿宋_GB2312"/>
                <w:sz w:val="32"/>
                <w:szCs w:val="32"/>
              </w:rPr>
            </w:pPr>
            <w:r>
              <w:rPr>
                <w:rFonts w:hint="eastAsia" w:ascii="仿宋_GB2312" w:eastAsia="仿宋_GB2312"/>
                <w:sz w:val="32"/>
                <w:szCs w:val="32"/>
              </w:rPr>
              <w:t>无　</w:t>
            </w:r>
          </w:p>
        </w:tc>
      </w:tr>
      <w:tr>
        <w:tblPrEx>
          <w:tblCellMar>
            <w:top w:w="0" w:type="dxa"/>
            <w:left w:w="108" w:type="dxa"/>
            <w:bottom w:w="0" w:type="dxa"/>
            <w:right w:w="108" w:type="dxa"/>
          </w:tblCellMar>
        </w:tblPrEx>
        <w:trPr>
          <w:trHeight w:val="510" w:hRule="atLeast"/>
        </w:trPr>
        <w:tc>
          <w:tcPr>
            <w:tcW w:w="880" w:type="dxa"/>
            <w:tcBorders>
              <w:top w:val="nil"/>
              <w:left w:val="single" w:color="auto" w:sz="4" w:space="0"/>
              <w:bottom w:val="single" w:color="auto" w:sz="4" w:space="0"/>
              <w:right w:val="single" w:color="auto" w:sz="4" w:space="0"/>
            </w:tcBorders>
            <w:vAlign w:val="center"/>
          </w:tcPr>
          <w:p>
            <w:pPr>
              <w:spacing w:line="520" w:lineRule="exact"/>
              <w:jc w:val="center"/>
              <w:rPr>
                <w:rFonts w:hint="eastAsia" w:ascii="仿宋_GB2312" w:eastAsia="仿宋_GB2312"/>
                <w:sz w:val="28"/>
                <w:szCs w:val="28"/>
                <w:lang w:val="en-US" w:eastAsia="zh-CN"/>
              </w:rPr>
            </w:pPr>
            <w:r>
              <w:rPr>
                <w:rFonts w:hint="eastAsia" w:ascii="仿宋_GB2312" w:eastAsia="仿宋_GB2312"/>
                <w:sz w:val="28"/>
                <w:szCs w:val="28"/>
                <w:lang w:val="en-US" w:eastAsia="zh-CN"/>
              </w:rPr>
              <w:t>4</w:t>
            </w:r>
          </w:p>
        </w:tc>
        <w:tc>
          <w:tcPr>
            <w:tcW w:w="3681" w:type="dxa"/>
            <w:tcBorders>
              <w:top w:val="nil"/>
              <w:left w:val="nil"/>
              <w:bottom w:val="single" w:color="auto" w:sz="4" w:space="0"/>
              <w:right w:val="single" w:color="auto" w:sz="4" w:space="0"/>
            </w:tcBorders>
            <w:vAlign w:val="center"/>
          </w:tcPr>
          <w:p>
            <w:pPr>
              <w:spacing w:line="580" w:lineRule="exact"/>
              <w:rPr>
                <w:rFonts w:hint="eastAsia" w:ascii="仿宋_GB2312" w:eastAsia="仿宋_GB2312"/>
                <w:sz w:val="32"/>
                <w:szCs w:val="32"/>
              </w:rPr>
            </w:pPr>
            <w:r>
              <w:rPr>
                <w:rFonts w:hint="eastAsia" w:ascii="仿宋_GB2312" w:eastAsia="仿宋_GB2312"/>
                <w:sz w:val="32"/>
                <w:szCs w:val="32"/>
              </w:rPr>
              <w:t>村居数量</w:t>
            </w:r>
          </w:p>
        </w:tc>
        <w:tc>
          <w:tcPr>
            <w:tcW w:w="1272" w:type="dxa"/>
            <w:tcBorders>
              <w:top w:val="nil"/>
              <w:left w:val="nil"/>
              <w:bottom w:val="single" w:color="auto" w:sz="4" w:space="0"/>
              <w:right w:val="single" w:color="auto" w:sz="4" w:space="0"/>
            </w:tcBorders>
            <w:vAlign w:val="center"/>
          </w:tcPr>
          <w:p>
            <w:pPr>
              <w:spacing w:line="580" w:lineRule="exact"/>
              <w:rPr>
                <w:rFonts w:hint="eastAsia" w:ascii="仿宋_GB2312" w:eastAsia="仿宋_GB2312"/>
                <w:sz w:val="32"/>
                <w:szCs w:val="32"/>
              </w:rPr>
            </w:pPr>
            <w:r>
              <w:rPr>
                <w:rFonts w:hint="eastAsia" w:ascii="仿宋_GB2312" w:eastAsia="仿宋_GB2312"/>
                <w:sz w:val="32"/>
                <w:szCs w:val="32"/>
                <w:lang w:val="en-US" w:eastAsia="zh-CN"/>
              </w:rPr>
              <w:t>55</w:t>
            </w:r>
            <w:r>
              <w:rPr>
                <w:rFonts w:hint="eastAsia" w:ascii="仿宋_GB2312" w:eastAsia="仿宋_GB2312"/>
                <w:sz w:val="32"/>
                <w:szCs w:val="32"/>
              </w:rPr>
              <w:t>　</w:t>
            </w:r>
          </w:p>
        </w:tc>
        <w:tc>
          <w:tcPr>
            <w:tcW w:w="1500" w:type="dxa"/>
            <w:tcBorders>
              <w:top w:val="nil"/>
              <w:left w:val="nil"/>
              <w:bottom w:val="single" w:color="auto" w:sz="4" w:space="0"/>
              <w:right w:val="single" w:color="auto" w:sz="4" w:space="0"/>
            </w:tcBorders>
            <w:vAlign w:val="center"/>
          </w:tcPr>
          <w:p>
            <w:pPr>
              <w:spacing w:line="580" w:lineRule="exact"/>
              <w:rPr>
                <w:rFonts w:hint="eastAsia" w:ascii="仿宋_GB2312" w:eastAsia="仿宋_GB2312"/>
                <w:sz w:val="32"/>
                <w:szCs w:val="32"/>
              </w:rPr>
            </w:pPr>
            <w:r>
              <w:rPr>
                <w:rFonts w:hint="eastAsia" w:ascii="仿宋_GB2312" w:eastAsia="仿宋_GB2312"/>
                <w:sz w:val="32"/>
                <w:szCs w:val="32"/>
                <w:lang w:val="en-US" w:eastAsia="zh-CN"/>
              </w:rPr>
              <w:t>55</w:t>
            </w:r>
            <w:r>
              <w:rPr>
                <w:rFonts w:hint="eastAsia" w:ascii="仿宋_GB2312" w:eastAsia="仿宋_GB2312"/>
                <w:sz w:val="32"/>
                <w:szCs w:val="32"/>
              </w:rPr>
              <w:t>　</w:t>
            </w:r>
          </w:p>
        </w:tc>
        <w:tc>
          <w:tcPr>
            <w:tcW w:w="1867" w:type="dxa"/>
            <w:tcBorders>
              <w:top w:val="nil"/>
              <w:left w:val="nil"/>
              <w:bottom w:val="single" w:color="auto" w:sz="4" w:space="0"/>
              <w:right w:val="single" w:color="auto" w:sz="4" w:space="0"/>
            </w:tcBorders>
            <w:vAlign w:val="center"/>
          </w:tcPr>
          <w:p>
            <w:pPr>
              <w:spacing w:line="580" w:lineRule="exact"/>
              <w:ind w:firstLine="641"/>
              <w:rPr>
                <w:rFonts w:hint="eastAsia" w:ascii="仿宋_GB2312" w:eastAsia="仿宋_GB2312"/>
                <w:sz w:val="32"/>
                <w:szCs w:val="32"/>
              </w:rPr>
            </w:pPr>
            <w:r>
              <w:rPr>
                <w:rFonts w:hint="eastAsia" w:ascii="仿宋_GB2312" w:eastAsia="仿宋_GB2312"/>
                <w:sz w:val="32"/>
                <w:szCs w:val="32"/>
              </w:rPr>
              <w:t>无</w:t>
            </w:r>
          </w:p>
        </w:tc>
      </w:tr>
    </w:tbl>
    <w:p>
      <w:pPr>
        <w:spacing w:line="580" w:lineRule="exact"/>
        <w:ind w:firstLine="640"/>
        <w:rPr>
          <w:rFonts w:hint="eastAsia" w:ascii="仿宋_GB2312" w:hAnsi="Calibri" w:eastAsia="仿宋_GB2312"/>
          <w:sz w:val="32"/>
          <w:szCs w:val="32"/>
          <w:lang w:eastAsia="zh-CN"/>
        </w:rPr>
      </w:pPr>
      <w:r>
        <w:rPr>
          <w:rFonts w:hint="eastAsia" w:ascii="仿宋_GB2312" w:eastAsia="仿宋_GB2312"/>
          <w:sz w:val="32"/>
          <w:szCs w:val="32"/>
        </w:rPr>
        <w:t>（2）产出质量</w:t>
      </w:r>
      <w:r>
        <w:rPr>
          <w:rFonts w:hint="eastAsia" w:ascii="仿宋_GB2312" w:eastAsia="仿宋_GB2312"/>
          <w:sz w:val="32"/>
          <w:szCs w:val="32"/>
          <w:lang w:eastAsia="zh-CN"/>
        </w:rPr>
        <w:t>：</w:t>
      </w:r>
      <w:r>
        <w:rPr>
          <w:rFonts w:hint="eastAsia" w:ascii="仿宋_GB2312" w:eastAsia="仿宋_GB2312"/>
          <w:sz w:val="32"/>
          <w:szCs w:val="32"/>
          <w:lang w:val="en-US" w:eastAsia="zh-CN"/>
        </w:rPr>
        <w:t>保障机关和</w:t>
      </w:r>
      <w:r>
        <w:rPr>
          <w:rFonts w:hint="eastAsia" w:ascii="仿宋_GB2312" w:hAnsi="仿宋" w:eastAsia="仿宋_GB2312" w:cs="Times New Roman"/>
          <w:sz w:val="32"/>
          <w:szCs w:val="32"/>
        </w:rPr>
        <w:t>村居正常运转</w:t>
      </w:r>
      <w:r>
        <w:rPr>
          <w:rFonts w:hint="eastAsia" w:ascii="仿宋_GB2312" w:hAnsi="仿宋" w:eastAsia="仿宋_GB2312" w:cs="Times New Roman"/>
          <w:sz w:val="32"/>
          <w:szCs w:val="32"/>
          <w:lang w:eastAsia="zh-CN"/>
        </w:rPr>
        <w:t>；</w:t>
      </w:r>
    </w:p>
    <w:p>
      <w:pPr>
        <w:spacing w:line="580" w:lineRule="exact"/>
        <w:ind w:firstLine="640"/>
        <w:rPr>
          <w:rFonts w:hint="eastAsia" w:ascii="仿宋_GB2312" w:eastAsia="仿宋_GB2312"/>
          <w:sz w:val="32"/>
          <w:szCs w:val="32"/>
          <w:lang w:eastAsia="zh-CN"/>
        </w:rPr>
      </w:pPr>
      <w:r>
        <w:rPr>
          <w:rFonts w:hint="eastAsia" w:ascii="仿宋_GB2312" w:eastAsia="仿宋_GB2312"/>
          <w:sz w:val="32"/>
          <w:szCs w:val="32"/>
        </w:rPr>
        <w:t>（3）产出进度</w:t>
      </w:r>
      <w:r>
        <w:rPr>
          <w:rFonts w:hint="eastAsia" w:ascii="仿宋_GB2312" w:eastAsia="仿宋_GB2312"/>
          <w:sz w:val="32"/>
          <w:szCs w:val="32"/>
          <w:lang w:eastAsia="zh-CN"/>
        </w:rPr>
        <w:t>：</w:t>
      </w:r>
      <w:r>
        <w:rPr>
          <w:rFonts w:hint="eastAsia" w:ascii="仿宋_GB2312" w:hAnsi="仿宋" w:eastAsia="仿宋_GB2312" w:cs="Times New Roman"/>
          <w:sz w:val="32"/>
          <w:szCs w:val="32"/>
        </w:rPr>
        <w:t>项目时效1年</w:t>
      </w:r>
      <w:r>
        <w:rPr>
          <w:rFonts w:hint="eastAsia" w:ascii="仿宋_GB2312" w:hAnsi="仿宋" w:eastAsia="仿宋_GB2312" w:cs="Times New Roman"/>
          <w:sz w:val="32"/>
          <w:szCs w:val="32"/>
          <w:lang w:eastAsia="zh-CN"/>
        </w:rPr>
        <w:t>；</w:t>
      </w:r>
    </w:p>
    <w:p>
      <w:pPr>
        <w:spacing w:line="580" w:lineRule="exact"/>
        <w:ind w:firstLine="640"/>
        <w:rPr>
          <w:rFonts w:hint="eastAsia" w:ascii="仿宋_GB2312" w:eastAsia="仿宋_GB2312"/>
          <w:sz w:val="32"/>
          <w:szCs w:val="32"/>
          <w:lang w:eastAsia="zh-CN"/>
        </w:rPr>
      </w:pPr>
      <w:r>
        <w:rPr>
          <w:rFonts w:hint="eastAsia" w:ascii="仿宋_GB2312" w:eastAsia="仿宋_GB2312"/>
          <w:sz w:val="32"/>
          <w:szCs w:val="32"/>
        </w:rPr>
        <w:t>（4）产出成本</w:t>
      </w:r>
      <w:r>
        <w:rPr>
          <w:rFonts w:hint="eastAsia" w:ascii="仿宋_GB2312" w:eastAsia="仿宋_GB2312"/>
          <w:sz w:val="32"/>
          <w:szCs w:val="32"/>
          <w:lang w:eastAsia="zh-CN"/>
        </w:rPr>
        <w:t>：</w:t>
      </w:r>
      <w:r>
        <w:rPr>
          <w:rFonts w:hint="eastAsia" w:ascii="仿宋_GB2312" w:eastAsia="仿宋_GB2312"/>
          <w:sz w:val="32"/>
          <w:szCs w:val="32"/>
          <w:lang w:val="en-US" w:eastAsia="zh-CN"/>
        </w:rPr>
        <w:t>不超</w:t>
      </w:r>
      <w:r>
        <w:rPr>
          <w:rFonts w:hint="eastAsia" w:ascii="仿宋_GB2312" w:eastAsia="仿宋_GB2312"/>
          <w:sz w:val="32"/>
          <w:szCs w:val="32"/>
        </w:rPr>
        <w:t>全年预算21</w:t>
      </w:r>
      <w:r>
        <w:rPr>
          <w:rFonts w:hint="eastAsia" w:ascii="仿宋_GB2312" w:eastAsia="仿宋_GB2312"/>
          <w:sz w:val="32"/>
          <w:szCs w:val="32"/>
          <w:lang w:val="en-US" w:eastAsia="zh-CN"/>
        </w:rPr>
        <w:t>,</w:t>
      </w:r>
      <w:r>
        <w:rPr>
          <w:rFonts w:hint="eastAsia" w:ascii="仿宋_GB2312" w:eastAsia="仿宋_GB2312"/>
          <w:sz w:val="32"/>
          <w:szCs w:val="32"/>
        </w:rPr>
        <w:t>996</w:t>
      </w:r>
      <w:r>
        <w:rPr>
          <w:rFonts w:hint="eastAsia" w:ascii="仿宋_GB2312" w:eastAsia="仿宋_GB2312"/>
          <w:sz w:val="32"/>
          <w:szCs w:val="32"/>
          <w:lang w:val="en-US" w:eastAsia="zh-CN"/>
        </w:rPr>
        <w:t>.52万</w:t>
      </w:r>
      <w:r>
        <w:rPr>
          <w:rFonts w:hint="eastAsia" w:ascii="仿宋_GB2312" w:eastAsia="仿宋_GB2312"/>
          <w:sz w:val="32"/>
          <w:szCs w:val="32"/>
        </w:rPr>
        <w:t>元</w:t>
      </w:r>
      <w:r>
        <w:rPr>
          <w:rFonts w:hint="eastAsia" w:ascii="仿宋_GB2312" w:eastAsia="仿宋_GB2312"/>
          <w:sz w:val="32"/>
          <w:szCs w:val="32"/>
          <w:lang w:eastAsia="zh-CN"/>
        </w:rPr>
        <w:t>；</w:t>
      </w:r>
    </w:p>
    <w:p>
      <w:pPr>
        <w:spacing w:line="580" w:lineRule="exact"/>
        <w:ind w:firstLine="640"/>
        <w:rPr>
          <w:rFonts w:hint="eastAsia" w:ascii="仿宋_GB2312" w:eastAsia="仿宋_GB2312"/>
          <w:sz w:val="32"/>
          <w:szCs w:val="32"/>
        </w:rPr>
      </w:pPr>
      <w:r>
        <w:rPr>
          <w:rFonts w:hint="eastAsia" w:ascii="仿宋_GB2312" w:eastAsia="仿宋_GB2312"/>
          <w:sz w:val="32"/>
          <w:szCs w:val="32"/>
        </w:rPr>
        <w:t>2.效果实现情况分析</w:t>
      </w:r>
    </w:p>
    <w:p>
      <w:pPr>
        <w:spacing w:line="580" w:lineRule="exact"/>
        <w:ind w:firstLine="640"/>
        <w:rPr>
          <w:rFonts w:hint="default" w:ascii="仿宋_GB2312" w:eastAsia="仿宋_GB2312"/>
          <w:sz w:val="32"/>
          <w:szCs w:val="32"/>
          <w:lang w:val="en-US" w:eastAsia="zh-CN"/>
        </w:rPr>
      </w:pPr>
      <w:r>
        <w:rPr>
          <w:rFonts w:hint="eastAsia" w:ascii="仿宋_GB2312" w:eastAsia="仿宋_GB2312"/>
          <w:sz w:val="32"/>
          <w:szCs w:val="32"/>
        </w:rPr>
        <w:t>（1）经济效益</w:t>
      </w:r>
    </w:p>
    <w:p>
      <w:pPr>
        <w:spacing w:line="580" w:lineRule="exact"/>
        <w:ind w:firstLine="640"/>
        <w:rPr>
          <w:rFonts w:hint="default" w:ascii="仿宋_GB2312" w:eastAsia="仿宋_GB2312"/>
          <w:sz w:val="32"/>
          <w:szCs w:val="32"/>
          <w:lang w:val="en-US" w:eastAsia="zh-CN"/>
        </w:rPr>
      </w:pPr>
      <w:r>
        <w:rPr>
          <w:rFonts w:hint="eastAsia" w:ascii="仿宋_GB2312" w:eastAsia="仿宋_GB2312"/>
          <w:sz w:val="32"/>
          <w:szCs w:val="32"/>
        </w:rPr>
        <w:t>（2）社会效益</w:t>
      </w:r>
      <w:r>
        <w:rPr>
          <w:rFonts w:hint="eastAsia" w:ascii="仿宋_GB2312" w:eastAsia="仿宋_GB2312"/>
          <w:sz w:val="32"/>
          <w:szCs w:val="32"/>
          <w:lang w:eastAsia="zh-CN"/>
        </w:rPr>
        <w:t>：</w:t>
      </w:r>
      <w:r>
        <w:rPr>
          <w:rFonts w:hint="eastAsia" w:ascii="仿宋_GB2312" w:eastAsia="仿宋_GB2312"/>
          <w:sz w:val="32"/>
          <w:szCs w:val="32"/>
          <w:lang w:val="en-US" w:eastAsia="zh-CN"/>
        </w:rPr>
        <w:t>保障</w:t>
      </w:r>
      <w:r>
        <w:rPr>
          <w:rFonts w:hint="eastAsia" w:ascii="仿宋_GB2312" w:eastAsia="仿宋_GB2312"/>
          <w:sz w:val="32"/>
          <w:szCs w:val="32"/>
        </w:rPr>
        <w:t>社区两委、社工人员</w:t>
      </w:r>
      <w:r>
        <w:rPr>
          <w:rFonts w:hint="eastAsia" w:ascii="仿宋_GB2312" w:eastAsia="仿宋_GB2312"/>
          <w:sz w:val="32"/>
          <w:szCs w:val="32"/>
          <w:lang w:eastAsia="zh-CN"/>
        </w:rPr>
        <w:t>、</w:t>
      </w:r>
      <w:r>
        <w:rPr>
          <w:rFonts w:hint="eastAsia" w:ascii="仿宋_GB2312" w:eastAsia="仿宋_GB2312"/>
          <w:sz w:val="32"/>
          <w:szCs w:val="32"/>
          <w:lang w:val="en-US" w:eastAsia="zh-CN"/>
        </w:rPr>
        <w:t>三支一扶人员等</w:t>
      </w:r>
      <w:r>
        <w:rPr>
          <w:rFonts w:hint="eastAsia" w:ascii="仿宋_GB2312" w:eastAsia="仿宋_GB2312"/>
          <w:sz w:val="32"/>
          <w:szCs w:val="32"/>
        </w:rPr>
        <w:t>工资</w:t>
      </w:r>
      <w:r>
        <w:rPr>
          <w:rFonts w:hint="eastAsia" w:ascii="仿宋_GB2312" w:eastAsia="仿宋_GB2312"/>
          <w:sz w:val="32"/>
          <w:szCs w:val="32"/>
          <w:lang w:val="en-US" w:eastAsia="zh-CN"/>
        </w:rPr>
        <w:t>待遇正常发放</w:t>
      </w:r>
      <w:r>
        <w:rPr>
          <w:rFonts w:hint="eastAsia" w:ascii="仿宋_GB2312" w:eastAsia="仿宋_GB2312"/>
          <w:sz w:val="32"/>
          <w:szCs w:val="32"/>
        </w:rPr>
        <w:t>，</w:t>
      </w:r>
      <w:r>
        <w:rPr>
          <w:rFonts w:hint="eastAsia" w:ascii="仿宋_GB2312" w:eastAsia="仿宋_GB2312"/>
          <w:sz w:val="32"/>
          <w:szCs w:val="32"/>
          <w:lang w:val="en-US" w:eastAsia="zh-CN"/>
        </w:rPr>
        <w:t>保障</w:t>
      </w:r>
      <w:r>
        <w:rPr>
          <w:rFonts w:hint="eastAsia" w:ascii="仿宋_GB2312" w:eastAsia="仿宋_GB2312"/>
          <w:sz w:val="32"/>
          <w:szCs w:val="32"/>
        </w:rPr>
        <w:t>社区正常运转</w:t>
      </w:r>
      <w:r>
        <w:rPr>
          <w:rFonts w:hint="eastAsia" w:ascii="仿宋_GB2312" w:eastAsia="仿宋_GB2312"/>
          <w:sz w:val="32"/>
          <w:szCs w:val="32"/>
          <w:lang w:eastAsia="zh-CN"/>
        </w:rPr>
        <w:t>，</w:t>
      </w:r>
      <w:r>
        <w:rPr>
          <w:rFonts w:hint="eastAsia" w:ascii="仿宋_GB2312" w:eastAsia="仿宋_GB2312"/>
          <w:sz w:val="32"/>
          <w:szCs w:val="32"/>
          <w:lang w:val="en-US" w:eastAsia="zh-CN"/>
        </w:rPr>
        <w:t>保障各类补贴正常发放；</w:t>
      </w:r>
    </w:p>
    <w:p>
      <w:pPr>
        <w:spacing w:line="580" w:lineRule="exact"/>
        <w:ind w:firstLine="640"/>
        <w:rPr>
          <w:rFonts w:hint="default" w:ascii="仿宋_GB2312" w:eastAsia="仿宋_GB2312"/>
          <w:sz w:val="32"/>
          <w:szCs w:val="32"/>
          <w:lang w:val="en-US" w:eastAsia="zh-CN"/>
        </w:rPr>
      </w:pPr>
      <w:r>
        <w:rPr>
          <w:rFonts w:hint="eastAsia" w:ascii="仿宋_GB2312" w:eastAsia="仿宋_GB2312"/>
          <w:sz w:val="32"/>
          <w:szCs w:val="32"/>
        </w:rPr>
        <w:t>（3）环境效益</w:t>
      </w:r>
    </w:p>
    <w:p>
      <w:pPr>
        <w:spacing w:line="580" w:lineRule="exact"/>
        <w:ind w:firstLine="640"/>
        <w:rPr>
          <w:rFonts w:hint="eastAsia" w:ascii="仿宋_GB2312" w:eastAsia="仿宋_GB2312"/>
          <w:sz w:val="32"/>
          <w:szCs w:val="32"/>
          <w:lang w:eastAsia="zh-CN"/>
        </w:rPr>
      </w:pPr>
      <w:r>
        <w:rPr>
          <w:rFonts w:hint="eastAsia" w:ascii="仿宋_GB2312" w:eastAsia="仿宋_GB2312"/>
          <w:sz w:val="32"/>
          <w:szCs w:val="32"/>
        </w:rPr>
        <w:t>（4）可持续影响</w:t>
      </w:r>
      <w:r>
        <w:rPr>
          <w:rFonts w:hint="eastAsia" w:ascii="仿宋_GB2312" w:eastAsia="仿宋_GB2312"/>
          <w:sz w:val="32"/>
          <w:szCs w:val="32"/>
          <w:lang w:eastAsia="zh-CN"/>
        </w:rPr>
        <w:t>：绿化成果得到延续</w:t>
      </w:r>
    </w:p>
    <w:p>
      <w:pPr>
        <w:spacing w:line="580" w:lineRule="exact"/>
        <w:ind w:firstLine="640"/>
        <w:rPr>
          <w:rFonts w:hint="eastAsia" w:ascii="仿宋_GB2312" w:eastAsia="仿宋_GB2312"/>
          <w:sz w:val="32"/>
          <w:szCs w:val="32"/>
          <w:lang w:eastAsia="zh-CN"/>
        </w:rPr>
      </w:pPr>
      <w:r>
        <w:rPr>
          <w:rFonts w:hint="eastAsia" w:ascii="仿宋_GB2312" w:eastAsia="仿宋_GB2312"/>
          <w:sz w:val="32"/>
          <w:szCs w:val="32"/>
        </w:rPr>
        <w:t>（5）服务对象满意度</w:t>
      </w:r>
      <w:r>
        <w:rPr>
          <w:rFonts w:hint="eastAsia" w:ascii="仿宋_GB2312" w:eastAsia="仿宋_GB2312"/>
          <w:sz w:val="32"/>
          <w:szCs w:val="32"/>
          <w:lang w:eastAsia="zh-CN"/>
        </w:rPr>
        <w:t>：职工满意度100%</w:t>
      </w:r>
    </w:p>
    <w:p>
      <w:pPr>
        <w:spacing w:line="580" w:lineRule="exact"/>
        <w:ind w:firstLine="640"/>
        <w:rPr>
          <w:rFonts w:hint="eastAsia" w:ascii="楷体_GB2312" w:eastAsia="楷体_GB2312"/>
          <w:b/>
          <w:sz w:val="32"/>
          <w:szCs w:val="32"/>
        </w:rPr>
      </w:pPr>
      <w:r>
        <w:rPr>
          <w:rFonts w:hint="eastAsia" w:ascii="楷体_GB2312" w:eastAsia="楷体_GB2312"/>
          <w:b/>
          <w:sz w:val="32"/>
          <w:szCs w:val="32"/>
        </w:rPr>
        <w:t>（四）预算管理情况分析</w:t>
      </w:r>
    </w:p>
    <w:p>
      <w:pPr>
        <w:spacing w:line="520" w:lineRule="exact"/>
        <w:ind w:firstLine="640" w:firstLineChars="200"/>
        <w:rPr>
          <w:rFonts w:hint="eastAsia" w:ascii="仿宋_GB2312" w:eastAsia="仿宋_GB2312"/>
          <w:sz w:val="32"/>
          <w:szCs w:val="32"/>
        </w:rPr>
      </w:pPr>
      <w:r>
        <w:rPr>
          <w:rFonts w:hint="eastAsia" w:ascii="仿宋_GB2312" w:eastAsia="仿宋_GB2312"/>
          <w:sz w:val="32"/>
          <w:szCs w:val="32"/>
        </w:rPr>
        <w:t>1.财务管理</w:t>
      </w:r>
    </w:p>
    <w:p>
      <w:pPr>
        <w:spacing w:line="520" w:lineRule="exact"/>
        <w:ind w:firstLine="640" w:firstLineChars="200"/>
        <w:rPr>
          <w:rFonts w:ascii="仿宋_GB2312" w:hAnsi="仿宋" w:eastAsia="仿宋_GB2312" w:cs="Times New Roman"/>
          <w:sz w:val="32"/>
          <w:szCs w:val="32"/>
        </w:rPr>
      </w:pPr>
      <w:r>
        <w:rPr>
          <w:rFonts w:hint="eastAsia" w:ascii="仿宋_GB2312" w:hAnsi="仿宋" w:eastAsia="仿宋_GB2312" w:cs="Times New Roman"/>
          <w:sz w:val="32"/>
          <w:szCs w:val="32"/>
        </w:rPr>
        <w:t>我镇严格落实《门头沟区永定镇内部控制管理手册》、《永定镇工程项目管理办法》、《永定镇收入支出管理办法》、《永定镇发票管理办法》等多项管理办法，规范收入支出管理，保障资金安全，提高资金使用效益。</w:t>
      </w:r>
    </w:p>
    <w:p>
      <w:pPr>
        <w:widowControl/>
        <w:spacing w:line="520" w:lineRule="exact"/>
        <w:ind w:firstLine="640" w:firstLineChars="200"/>
        <w:rPr>
          <w:rFonts w:hint="eastAsia" w:ascii="仿宋_GB2312" w:eastAsia="仿宋_GB2312"/>
          <w:sz w:val="32"/>
          <w:szCs w:val="32"/>
        </w:rPr>
      </w:pPr>
      <w:r>
        <w:rPr>
          <w:rFonts w:hint="eastAsia" w:ascii="仿宋_GB2312" w:eastAsia="仿宋_GB2312"/>
          <w:sz w:val="32"/>
          <w:szCs w:val="32"/>
        </w:rPr>
        <w:t>2.资产管理</w:t>
      </w:r>
    </w:p>
    <w:p>
      <w:pPr>
        <w:widowControl/>
        <w:spacing w:line="520" w:lineRule="exact"/>
        <w:ind w:firstLine="640" w:firstLineChars="200"/>
        <w:rPr>
          <w:rFonts w:ascii="仿宋_GB2312" w:hAnsi="仿宋" w:eastAsia="仿宋_GB2312" w:cs="Times New Roman"/>
          <w:sz w:val="32"/>
          <w:szCs w:val="32"/>
        </w:rPr>
      </w:pPr>
      <w:bookmarkStart w:id="4" w:name="_GoBack"/>
      <w:bookmarkEnd w:id="4"/>
      <w:r>
        <w:rPr>
          <w:rFonts w:hint="eastAsia" w:ascii="仿宋_GB2312" w:hAnsi="仿宋" w:eastAsia="仿宋_GB2312" w:cs="Times New Roman"/>
          <w:sz w:val="32"/>
          <w:szCs w:val="32"/>
        </w:rPr>
        <w:t>我镇按照《永定镇固定资产管理办法》的规定，对资产的增加、减少、报废等资产的处理有明确的规定，由镇综合办公室负责定期盘点，实物与账进行核对。</w:t>
      </w:r>
    </w:p>
    <w:p>
      <w:pPr>
        <w:spacing w:line="580" w:lineRule="exact"/>
        <w:ind w:firstLine="640"/>
        <w:rPr>
          <w:rFonts w:hint="eastAsia" w:ascii="仿宋_GB2312" w:eastAsia="仿宋_GB2312"/>
          <w:sz w:val="32"/>
          <w:szCs w:val="32"/>
        </w:rPr>
      </w:pPr>
      <w:r>
        <w:rPr>
          <w:rFonts w:hint="eastAsia" w:ascii="仿宋_GB2312" w:eastAsia="仿宋_GB2312"/>
          <w:sz w:val="32"/>
          <w:szCs w:val="32"/>
        </w:rPr>
        <w:t>3.绩效管理</w:t>
      </w:r>
    </w:p>
    <w:p>
      <w:pPr>
        <w:spacing w:line="580" w:lineRule="exact"/>
        <w:ind w:firstLine="640"/>
        <w:rPr>
          <w:rFonts w:hint="eastAsia" w:ascii="仿宋_GB2312" w:eastAsia="仿宋_GB2312"/>
          <w:sz w:val="32"/>
          <w:szCs w:val="32"/>
        </w:rPr>
      </w:pPr>
      <w:r>
        <w:rPr>
          <w:rFonts w:hint="eastAsia" w:ascii="仿宋_GB2312" w:eastAsia="仿宋_GB2312"/>
          <w:sz w:val="32"/>
          <w:szCs w:val="32"/>
        </w:rPr>
        <w:t>（1）预算绩效管理制度情况</w:t>
      </w:r>
    </w:p>
    <w:p>
      <w:pPr>
        <w:spacing w:line="580" w:lineRule="exact"/>
        <w:ind w:firstLine="640"/>
        <w:rPr>
          <w:rFonts w:hint="eastAsia" w:ascii="仿宋_GB2312" w:eastAsia="仿宋_GB2312"/>
          <w:sz w:val="32"/>
          <w:szCs w:val="32"/>
        </w:rPr>
      </w:pPr>
      <w:r>
        <w:rPr>
          <w:rFonts w:hint="eastAsia" w:ascii="仿宋_GB2312" w:hAnsi="仿宋" w:eastAsia="仿宋_GB2312" w:cs="Times New Roman"/>
          <w:sz w:val="32"/>
          <w:szCs w:val="32"/>
        </w:rPr>
        <w:t>针对预算入库等关键环节规范流程管理，项目预算编制由负责项目的业务科室开展项目自评并撰写预算项目绩效目标，经科室负责人、主管领导审核后，方可列入项目库。</w:t>
      </w:r>
    </w:p>
    <w:p>
      <w:pPr>
        <w:spacing w:line="580" w:lineRule="exact"/>
        <w:ind w:firstLine="640"/>
        <w:rPr>
          <w:rFonts w:hint="eastAsia" w:ascii="仿宋_GB2312" w:eastAsia="仿宋_GB2312"/>
          <w:sz w:val="32"/>
          <w:szCs w:val="32"/>
        </w:rPr>
      </w:pPr>
      <w:r>
        <w:rPr>
          <w:rFonts w:hint="eastAsia" w:ascii="仿宋_GB2312" w:eastAsia="仿宋_GB2312"/>
          <w:sz w:val="32"/>
          <w:szCs w:val="32"/>
        </w:rPr>
        <w:t>（2）绩效目标管理情况</w:t>
      </w:r>
    </w:p>
    <w:p>
      <w:pPr>
        <w:spacing w:line="580" w:lineRule="exact"/>
        <w:ind w:firstLine="640"/>
        <w:rPr>
          <w:rFonts w:hint="eastAsia" w:ascii="仿宋_GB2312" w:eastAsia="仿宋_GB2312"/>
          <w:sz w:val="32"/>
          <w:szCs w:val="32"/>
        </w:rPr>
      </w:pPr>
      <w:r>
        <w:rPr>
          <w:rFonts w:hint="eastAsia" w:ascii="仿宋_GB2312" w:eastAsia="仿宋_GB2312"/>
          <w:sz w:val="32"/>
          <w:szCs w:val="32"/>
        </w:rPr>
        <w:t>2025年部门预算项目</w:t>
      </w:r>
      <w:r>
        <w:rPr>
          <w:rFonts w:hint="eastAsia" w:ascii="仿宋_GB2312" w:hAnsi="微软雅黑" w:eastAsia="仿宋_GB2312" w:cs="微软雅黑"/>
          <w:color w:val="404040"/>
          <w:sz w:val="32"/>
          <w:szCs w:val="32"/>
          <w:highlight w:val="none"/>
          <w:shd w:val="clear" w:color="auto" w:fill="FFFFFF"/>
        </w:rPr>
        <w:t>1</w:t>
      </w:r>
      <w:r>
        <w:rPr>
          <w:rFonts w:hint="eastAsia" w:ascii="仿宋_GB2312" w:hAnsi="微软雅黑" w:eastAsia="仿宋_GB2312" w:cs="微软雅黑"/>
          <w:color w:val="404040"/>
          <w:sz w:val="32"/>
          <w:szCs w:val="32"/>
          <w:highlight w:val="none"/>
          <w:shd w:val="clear" w:color="auto" w:fill="FFFFFF"/>
          <w:lang w:val="en-US" w:eastAsia="zh-CN"/>
        </w:rPr>
        <w:t>11</w:t>
      </w:r>
      <w:r>
        <w:rPr>
          <w:rFonts w:hint="eastAsia" w:ascii="仿宋_GB2312" w:eastAsia="仿宋_GB2312"/>
          <w:sz w:val="32"/>
          <w:szCs w:val="32"/>
        </w:rPr>
        <w:t>个，部门预算公开绩效目标的预算项目</w:t>
      </w:r>
      <w:r>
        <w:rPr>
          <w:rFonts w:hint="eastAsia" w:ascii="仿宋_GB2312" w:hAnsi="微软雅黑" w:eastAsia="仿宋_GB2312" w:cs="微软雅黑"/>
          <w:color w:val="404040"/>
          <w:sz w:val="32"/>
          <w:szCs w:val="32"/>
          <w:highlight w:val="none"/>
          <w:shd w:val="clear" w:color="auto" w:fill="FFFFFF"/>
        </w:rPr>
        <w:t>5</w:t>
      </w:r>
      <w:r>
        <w:rPr>
          <w:rFonts w:hint="eastAsia" w:ascii="仿宋_GB2312" w:hAnsi="微软雅黑" w:eastAsia="仿宋_GB2312" w:cs="微软雅黑"/>
          <w:color w:val="404040"/>
          <w:sz w:val="32"/>
          <w:szCs w:val="32"/>
          <w:highlight w:val="none"/>
          <w:shd w:val="clear" w:color="auto" w:fill="FFFFFF"/>
          <w:lang w:val="en-US" w:eastAsia="zh-CN"/>
        </w:rPr>
        <w:t>1</w:t>
      </w:r>
      <w:r>
        <w:rPr>
          <w:rFonts w:hint="eastAsia" w:ascii="仿宋_GB2312" w:eastAsia="仿宋_GB2312"/>
          <w:sz w:val="32"/>
          <w:szCs w:val="32"/>
        </w:rPr>
        <w:t>个，占本部门全部预算项目的</w:t>
      </w:r>
      <w:r>
        <w:rPr>
          <w:rFonts w:hint="eastAsia" w:ascii="仿宋_GB2312" w:hAnsi="微软雅黑" w:eastAsia="仿宋_GB2312" w:cs="微软雅黑"/>
          <w:color w:val="404040"/>
          <w:sz w:val="32"/>
          <w:szCs w:val="32"/>
          <w:highlight w:val="none"/>
          <w:shd w:val="clear" w:color="auto" w:fill="FFFFFF"/>
          <w:lang w:val="en-US" w:eastAsia="zh-CN"/>
        </w:rPr>
        <w:t>46.0</w:t>
      </w:r>
      <w:r>
        <w:rPr>
          <w:rFonts w:ascii="仿宋_GB2312" w:hAnsi="微软雅黑" w:eastAsia="仿宋_GB2312" w:cs="微软雅黑"/>
          <w:color w:val="404040"/>
          <w:sz w:val="32"/>
          <w:szCs w:val="32"/>
          <w:highlight w:val="none"/>
          <w:shd w:val="clear" w:color="auto" w:fill="FFFFFF"/>
        </w:rPr>
        <w:t>%</w:t>
      </w:r>
      <w:r>
        <w:rPr>
          <w:rFonts w:hint="eastAsia" w:ascii="仿宋_GB2312" w:eastAsia="仿宋_GB2312"/>
          <w:sz w:val="32"/>
          <w:szCs w:val="32"/>
        </w:rPr>
        <w:t>。</w:t>
      </w:r>
    </w:p>
    <w:p>
      <w:pPr>
        <w:spacing w:line="580" w:lineRule="exact"/>
        <w:ind w:firstLine="640"/>
        <w:rPr>
          <w:rFonts w:hint="eastAsia" w:ascii="仿宋_GB2312" w:eastAsia="仿宋_GB2312"/>
          <w:sz w:val="32"/>
          <w:szCs w:val="32"/>
        </w:rPr>
      </w:pPr>
      <w:r>
        <w:rPr>
          <w:rFonts w:hint="eastAsia" w:ascii="仿宋_GB2312" w:eastAsia="仿宋_GB2312"/>
          <w:sz w:val="32"/>
          <w:szCs w:val="32"/>
        </w:rPr>
        <w:t>（3）绩效自评情况</w:t>
      </w:r>
    </w:p>
    <w:p>
      <w:pPr>
        <w:spacing w:line="580" w:lineRule="exact"/>
        <w:ind w:firstLine="640"/>
        <w:rPr>
          <w:rFonts w:hint="eastAsia" w:ascii="仿宋_GB2312" w:eastAsia="仿宋_GB2312"/>
          <w:sz w:val="32"/>
          <w:szCs w:val="32"/>
        </w:rPr>
      </w:pPr>
      <w:r>
        <w:rPr>
          <w:rFonts w:hint="eastAsia" w:ascii="仿宋_GB2312" w:eastAsia="仿宋_GB2312"/>
          <w:sz w:val="32"/>
          <w:szCs w:val="32"/>
        </w:rPr>
        <w:t>2025年对本部门及所属单位2024年项目支出实施了绩效自评，评价项目</w:t>
      </w:r>
      <w:r>
        <w:rPr>
          <w:rFonts w:hint="eastAsia" w:ascii="仿宋_GB2312" w:hAnsi="Times New Roman" w:eastAsia="仿宋_GB2312" w:cs="Times New Roman"/>
          <w:sz w:val="32"/>
          <w:szCs w:val="32"/>
          <w:highlight w:val="none"/>
          <w:lang w:val="en-US" w:eastAsia="zh-CN"/>
        </w:rPr>
        <w:t>104</w:t>
      </w:r>
      <w:r>
        <w:rPr>
          <w:rFonts w:hint="eastAsia" w:ascii="仿宋_GB2312" w:eastAsia="仿宋_GB2312"/>
          <w:sz w:val="32"/>
          <w:szCs w:val="32"/>
        </w:rPr>
        <w:t>个，涉及金额</w:t>
      </w:r>
      <w:r>
        <w:rPr>
          <w:rFonts w:hint="eastAsia" w:ascii="仿宋_GB2312" w:hAnsi="仿宋" w:eastAsia="仿宋_GB2312" w:cs="Times New Roman"/>
          <w:sz w:val="32"/>
          <w:szCs w:val="32"/>
          <w:highlight w:val="none"/>
        </w:rPr>
        <w:t>36,066.1</w:t>
      </w:r>
      <w:r>
        <w:rPr>
          <w:rFonts w:hint="eastAsia" w:ascii="仿宋_GB2312" w:hAnsi="仿宋" w:eastAsia="仿宋_GB2312" w:cs="Times New Roman"/>
          <w:sz w:val="32"/>
          <w:szCs w:val="32"/>
          <w:highlight w:val="none"/>
          <w:lang w:val="en-US" w:eastAsia="zh-CN"/>
        </w:rPr>
        <w:t>4万</w:t>
      </w:r>
      <w:r>
        <w:rPr>
          <w:rFonts w:hint="eastAsia" w:ascii="仿宋_GB2312" w:eastAsia="仿宋_GB2312"/>
          <w:sz w:val="32"/>
          <w:szCs w:val="32"/>
        </w:rPr>
        <w:t>元。</w:t>
      </w:r>
    </w:p>
    <w:p>
      <w:pPr>
        <w:spacing w:line="580" w:lineRule="exact"/>
        <w:ind w:firstLine="640"/>
        <w:rPr>
          <w:rFonts w:hint="eastAsia" w:ascii="楷体_GB2312" w:eastAsia="楷体_GB2312"/>
          <w:b/>
          <w:sz w:val="32"/>
          <w:szCs w:val="32"/>
        </w:rPr>
      </w:pPr>
      <w:r>
        <w:rPr>
          <w:rFonts w:hint="eastAsia" w:ascii="楷体_GB2312" w:eastAsia="楷体_GB2312"/>
          <w:b/>
          <w:sz w:val="32"/>
          <w:szCs w:val="32"/>
        </w:rPr>
        <w:t>（五）总体评价结论</w:t>
      </w:r>
    </w:p>
    <w:p>
      <w:pPr>
        <w:spacing w:line="580" w:lineRule="exact"/>
        <w:ind w:firstLine="640"/>
        <w:rPr>
          <w:rFonts w:hint="eastAsia" w:ascii="仿宋_GB2312" w:eastAsia="仿宋_GB2312"/>
          <w:sz w:val="32"/>
          <w:szCs w:val="32"/>
        </w:rPr>
      </w:pPr>
      <w:r>
        <w:rPr>
          <w:rFonts w:hint="eastAsia" w:ascii="仿宋_GB2312" w:eastAsia="仿宋_GB2312"/>
          <w:sz w:val="32"/>
          <w:szCs w:val="32"/>
        </w:rPr>
        <w:t>1.评价得分情况</w:t>
      </w:r>
    </w:p>
    <w:p>
      <w:pPr>
        <w:spacing w:line="580" w:lineRule="exact"/>
        <w:ind w:firstLine="640"/>
        <w:rPr>
          <w:rFonts w:hint="eastAsia" w:ascii="仿宋_GB2312" w:eastAsia="仿宋_GB2312"/>
          <w:sz w:val="32"/>
          <w:szCs w:val="32"/>
        </w:rPr>
      </w:pPr>
      <w:r>
        <w:rPr>
          <w:rFonts w:hint="eastAsia" w:ascii="仿宋_GB2312" w:eastAsia="仿宋_GB2312"/>
          <w:sz w:val="32"/>
          <w:szCs w:val="32"/>
        </w:rPr>
        <w:t>绩效自评总分：</w:t>
      </w:r>
      <w:r>
        <w:rPr>
          <w:rFonts w:hint="eastAsia" w:ascii="仿宋_GB2312" w:eastAsia="仿宋_GB2312"/>
          <w:sz w:val="32"/>
          <w:szCs w:val="32"/>
          <w:lang w:val="en-US" w:eastAsia="zh-CN"/>
        </w:rPr>
        <w:t>100</w:t>
      </w:r>
      <w:r>
        <w:rPr>
          <w:rFonts w:hint="eastAsia" w:ascii="仿宋_GB2312" w:eastAsia="仿宋_GB2312"/>
          <w:sz w:val="32"/>
          <w:szCs w:val="32"/>
        </w:rPr>
        <w:t>分</w:t>
      </w:r>
    </w:p>
    <w:p>
      <w:pPr>
        <w:spacing w:line="580" w:lineRule="exact"/>
        <w:ind w:firstLine="640"/>
        <w:rPr>
          <w:rFonts w:hint="eastAsia" w:ascii="仿宋_GB2312" w:eastAsia="仿宋_GB2312"/>
          <w:sz w:val="32"/>
          <w:szCs w:val="32"/>
          <w:lang w:val="en-US" w:eastAsia="zh-CN"/>
        </w:rPr>
      </w:pPr>
      <w:r>
        <w:rPr>
          <w:rFonts w:hint="eastAsia" w:ascii="仿宋_GB2312" w:eastAsia="仿宋_GB2312"/>
          <w:sz w:val="32"/>
          <w:szCs w:val="32"/>
        </w:rPr>
        <w:t>绩效自评等级：</w:t>
      </w:r>
      <w:r>
        <w:rPr>
          <w:rFonts w:hint="eastAsia" w:ascii="仿宋_GB2312" w:eastAsia="仿宋_GB2312"/>
          <w:sz w:val="32"/>
          <w:szCs w:val="32"/>
          <w:lang w:val="en-US" w:eastAsia="zh-CN"/>
        </w:rPr>
        <w:t>优秀</w:t>
      </w:r>
    </w:p>
    <w:p>
      <w:pPr>
        <w:spacing w:line="580" w:lineRule="exact"/>
        <w:ind w:firstLine="640"/>
        <w:rPr>
          <w:rFonts w:hint="eastAsia" w:ascii="仿宋_GB2312" w:eastAsia="仿宋_GB2312"/>
          <w:sz w:val="32"/>
          <w:szCs w:val="32"/>
        </w:rPr>
      </w:pPr>
      <w:r>
        <w:rPr>
          <w:rFonts w:hint="eastAsia" w:ascii="仿宋_GB2312" w:eastAsia="仿宋_GB2312"/>
          <w:sz w:val="32"/>
          <w:szCs w:val="32"/>
        </w:rPr>
        <w:t>2.存在的问题及原因分析</w:t>
      </w:r>
    </w:p>
    <w:p>
      <w:pPr>
        <w:spacing w:line="580" w:lineRule="exact"/>
        <w:ind w:firstLine="640"/>
        <w:rPr>
          <w:rFonts w:hint="eastAsia" w:ascii="仿宋_GB2312" w:eastAsia="仿宋_GB2312"/>
          <w:sz w:val="32"/>
          <w:szCs w:val="32"/>
          <w:lang w:eastAsia="zh-CN"/>
        </w:rPr>
      </w:pPr>
      <w:r>
        <w:rPr>
          <w:rFonts w:hint="eastAsia" w:ascii="仿宋_GB2312" w:eastAsia="仿宋_GB2312"/>
          <w:sz w:val="32"/>
          <w:szCs w:val="32"/>
          <w:lang w:val="en-US" w:eastAsia="zh-CN"/>
        </w:rPr>
        <w:t>无</w:t>
      </w:r>
      <w:r>
        <w:rPr>
          <w:rFonts w:hint="eastAsia" w:ascii="仿宋_GB2312" w:eastAsia="仿宋_GB2312"/>
          <w:sz w:val="32"/>
          <w:szCs w:val="32"/>
          <w:lang w:eastAsia="zh-CN"/>
        </w:rPr>
        <w:t>。</w:t>
      </w:r>
    </w:p>
    <w:p>
      <w:pPr>
        <w:spacing w:line="580" w:lineRule="exact"/>
        <w:ind w:firstLine="640"/>
        <w:rPr>
          <w:rFonts w:hint="eastAsia" w:ascii="仿宋_GB2312" w:eastAsia="仿宋_GB2312"/>
          <w:sz w:val="32"/>
          <w:szCs w:val="32"/>
        </w:rPr>
      </w:pPr>
      <w:r>
        <w:rPr>
          <w:rFonts w:hint="eastAsia" w:ascii="仿宋_GB2312" w:eastAsia="仿宋_GB2312"/>
          <w:sz w:val="32"/>
          <w:szCs w:val="32"/>
        </w:rPr>
        <w:t>3.改进措施</w:t>
      </w:r>
    </w:p>
    <w:bookmarkEnd w:id="2"/>
    <w:p>
      <w:pPr>
        <w:spacing w:line="580" w:lineRule="exact"/>
        <w:ind w:firstLine="640"/>
        <w:rPr>
          <w:rFonts w:hint="eastAsia" w:ascii="仿宋_GB2312" w:eastAsia="仿宋_GB2312"/>
          <w:sz w:val="32"/>
          <w:szCs w:val="32"/>
        </w:rPr>
      </w:pPr>
      <w:r>
        <w:rPr>
          <w:rFonts w:hint="eastAsia" w:ascii="仿宋_GB2312" w:eastAsia="仿宋_GB2312"/>
          <w:sz w:val="32"/>
          <w:szCs w:val="32"/>
        </w:rPr>
        <w:t>在预算编制前，加强对各科室报账员的培训，做到各部门间充分沟通协调，按月、按季计划支出事项和金额，严格按照批复额度和支出范围执行预算，努力在年底预算执行率达到100%。</w:t>
      </w:r>
    </w:p>
    <w:p>
      <w:pPr>
        <w:spacing w:line="580" w:lineRule="exact"/>
        <w:ind w:firstLine="640"/>
        <w:rPr>
          <w:rFonts w:hint="eastAsia" w:ascii="仿宋_GB2312" w:eastAsia="仿宋_GB2312"/>
          <w:sz w:val="32"/>
          <w:szCs w:val="32"/>
        </w:rPr>
      </w:pPr>
    </w:p>
    <w:p>
      <w:pPr>
        <w:spacing w:line="580" w:lineRule="exact"/>
        <w:ind w:firstLine="640"/>
        <w:rPr>
          <w:rFonts w:hint="eastAsia" w:ascii="黑体" w:hAnsi="黑体" w:eastAsia="黑体"/>
          <w:sz w:val="32"/>
          <w:szCs w:val="32"/>
        </w:rPr>
      </w:pPr>
      <w:r>
        <w:rPr>
          <w:rFonts w:hint="eastAsia" w:ascii="黑体" w:hAnsi="黑体" w:eastAsia="黑体"/>
          <w:sz w:val="32"/>
          <w:szCs w:val="32"/>
        </w:rPr>
        <w:t>二、项目支出绩效自评情况</w:t>
      </w:r>
    </w:p>
    <w:p>
      <w:pPr>
        <w:spacing w:line="580" w:lineRule="exact"/>
        <w:ind w:firstLine="809" w:firstLineChars="253"/>
        <w:rPr>
          <w:rFonts w:hint="eastAsia" w:ascii="楷体_GB2312" w:hAnsi="仿宋" w:eastAsia="楷体_GB2312"/>
          <w:b/>
          <w:sz w:val="32"/>
          <w:szCs w:val="32"/>
        </w:rPr>
      </w:pPr>
      <w:r>
        <w:rPr>
          <w:rFonts w:hint="eastAsia" w:ascii="楷体_GB2312" w:hAnsi="仿宋" w:eastAsia="楷体_GB2312"/>
          <w:b/>
          <w:sz w:val="32"/>
          <w:szCs w:val="32"/>
        </w:rPr>
        <w:t>（一）绩效自评开展总体情况</w:t>
      </w:r>
    </w:p>
    <w:p>
      <w:pPr>
        <w:spacing w:line="580" w:lineRule="exact"/>
        <w:ind w:firstLine="809" w:firstLineChars="253"/>
        <w:rPr>
          <w:rFonts w:hint="eastAsia" w:ascii="仿宋_GB2312" w:hAnsi="Calibri" w:eastAsia="仿宋_GB2312"/>
          <w:sz w:val="32"/>
          <w:szCs w:val="32"/>
        </w:rPr>
      </w:pPr>
      <w:r>
        <w:rPr>
          <w:rFonts w:hint="eastAsia" w:ascii="仿宋_GB2312" w:eastAsia="仿宋_GB2312"/>
          <w:sz w:val="32"/>
          <w:szCs w:val="32"/>
        </w:rPr>
        <w:t>2025年度区财政批复项目支出预算项目</w:t>
      </w:r>
      <w:r>
        <w:rPr>
          <w:rFonts w:hint="eastAsia" w:ascii="仿宋_GB2312" w:eastAsia="仿宋_GB2312"/>
          <w:sz w:val="32"/>
          <w:szCs w:val="32"/>
          <w:lang w:val="en-US" w:eastAsia="zh-CN"/>
        </w:rPr>
        <w:t>100</w:t>
      </w:r>
      <w:r>
        <w:rPr>
          <w:rFonts w:hint="eastAsia" w:ascii="仿宋_GB2312" w:eastAsia="仿宋_GB2312"/>
          <w:sz w:val="32"/>
          <w:szCs w:val="32"/>
        </w:rPr>
        <w:t>个，涉及金额163,291,871.02元。本次实施绩效自评项目</w:t>
      </w:r>
      <w:r>
        <w:rPr>
          <w:rFonts w:hint="eastAsia" w:ascii="仿宋_GB2312" w:eastAsia="仿宋_GB2312"/>
          <w:sz w:val="32"/>
          <w:szCs w:val="32"/>
          <w:lang w:val="en-US" w:eastAsia="zh-CN"/>
        </w:rPr>
        <w:t>100</w:t>
      </w:r>
      <w:r>
        <w:rPr>
          <w:rFonts w:hint="eastAsia" w:ascii="仿宋_GB2312" w:eastAsia="仿宋_GB2312"/>
          <w:sz w:val="32"/>
          <w:szCs w:val="32"/>
        </w:rPr>
        <w:t>个，涉及金额163,291,871.02元。评价得分在90分（含90分）以上的</w:t>
      </w:r>
      <w:r>
        <w:rPr>
          <w:rFonts w:hint="eastAsia" w:ascii="仿宋_GB2312" w:eastAsia="仿宋_GB2312"/>
          <w:sz w:val="32"/>
          <w:szCs w:val="32"/>
          <w:lang w:val="en-US" w:eastAsia="zh-CN"/>
        </w:rPr>
        <w:t>100</w:t>
      </w:r>
      <w:r>
        <w:rPr>
          <w:rFonts w:hint="eastAsia" w:ascii="仿宋_GB2312" w:eastAsia="仿宋_GB2312"/>
          <w:sz w:val="32"/>
          <w:szCs w:val="32"/>
        </w:rPr>
        <w:t>个，评价得分在80-90分（含80分）的</w:t>
      </w:r>
      <w:r>
        <w:rPr>
          <w:rFonts w:hint="eastAsia" w:ascii="仿宋_GB2312" w:eastAsia="仿宋_GB2312"/>
          <w:sz w:val="32"/>
          <w:szCs w:val="32"/>
          <w:lang w:val="en-US" w:eastAsia="zh-CN"/>
        </w:rPr>
        <w:t>0</w:t>
      </w:r>
      <w:r>
        <w:rPr>
          <w:rFonts w:hint="eastAsia" w:ascii="仿宋_GB2312" w:eastAsia="仿宋_GB2312"/>
          <w:sz w:val="32"/>
          <w:szCs w:val="32"/>
        </w:rPr>
        <w:t>个，评价得分在60-80分（含60分）的</w:t>
      </w:r>
      <w:r>
        <w:rPr>
          <w:rFonts w:hint="eastAsia" w:ascii="仿宋_GB2312" w:eastAsia="仿宋_GB2312"/>
          <w:sz w:val="32"/>
          <w:szCs w:val="32"/>
          <w:lang w:val="en-US" w:eastAsia="zh-CN"/>
        </w:rPr>
        <w:t>0</w:t>
      </w:r>
      <w:r>
        <w:rPr>
          <w:rFonts w:hint="eastAsia" w:ascii="仿宋_GB2312" w:eastAsia="仿宋_GB2312"/>
          <w:sz w:val="32"/>
          <w:szCs w:val="32"/>
        </w:rPr>
        <w:t>个，评价得分在60分以下的</w:t>
      </w:r>
      <w:r>
        <w:rPr>
          <w:rFonts w:hint="eastAsia" w:ascii="仿宋_GB2312" w:eastAsia="仿宋_GB2312"/>
          <w:sz w:val="32"/>
          <w:szCs w:val="32"/>
          <w:lang w:val="en-US" w:eastAsia="zh-CN"/>
        </w:rPr>
        <w:t>0</w:t>
      </w:r>
      <w:r>
        <w:rPr>
          <w:rFonts w:hint="eastAsia" w:ascii="仿宋_GB2312" w:eastAsia="仿宋_GB2312"/>
          <w:sz w:val="32"/>
          <w:szCs w:val="32"/>
        </w:rPr>
        <w:t>个。</w:t>
      </w:r>
    </w:p>
    <w:p>
      <w:pPr>
        <w:spacing w:line="580" w:lineRule="exact"/>
        <w:ind w:firstLine="809" w:firstLineChars="253"/>
        <w:rPr>
          <w:rFonts w:hint="eastAsia" w:ascii="楷体_GB2312" w:hAnsi="仿宋" w:eastAsia="楷体_GB2312"/>
          <w:b/>
          <w:sz w:val="32"/>
          <w:szCs w:val="32"/>
        </w:rPr>
      </w:pPr>
      <w:r>
        <w:rPr>
          <w:rFonts w:hint="eastAsia" w:ascii="楷体_GB2312" w:hAnsi="仿宋" w:eastAsia="楷体_GB2312"/>
          <w:b/>
          <w:sz w:val="32"/>
          <w:szCs w:val="32"/>
        </w:rPr>
        <w:t>（二）重点支出项目绩效自评报告</w:t>
      </w:r>
    </w:p>
    <w:p>
      <w:pPr>
        <w:spacing w:line="580" w:lineRule="exact"/>
        <w:ind w:firstLine="640" w:firstLineChars="200"/>
        <w:outlineLvl w:val="0"/>
        <w:rPr>
          <w:rFonts w:hint="eastAsia" w:ascii="仿宋_GB2312" w:hAnsi="Calibri" w:eastAsia="仿宋_GB2312"/>
          <w:sz w:val="32"/>
          <w:szCs w:val="32"/>
        </w:rPr>
      </w:pPr>
      <w:r>
        <w:rPr>
          <w:rFonts w:hint="eastAsia" w:ascii="仿宋_GB2312" w:eastAsia="仿宋_GB2312"/>
          <w:sz w:val="32"/>
          <w:szCs w:val="32"/>
        </w:rPr>
        <w:t>请参考《关于开展2025年度项目支出绩效自评工作的通知》（门财绩效[2026]72号）要求，将本部门撰写的《重点支出项目绩效自评报告》电子版汇总到1个文件夹中，作为部门决算草案的附件1，并随决算全部公开。</w:t>
      </w:r>
    </w:p>
    <w:p>
      <w:pPr>
        <w:spacing w:line="580" w:lineRule="exact"/>
        <w:ind w:firstLine="640"/>
        <w:rPr>
          <w:rFonts w:hint="eastAsia" w:ascii="楷体_GB2312" w:hAnsi="仿宋" w:eastAsia="楷体_GB2312"/>
          <w:b/>
          <w:sz w:val="32"/>
          <w:szCs w:val="32"/>
        </w:rPr>
      </w:pPr>
      <w:r>
        <w:rPr>
          <w:rFonts w:hint="eastAsia" w:ascii="楷体_GB2312" w:hAnsi="仿宋" w:eastAsia="楷体_GB2312"/>
          <w:b/>
          <w:sz w:val="32"/>
          <w:szCs w:val="32"/>
        </w:rPr>
        <w:t>（三）项目支出绩效自评表</w:t>
      </w:r>
    </w:p>
    <w:p>
      <w:pPr>
        <w:spacing w:line="580" w:lineRule="exact"/>
        <w:ind w:firstLine="640" w:firstLineChars="200"/>
        <w:outlineLvl w:val="0"/>
        <w:rPr>
          <w:rFonts w:hint="eastAsia" w:ascii="仿宋_GB2312" w:hAnsi="Calibri" w:eastAsia="仿宋_GB2312"/>
          <w:sz w:val="32"/>
          <w:szCs w:val="32"/>
        </w:rPr>
      </w:pPr>
      <w:r>
        <w:rPr>
          <w:rFonts w:hint="eastAsia" w:ascii="仿宋_GB2312" w:eastAsia="仿宋_GB2312"/>
          <w:sz w:val="32"/>
          <w:szCs w:val="32"/>
        </w:rPr>
        <w:t>请参考《关于开展2025年度项目支出绩效自评工作的通知》（门财绩效[2026]72号）</w:t>
      </w:r>
      <w:r>
        <w:rPr>
          <w:rFonts w:hint="eastAsia" w:ascii="仿宋_GB2312" w:eastAsia="仿宋_GB2312"/>
          <w:b/>
          <w:sz w:val="32"/>
          <w:szCs w:val="32"/>
        </w:rPr>
        <w:t>及决算公开培训要求</w:t>
      </w:r>
      <w:r>
        <w:rPr>
          <w:rFonts w:hint="eastAsia" w:ascii="仿宋_GB2312" w:eastAsia="仿宋_GB2312"/>
          <w:sz w:val="32"/>
          <w:szCs w:val="32"/>
        </w:rPr>
        <w:t>，将本部门本单位拟公开的《项目支出绩效自评表》电子版汇总到1个文件夹中，作为部门决算草案的附件2，并随决算全部公开。</w:t>
      </w:r>
    </w:p>
    <w:p>
      <w:pPr>
        <w:spacing w:line="580" w:lineRule="exact"/>
        <w:ind w:firstLine="640" w:firstLineChars="200"/>
        <w:outlineLvl w:val="0"/>
        <w:rPr>
          <w:rFonts w:hint="eastAsia" w:ascii="仿宋_GB2312" w:eastAsia="仿宋_GB2312"/>
          <w:b/>
          <w:sz w:val="32"/>
          <w:szCs w:val="32"/>
        </w:rPr>
      </w:pPr>
      <w:r>
        <w:rPr>
          <w:rFonts w:hint="eastAsia" w:ascii="仿宋_GB2312" w:eastAsia="仿宋_GB2312"/>
          <w:b/>
          <w:sz w:val="32"/>
          <w:szCs w:val="32"/>
        </w:rPr>
        <w:t>（注：一级预算部门“一、二”均公开；二级预算单位仅公开“二（三）”。）</w:t>
      </w:r>
    </w:p>
    <w:p>
      <w:pPr>
        <w:spacing w:line="580" w:lineRule="exact"/>
        <w:ind w:firstLine="800" w:firstLineChars="250"/>
        <w:rPr>
          <w:rFonts w:hint="eastAsia" w:ascii="仿宋_GB2312" w:eastAsia="仿宋_GB2312"/>
          <w:sz w:val="32"/>
          <w:szCs w:val="32"/>
        </w:rPr>
      </w:pPr>
      <w:r>
        <w:rPr>
          <w:rFonts w:hint="eastAsia" w:ascii="仿宋_GB2312" w:eastAsia="仿宋_GB2312"/>
          <w:sz w:val="32"/>
          <w:szCs w:val="32"/>
        </w:rPr>
        <w:t>附件：1.重点支出项目绩效自评报告</w:t>
      </w:r>
    </w:p>
    <w:p>
      <w:pPr>
        <w:spacing w:line="580" w:lineRule="exact"/>
        <w:ind w:firstLine="1760" w:firstLineChars="550"/>
        <w:rPr>
          <w:rFonts w:hint="eastAsia" w:ascii="仿宋_GB2312" w:eastAsia="仿宋_GB2312"/>
          <w:sz w:val="32"/>
          <w:szCs w:val="32"/>
        </w:rPr>
      </w:pPr>
      <w:r>
        <w:rPr>
          <w:rFonts w:hint="eastAsia" w:ascii="仿宋_GB2312" w:eastAsia="仿宋_GB2312"/>
          <w:sz w:val="32"/>
          <w:szCs w:val="32"/>
        </w:rPr>
        <w:t>2.项目支出绩效自评表</w:t>
      </w:r>
    </w:p>
    <w:sectPr>
      <w:footerReference r:id="rId4" w:type="default"/>
      <w:footerReference r:id="rId5" w:type="even"/>
      <w:pgSz w:w="11906" w:h="16838"/>
      <w:pgMar w:top="1134" w:right="1134" w:bottom="1134" w:left="1134" w:header="851" w:footer="992" w:gutter="0"/>
      <w:cols w:space="720"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2010609030101010101"/>
    <w:charset w:val="86"/>
    <w:family w:val="modern"/>
    <w:pitch w:val="default"/>
    <w:sig w:usb0="00000000" w:usb1="00000000" w:usb2="00000010" w:usb3="00000000" w:csb0="00040000" w:csb1="00000000"/>
  </w:font>
  <w:font w:name="Tahoma">
    <w:panose1 w:val="020B0604030504040204"/>
    <w:charset w:val="00"/>
    <w:family w:val="swiss"/>
    <w:pitch w:val="default"/>
    <w:sig w:usb0="E1002EFF" w:usb1="C000605B" w:usb2="00000029" w:usb3="00000000" w:csb0="200101FF" w:csb1="20280000"/>
  </w:font>
  <w:font w:name="仿宋">
    <w:panose1 w:val="02010609060101010101"/>
    <w:charset w:val="86"/>
    <w:family w:val="modern"/>
    <w:pitch w:val="default"/>
    <w:sig w:usb0="800002BF" w:usb1="38CF7CFA" w:usb2="00000016" w:usb3="00000000" w:csb0="00040001" w:csb1="00000000"/>
  </w:font>
  <w:font w:name="华文中宋">
    <w:altName w:val="宋体"/>
    <w:panose1 w:val="02010600040101010101"/>
    <w:charset w:val="86"/>
    <w:family w:val="auto"/>
    <w:pitch w:val="default"/>
    <w:sig w:usb0="00000000" w:usb1="00000000" w:usb2="00000000" w:usb3="00000000" w:csb0="0004009F" w:csb1="DFD70000"/>
  </w:font>
  <w:font w:name="楷体_GB2312">
    <w:altName w:val="楷体"/>
    <w:panose1 w:val="02010609030101010101"/>
    <w:charset w:val="86"/>
    <w:family w:val="modern"/>
    <w:pitch w:val="default"/>
    <w:sig w:usb0="00000000" w:usb1="00000000" w:usb2="00000010" w:usb3="00000000" w:csb0="00040000" w:csb1="00000000"/>
  </w:font>
  <w:font w:name="微软雅黑">
    <w:panose1 w:val="020B0503020204020204"/>
    <w:charset w:val="86"/>
    <w:family w:val="swiss"/>
    <w:pitch w:val="default"/>
    <w:sig w:usb0="80000287" w:usb1="2ACF3C50"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framePr w:wrap="around" w:vAnchor="text" w:hAnchor="margin" w:xAlign="center" w:y="1"/>
      <w:rPr>
        <w:rStyle w:val="13"/>
      </w:rPr>
    </w:pPr>
    <w:r>
      <w:fldChar w:fldCharType="begin"/>
    </w:r>
    <w:r>
      <w:rPr>
        <w:rStyle w:val="13"/>
      </w:rPr>
      <w:instrText xml:space="preserve">PAGE  </w:instrText>
    </w:r>
    <w:r>
      <w:fldChar w:fldCharType="separate"/>
    </w:r>
    <w:r>
      <w:rPr>
        <w:rStyle w:val="13"/>
      </w:rPr>
      <w:t>3</w:t>
    </w:r>
    <w:r>
      <w:fldChar w:fldCharType="end"/>
    </w:r>
  </w:p>
  <w:p>
    <w:pPr>
      <w:pStyle w:val="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framePr w:wrap="around" w:vAnchor="text" w:hAnchor="margin" w:xAlign="center" w:y="1"/>
      <w:rPr>
        <w:rStyle w:val="13"/>
      </w:rPr>
    </w:pPr>
    <w:r>
      <w:fldChar w:fldCharType="begin"/>
    </w:r>
    <w:r>
      <w:rPr>
        <w:rStyle w:val="13"/>
      </w:rPr>
      <w:instrText xml:space="preserve">PAGE  </w:instrText>
    </w:r>
    <w:r>
      <w:fldChar w:fldCharType="separate"/>
    </w:r>
    <w:r>
      <w:rPr>
        <w:rStyle w:val="13"/>
      </w:rPr>
      <w:t>16</w:t>
    </w:r>
    <w:r>
      <w:fldChar w:fldCharType="end"/>
    </w:r>
  </w:p>
  <w:p>
    <w:pPr>
      <w:pStyle w:val="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framePr w:wrap="around" w:vAnchor="text" w:hAnchor="margin" w:xAlign="center" w:y="1"/>
      <w:rPr>
        <w:rStyle w:val="13"/>
      </w:rPr>
    </w:pPr>
    <w:r>
      <w:fldChar w:fldCharType="begin"/>
    </w:r>
    <w:r>
      <w:rPr>
        <w:rStyle w:val="13"/>
      </w:rPr>
      <w:instrText xml:space="preserve">PAGE  </w:instrText>
    </w:r>
    <w:r>
      <w:fldChar w:fldCharType="separate"/>
    </w:r>
    <w:r>
      <w:rPr>
        <w:rStyle w:val="13"/>
      </w:rPr>
      <w:t>15</w:t>
    </w:r>
    <w:r>
      <w:fldChar w:fldCharType="end"/>
    </w:r>
  </w:p>
  <w:p>
    <w:pPr>
      <w:pStyle w:val="7"/>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1FD479F"/>
    <w:multiLevelType w:val="singleLevel"/>
    <w:tmpl w:val="61FD479F"/>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BhN2U3NWQ0MDAzMjJiMzI3ZDMyOWM3OGJkNzgzZTcifQ=="/>
  </w:docVars>
  <w:rsids>
    <w:rsidRoot w:val="00100246"/>
    <w:rsid w:val="00003B03"/>
    <w:rsid w:val="000040E6"/>
    <w:rsid w:val="00011D72"/>
    <w:rsid w:val="0002352D"/>
    <w:rsid w:val="00027CD5"/>
    <w:rsid w:val="00031B8E"/>
    <w:rsid w:val="00033EC1"/>
    <w:rsid w:val="00034224"/>
    <w:rsid w:val="00040275"/>
    <w:rsid w:val="0004719C"/>
    <w:rsid w:val="00047F6E"/>
    <w:rsid w:val="00051B00"/>
    <w:rsid w:val="000601B1"/>
    <w:rsid w:val="00063034"/>
    <w:rsid w:val="00066E19"/>
    <w:rsid w:val="0006752F"/>
    <w:rsid w:val="00071797"/>
    <w:rsid w:val="00071860"/>
    <w:rsid w:val="0007258E"/>
    <w:rsid w:val="00077A9E"/>
    <w:rsid w:val="00077F4A"/>
    <w:rsid w:val="00077FE5"/>
    <w:rsid w:val="00080447"/>
    <w:rsid w:val="00085663"/>
    <w:rsid w:val="00095948"/>
    <w:rsid w:val="00095C26"/>
    <w:rsid w:val="00096504"/>
    <w:rsid w:val="00096B86"/>
    <w:rsid w:val="000A1770"/>
    <w:rsid w:val="000A283C"/>
    <w:rsid w:val="000B15B7"/>
    <w:rsid w:val="000B70F1"/>
    <w:rsid w:val="000C4611"/>
    <w:rsid w:val="000D1B61"/>
    <w:rsid w:val="000D6854"/>
    <w:rsid w:val="000E0B26"/>
    <w:rsid w:val="000E3291"/>
    <w:rsid w:val="000F08FE"/>
    <w:rsid w:val="000F208B"/>
    <w:rsid w:val="000F2A48"/>
    <w:rsid w:val="000F49BE"/>
    <w:rsid w:val="00100246"/>
    <w:rsid w:val="0010682D"/>
    <w:rsid w:val="001073C6"/>
    <w:rsid w:val="00107DB5"/>
    <w:rsid w:val="00113613"/>
    <w:rsid w:val="0011483D"/>
    <w:rsid w:val="00115724"/>
    <w:rsid w:val="00130995"/>
    <w:rsid w:val="00131FF9"/>
    <w:rsid w:val="00132320"/>
    <w:rsid w:val="00135B6A"/>
    <w:rsid w:val="001369A7"/>
    <w:rsid w:val="001428C5"/>
    <w:rsid w:val="001503D8"/>
    <w:rsid w:val="00157540"/>
    <w:rsid w:val="0017111F"/>
    <w:rsid w:val="00173CF6"/>
    <w:rsid w:val="00180DAD"/>
    <w:rsid w:val="0018370E"/>
    <w:rsid w:val="001852E1"/>
    <w:rsid w:val="00191568"/>
    <w:rsid w:val="001A4277"/>
    <w:rsid w:val="001A7D2E"/>
    <w:rsid w:val="001B1DF9"/>
    <w:rsid w:val="001B1E93"/>
    <w:rsid w:val="001B375E"/>
    <w:rsid w:val="001B4A46"/>
    <w:rsid w:val="001B5E87"/>
    <w:rsid w:val="001B5E91"/>
    <w:rsid w:val="001B69BF"/>
    <w:rsid w:val="001B7988"/>
    <w:rsid w:val="001D78D9"/>
    <w:rsid w:val="001E0556"/>
    <w:rsid w:val="001E2355"/>
    <w:rsid w:val="001E2379"/>
    <w:rsid w:val="001E29A9"/>
    <w:rsid w:val="001F5857"/>
    <w:rsid w:val="00206EC3"/>
    <w:rsid w:val="0021047C"/>
    <w:rsid w:val="00211E4E"/>
    <w:rsid w:val="00213D1C"/>
    <w:rsid w:val="00214C3A"/>
    <w:rsid w:val="00217517"/>
    <w:rsid w:val="00222628"/>
    <w:rsid w:val="002253CB"/>
    <w:rsid w:val="002267A6"/>
    <w:rsid w:val="002326DE"/>
    <w:rsid w:val="00234314"/>
    <w:rsid w:val="00241724"/>
    <w:rsid w:val="0024390C"/>
    <w:rsid w:val="002441F4"/>
    <w:rsid w:val="00244204"/>
    <w:rsid w:val="002448A4"/>
    <w:rsid w:val="00245A0A"/>
    <w:rsid w:val="00246C42"/>
    <w:rsid w:val="002515CC"/>
    <w:rsid w:val="00253EC4"/>
    <w:rsid w:val="00254515"/>
    <w:rsid w:val="0026479D"/>
    <w:rsid w:val="002673C4"/>
    <w:rsid w:val="0027112B"/>
    <w:rsid w:val="00271C3F"/>
    <w:rsid w:val="00272460"/>
    <w:rsid w:val="00273070"/>
    <w:rsid w:val="0027394A"/>
    <w:rsid w:val="00274D50"/>
    <w:rsid w:val="002760D5"/>
    <w:rsid w:val="00276289"/>
    <w:rsid w:val="0028081D"/>
    <w:rsid w:val="0028458C"/>
    <w:rsid w:val="002911BD"/>
    <w:rsid w:val="00291C98"/>
    <w:rsid w:val="00294DE9"/>
    <w:rsid w:val="002A1488"/>
    <w:rsid w:val="002A4C2B"/>
    <w:rsid w:val="002B19D0"/>
    <w:rsid w:val="002B3682"/>
    <w:rsid w:val="002B5464"/>
    <w:rsid w:val="002C0443"/>
    <w:rsid w:val="002C12FB"/>
    <w:rsid w:val="002C24BC"/>
    <w:rsid w:val="002D03C6"/>
    <w:rsid w:val="002D0FDF"/>
    <w:rsid w:val="002D3955"/>
    <w:rsid w:val="002D68A9"/>
    <w:rsid w:val="002E06AE"/>
    <w:rsid w:val="002E4B75"/>
    <w:rsid w:val="002E68DD"/>
    <w:rsid w:val="002F17C2"/>
    <w:rsid w:val="002F32EE"/>
    <w:rsid w:val="002F4054"/>
    <w:rsid w:val="002F5574"/>
    <w:rsid w:val="00301D20"/>
    <w:rsid w:val="00302B19"/>
    <w:rsid w:val="00303428"/>
    <w:rsid w:val="003053C4"/>
    <w:rsid w:val="003058A3"/>
    <w:rsid w:val="00307204"/>
    <w:rsid w:val="00307DA5"/>
    <w:rsid w:val="0031169D"/>
    <w:rsid w:val="0031170D"/>
    <w:rsid w:val="00313E14"/>
    <w:rsid w:val="003167DD"/>
    <w:rsid w:val="00320C8B"/>
    <w:rsid w:val="00321BD8"/>
    <w:rsid w:val="00325687"/>
    <w:rsid w:val="00332C14"/>
    <w:rsid w:val="00335079"/>
    <w:rsid w:val="003352CE"/>
    <w:rsid w:val="00341D8E"/>
    <w:rsid w:val="003502B9"/>
    <w:rsid w:val="00351B8F"/>
    <w:rsid w:val="00353226"/>
    <w:rsid w:val="00353717"/>
    <w:rsid w:val="00354630"/>
    <w:rsid w:val="00365A24"/>
    <w:rsid w:val="003712DB"/>
    <w:rsid w:val="00373DDC"/>
    <w:rsid w:val="00382A86"/>
    <w:rsid w:val="00383BCC"/>
    <w:rsid w:val="00385243"/>
    <w:rsid w:val="003925D4"/>
    <w:rsid w:val="0039318C"/>
    <w:rsid w:val="00393366"/>
    <w:rsid w:val="003937DC"/>
    <w:rsid w:val="00393D75"/>
    <w:rsid w:val="003A2F2D"/>
    <w:rsid w:val="003A43AC"/>
    <w:rsid w:val="003A4EB6"/>
    <w:rsid w:val="003A7AE9"/>
    <w:rsid w:val="003A7BC5"/>
    <w:rsid w:val="003A7FF5"/>
    <w:rsid w:val="003B0352"/>
    <w:rsid w:val="003B4437"/>
    <w:rsid w:val="003B48C4"/>
    <w:rsid w:val="003B5E20"/>
    <w:rsid w:val="003B6DAD"/>
    <w:rsid w:val="003B735F"/>
    <w:rsid w:val="003C030C"/>
    <w:rsid w:val="003C55FC"/>
    <w:rsid w:val="003D0EC3"/>
    <w:rsid w:val="003D7274"/>
    <w:rsid w:val="003E4D82"/>
    <w:rsid w:val="003E5BC1"/>
    <w:rsid w:val="003F0D1B"/>
    <w:rsid w:val="003F1DD6"/>
    <w:rsid w:val="00401087"/>
    <w:rsid w:val="00402E26"/>
    <w:rsid w:val="00405701"/>
    <w:rsid w:val="004110BC"/>
    <w:rsid w:val="0041271F"/>
    <w:rsid w:val="0041688E"/>
    <w:rsid w:val="004170EF"/>
    <w:rsid w:val="0042093C"/>
    <w:rsid w:val="004233DD"/>
    <w:rsid w:val="00424405"/>
    <w:rsid w:val="00425B25"/>
    <w:rsid w:val="00425D24"/>
    <w:rsid w:val="00426A4D"/>
    <w:rsid w:val="00427687"/>
    <w:rsid w:val="00433231"/>
    <w:rsid w:val="004334CA"/>
    <w:rsid w:val="0043506A"/>
    <w:rsid w:val="00435830"/>
    <w:rsid w:val="0043619C"/>
    <w:rsid w:val="0044475D"/>
    <w:rsid w:val="00444D1E"/>
    <w:rsid w:val="0044571A"/>
    <w:rsid w:val="0044705D"/>
    <w:rsid w:val="0045090E"/>
    <w:rsid w:val="00453E36"/>
    <w:rsid w:val="00457286"/>
    <w:rsid w:val="00461FA5"/>
    <w:rsid w:val="00463566"/>
    <w:rsid w:val="00464182"/>
    <w:rsid w:val="00471C52"/>
    <w:rsid w:val="0047460C"/>
    <w:rsid w:val="00474FF2"/>
    <w:rsid w:val="00480098"/>
    <w:rsid w:val="00484A93"/>
    <w:rsid w:val="00485E12"/>
    <w:rsid w:val="004865DA"/>
    <w:rsid w:val="0048779C"/>
    <w:rsid w:val="00487AB7"/>
    <w:rsid w:val="00487ED0"/>
    <w:rsid w:val="00491D09"/>
    <w:rsid w:val="0049682C"/>
    <w:rsid w:val="004A168E"/>
    <w:rsid w:val="004A4EC7"/>
    <w:rsid w:val="004B0003"/>
    <w:rsid w:val="004C020A"/>
    <w:rsid w:val="004C03A3"/>
    <w:rsid w:val="004C44B8"/>
    <w:rsid w:val="004C7629"/>
    <w:rsid w:val="004D0D5D"/>
    <w:rsid w:val="004E27DD"/>
    <w:rsid w:val="004E3350"/>
    <w:rsid w:val="004E5292"/>
    <w:rsid w:val="004F2C5B"/>
    <w:rsid w:val="004F641B"/>
    <w:rsid w:val="004F71F3"/>
    <w:rsid w:val="005052FA"/>
    <w:rsid w:val="005069E1"/>
    <w:rsid w:val="00507E59"/>
    <w:rsid w:val="005122B5"/>
    <w:rsid w:val="0052381C"/>
    <w:rsid w:val="005346B3"/>
    <w:rsid w:val="0054051C"/>
    <w:rsid w:val="00546A84"/>
    <w:rsid w:val="00547BE2"/>
    <w:rsid w:val="0055353D"/>
    <w:rsid w:val="0056187C"/>
    <w:rsid w:val="00576B03"/>
    <w:rsid w:val="00581E1A"/>
    <w:rsid w:val="00591655"/>
    <w:rsid w:val="00591BEC"/>
    <w:rsid w:val="005940EA"/>
    <w:rsid w:val="00594448"/>
    <w:rsid w:val="005A1D6F"/>
    <w:rsid w:val="005A4D82"/>
    <w:rsid w:val="005A52A6"/>
    <w:rsid w:val="005B0DEC"/>
    <w:rsid w:val="005B368E"/>
    <w:rsid w:val="005B6E69"/>
    <w:rsid w:val="005C0015"/>
    <w:rsid w:val="005C1E82"/>
    <w:rsid w:val="005C2BCE"/>
    <w:rsid w:val="005C2CA5"/>
    <w:rsid w:val="005C7062"/>
    <w:rsid w:val="005C7788"/>
    <w:rsid w:val="005D10B9"/>
    <w:rsid w:val="005D18DA"/>
    <w:rsid w:val="005E00DC"/>
    <w:rsid w:val="005E3BBC"/>
    <w:rsid w:val="005E3EC6"/>
    <w:rsid w:val="005E4E07"/>
    <w:rsid w:val="005E4E46"/>
    <w:rsid w:val="005E5275"/>
    <w:rsid w:val="005E7DC8"/>
    <w:rsid w:val="005E7EC9"/>
    <w:rsid w:val="005F7087"/>
    <w:rsid w:val="00611BE4"/>
    <w:rsid w:val="0061219B"/>
    <w:rsid w:val="00621419"/>
    <w:rsid w:val="00626446"/>
    <w:rsid w:val="00626BE8"/>
    <w:rsid w:val="00631827"/>
    <w:rsid w:val="00632804"/>
    <w:rsid w:val="006376DA"/>
    <w:rsid w:val="006459DA"/>
    <w:rsid w:val="006502E8"/>
    <w:rsid w:val="00654A2B"/>
    <w:rsid w:val="0065675C"/>
    <w:rsid w:val="0065793F"/>
    <w:rsid w:val="0066263B"/>
    <w:rsid w:val="0066713A"/>
    <w:rsid w:val="0067195C"/>
    <w:rsid w:val="006724F7"/>
    <w:rsid w:val="0067511A"/>
    <w:rsid w:val="0067539B"/>
    <w:rsid w:val="00675543"/>
    <w:rsid w:val="00677396"/>
    <w:rsid w:val="00677AD9"/>
    <w:rsid w:val="00681970"/>
    <w:rsid w:val="00690641"/>
    <w:rsid w:val="00690D88"/>
    <w:rsid w:val="00691844"/>
    <w:rsid w:val="00693DDF"/>
    <w:rsid w:val="00696F9E"/>
    <w:rsid w:val="006A374A"/>
    <w:rsid w:val="006A505E"/>
    <w:rsid w:val="006A513E"/>
    <w:rsid w:val="006A5265"/>
    <w:rsid w:val="006B0CB9"/>
    <w:rsid w:val="006B2609"/>
    <w:rsid w:val="006B2750"/>
    <w:rsid w:val="006B3678"/>
    <w:rsid w:val="006B7390"/>
    <w:rsid w:val="006C0084"/>
    <w:rsid w:val="006C107D"/>
    <w:rsid w:val="006C3600"/>
    <w:rsid w:val="006C4534"/>
    <w:rsid w:val="006C5205"/>
    <w:rsid w:val="006C75F6"/>
    <w:rsid w:val="006D3F53"/>
    <w:rsid w:val="006D60AF"/>
    <w:rsid w:val="006E4722"/>
    <w:rsid w:val="00701651"/>
    <w:rsid w:val="007049BF"/>
    <w:rsid w:val="00704E79"/>
    <w:rsid w:val="00707A26"/>
    <w:rsid w:val="0071120F"/>
    <w:rsid w:val="00716380"/>
    <w:rsid w:val="00722165"/>
    <w:rsid w:val="00724B1C"/>
    <w:rsid w:val="007428F0"/>
    <w:rsid w:val="007512EF"/>
    <w:rsid w:val="007551AC"/>
    <w:rsid w:val="0076101C"/>
    <w:rsid w:val="00763D87"/>
    <w:rsid w:val="007670B2"/>
    <w:rsid w:val="00771795"/>
    <w:rsid w:val="00774925"/>
    <w:rsid w:val="0079279F"/>
    <w:rsid w:val="00793E69"/>
    <w:rsid w:val="007A063C"/>
    <w:rsid w:val="007A16B0"/>
    <w:rsid w:val="007A19EA"/>
    <w:rsid w:val="007A6092"/>
    <w:rsid w:val="007A60B7"/>
    <w:rsid w:val="007A64A6"/>
    <w:rsid w:val="007A6EE1"/>
    <w:rsid w:val="007A7C89"/>
    <w:rsid w:val="007B1487"/>
    <w:rsid w:val="007B2A43"/>
    <w:rsid w:val="007B326F"/>
    <w:rsid w:val="007B6A58"/>
    <w:rsid w:val="007B6C06"/>
    <w:rsid w:val="007B7B78"/>
    <w:rsid w:val="007C32B1"/>
    <w:rsid w:val="007C7A22"/>
    <w:rsid w:val="007C7C62"/>
    <w:rsid w:val="007D1076"/>
    <w:rsid w:val="007D12B7"/>
    <w:rsid w:val="007D2A49"/>
    <w:rsid w:val="007D5E38"/>
    <w:rsid w:val="007D7AC4"/>
    <w:rsid w:val="007E0340"/>
    <w:rsid w:val="007E1D4A"/>
    <w:rsid w:val="007E53C0"/>
    <w:rsid w:val="007E7703"/>
    <w:rsid w:val="007F4558"/>
    <w:rsid w:val="007F64DF"/>
    <w:rsid w:val="008050EF"/>
    <w:rsid w:val="0080652C"/>
    <w:rsid w:val="0080715F"/>
    <w:rsid w:val="008113D6"/>
    <w:rsid w:val="00812BA7"/>
    <w:rsid w:val="00813A87"/>
    <w:rsid w:val="00813F63"/>
    <w:rsid w:val="00815926"/>
    <w:rsid w:val="00815F57"/>
    <w:rsid w:val="0081760B"/>
    <w:rsid w:val="008218AC"/>
    <w:rsid w:val="00825359"/>
    <w:rsid w:val="00825E13"/>
    <w:rsid w:val="00826F07"/>
    <w:rsid w:val="008337CB"/>
    <w:rsid w:val="00834A3C"/>
    <w:rsid w:val="008360A0"/>
    <w:rsid w:val="00837658"/>
    <w:rsid w:val="00837CD4"/>
    <w:rsid w:val="00837F78"/>
    <w:rsid w:val="008400EE"/>
    <w:rsid w:val="00840791"/>
    <w:rsid w:val="00845576"/>
    <w:rsid w:val="00850708"/>
    <w:rsid w:val="00851024"/>
    <w:rsid w:val="008526D7"/>
    <w:rsid w:val="0086238C"/>
    <w:rsid w:val="008655DC"/>
    <w:rsid w:val="0086732D"/>
    <w:rsid w:val="00870183"/>
    <w:rsid w:val="00875726"/>
    <w:rsid w:val="00877F10"/>
    <w:rsid w:val="0088225D"/>
    <w:rsid w:val="00882F8D"/>
    <w:rsid w:val="00884FB0"/>
    <w:rsid w:val="008853A5"/>
    <w:rsid w:val="008944DA"/>
    <w:rsid w:val="00894D78"/>
    <w:rsid w:val="008A6A18"/>
    <w:rsid w:val="008B033F"/>
    <w:rsid w:val="008B4003"/>
    <w:rsid w:val="008B7443"/>
    <w:rsid w:val="008C179E"/>
    <w:rsid w:val="008C2379"/>
    <w:rsid w:val="008C4FF7"/>
    <w:rsid w:val="008C5C4C"/>
    <w:rsid w:val="008C7056"/>
    <w:rsid w:val="008C706D"/>
    <w:rsid w:val="008D3145"/>
    <w:rsid w:val="008E1A54"/>
    <w:rsid w:val="008E1F95"/>
    <w:rsid w:val="008E36B6"/>
    <w:rsid w:val="008E4267"/>
    <w:rsid w:val="008E4847"/>
    <w:rsid w:val="008E5FF1"/>
    <w:rsid w:val="008E63D2"/>
    <w:rsid w:val="008E6E14"/>
    <w:rsid w:val="008F1528"/>
    <w:rsid w:val="008F1AE5"/>
    <w:rsid w:val="008F55D9"/>
    <w:rsid w:val="009057DE"/>
    <w:rsid w:val="00905F97"/>
    <w:rsid w:val="00906FA3"/>
    <w:rsid w:val="0091239D"/>
    <w:rsid w:val="00912825"/>
    <w:rsid w:val="009129B8"/>
    <w:rsid w:val="00912B99"/>
    <w:rsid w:val="00912C78"/>
    <w:rsid w:val="00927892"/>
    <w:rsid w:val="009319B9"/>
    <w:rsid w:val="009351E9"/>
    <w:rsid w:val="00937862"/>
    <w:rsid w:val="00942279"/>
    <w:rsid w:val="009524EB"/>
    <w:rsid w:val="00962013"/>
    <w:rsid w:val="00963942"/>
    <w:rsid w:val="0096716C"/>
    <w:rsid w:val="009672B2"/>
    <w:rsid w:val="00971C66"/>
    <w:rsid w:val="00972363"/>
    <w:rsid w:val="0098419C"/>
    <w:rsid w:val="009843EF"/>
    <w:rsid w:val="009867F2"/>
    <w:rsid w:val="00991347"/>
    <w:rsid w:val="00996018"/>
    <w:rsid w:val="0099738E"/>
    <w:rsid w:val="009A493E"/>
    <w:rsid w:val="009A531F"/>
    <w:rsid w:val="009A6931"/>
    <w:rsid w:val="009B1F9A"/>
    <w:rsid w:val="009B1FA9"/>
    <w:rsid w:val="009B349F"/>
    <w:rsid w:val="009B4293"/>
    <w:rsid w:val="009B6715"/>
    <w:rsid w:val="009C7B74"/>
    <w:rsid w:val="009D0BE2"/>
    <w:rsid w:val="009D114E"/>
    <w:rsid w:val="009D210F"/>
    <w:rsid w:val="009D309C"/>
    <w:rsid w:val="009D37B1"/>
    <w:rsid w:val="009D4717"/>
    <w:rsid w:val="009D694D"/>
    <w:rsid w:val="009E264E"/>
    <w:rsid w:val="009F0C98"/>
    <w:rsid w:val="009F0F81"/>
    <w:rsid w:val="009F2543"/>
    <w:rsid w:val="009F256D"/>
    <w:rsid w:val="009F341E"/>
    <w:rsid w:val="009F57CE"/>
    <w:rsid w:val="00A117CA"/>
    <w:rsid w:val="00A12225"/>
    <w:rsid w:val="00A14C18"/>
    <w:rsid w:val="00A25898"/>
    <w:rsid w:val="00A3071D"/>
    <w:rsid w:val="00A3182E"/>
    <w:rsid w:val="00A31A89"/>
    <w:rsid w:val="00A32F06"/>
    <w:rsid w:val="00A34934"/>
    <w:rsid w:val="00A34EFE"/>
    <w:rsid w:val="00A36546"/>
    <w:rsid w:val="00A4069C"/>
    <w:rsid w:val="00A413B5"/>
    <w:rsid w:val="00A429CB"/>
    <w:rsid w:val="00A44E87"/>
    <w:rsid w:val="00A5063C"/>
    <w:rsid w:val="00A52749"/>
    <w:rsid w:val="00A5422E"/>
    <w:rsid w:val="00A56EC1"/>
    <w:rsid w:val="00A6350C"/>
    <w:rsid w:val="00A6370B"/>
    <w:rsid w:val="00A63A73"/>
    <w:rsid w:val="00A6655C"/>
    <w:rsid w:val="00A66CBB"/>
    <w:rsid w:val="00A6704E"/>
    <w:rsid w:val="00A67EA4"/>
    <w:rsid w:val="00A773FF"/>
    <w:rsid w:val="00A83AA1"/>
    <w:rsid w:val="00A906F4"/>
    <w:rsid w:val="00A9343A"/>
    <w:rsid w:val="00A9706C"/>
    <w:rsid w:val="00A97B34"/>
    <w:rsid w:val="00AA1B5C"/>
    <w:rsid w:val="00AA7A27"/>
    <w:rsid w:val="00AB3FB0"/>
    <w:rsid w:val="00AB465D"/>
    <w:rsid w:val="00AB713D"/>
    <w:rsid w:val="00AC114C"/>
    <w:rsid w:val="00AC1478"/>
    <w:rsid w:val="00AC6C2D"/>
    <w:rsid w:val="00AC6E17"/>
    <w:rsid w:val="00AD2FF3"/>
    <w:rsid w:val="00AD7764"/>
    <w:rsid w:val="00AD7FE2"/>
    <w:rsid w:val="00AE1284"/>
    <w:rsid w:val="00AE1B18"/>
    <w:rsid w:val="00AE7339"/>
    <w:rsid w:val="00AF1B0B"/>
    <w:rsid w:val="00AF242C"/>
    <w:rsid w:val="00AF3CC4"/>
    <w:rsid w:val="00B05903"/>
    <w:rsid w:val="00B12C7A"/>
    <w:rsid w:val="00B12E10"/>
    <w:rsid w:val="00B22BC3"/>
    <w:rsid w:val="00B25865"/>
    <w:rsid w:val="00B272B6"/>
    <w:rsid w:val="00B2771B"/>
    <w:rsid w:val="00B336E9"/>
    <w:rsid w:val="00B33AE5"/>
    <w:rsid w:val="00B35BE5"/>
    <w:rsid w:val="00B46965"/>
    <w:rsid w:val="00B54ED0"/>
    <w:rsid w:val="00B55D47"/>
    <w:rsid w:val="00B6204E"/>
    <w:rsid w:val="00B649EC"/>
    <w:rsid w:val="00B728DD"/>
    <w:rsid w:val="00B72D43"/>
    <w:rsid w:val="00B74121"/>
    <w:rsid w:val="00B80ABA"/>
    <w:rsid w:val="00B859FF"/>
    <w:rsid w:val="00B85C1B"/>
    <w:rsid w:val="00B85FF0"/>
    <w:rsid w:val="00B86150"/>
    <w:rsid w:val="00B878F9"/>
    <w:rsid w:val="00B9044A"/>
    <w:rsid w:val="00B960F3"/>
    <w:rsid w:val="00B96A31"/>
    <w:rsid w:val="00BA05E6"/>
    <w:rsid w:val="00BA51B0"/>
    <w:rsid w:val="00BA6319"/>
    <w:rsid w:val="00BC03B0"/>
    <w:rsid w:val="00BC06A3"/>
    <w:rsid w:val="00BC0CEA"/>
    <w:rsid w:val="00BC2220"/>
    <w:rsid w:val="00BC26B9"/>
    <w:rsid w:val="00BC26FA"/>
    <w:rsid w:val="00BC4E01"/>
    <w:rsid w:val="00BC73F6"/>
    <w:rsid w:val="00BD1177"/>
    <w:rsid w:val="00BD1374"/>
    <w:rsid w:val="00BD3531"/>
    <w:rsid w:val="00BD4E35"/>
    <w:rsid w:val="00BE34CA"/>
    <w:rsid w:val="00BF116A"/>
    <w:rsid w:val="00C0623C"/>
    <w:rsid w:val="00C06A07"/>
    <w:rsid w:val="00C132B6"/>
    <w:rsid w:val="00C21A6C"/>
    <w:rsid w:val="00C24A10"/>
    <w:rsid w:val="00C27003"/>
    <w:rsid w:val="00C27597"/>
    <w:rsid w:val="00C32BD4"/>
    <w:rsid w:val="00C33E48"/>
    <w:rsid w:val="00C3618B"/>
    <w:rsid w:val="00C403FB"/>
    <w:rsid w:val="00C4316E"/>
    <w:rsid w:val="00C441A2"/>
    <w:rsid w:val="00C5076B"/>
    <w:rsid w:val="00C512D4"/>
    <w:rsid w:val="00C51CF4"/>
    <w:rsid w:val="00C531E2"/>
    <w:rsid w:val="00C53204"/>
    <w:rsid w:val="00C57E34"/>
    <w:rsid w:val="00C64659"/>
    <w:rsid w:val="00C662E9"/>
    <w:rsid w:val="00C66C2D"/>
    <w:rsid w:val="00C7190B"/>
    <w:rsid w:val="00C76852"/>
    <w:rsid w:val="00C77210"/>
    <w:rsid w:val="00C777FA"/>
    <w:rsid w:val="00C77989"/>
    <w:rsid w:val="00C811F4"/>
    <w:rsid w:val="00C81E51"/>
    <w:rsid w:val="00C87B73"/>
    <w:rsid w:val="00C92444"/>
    <w:rsid w:val="00C92FBB"/>
    <w:rsid w:val="00C93327"/>
    <w:rsid w:val="00C97B4D"/>
    <w:rsid w:val="00CA5602"/>
    <w:rsid w:val="00CA5CA9"/>
    <w:rsid w:val="00CA78E2"/>
    <w:rsid w:val="00CB1BBE"/>
    <w:rsid w:val="00CB65DB"/>
    <w:rsid w:val="00CB6BD9"/>
    <w:rsid w:val="00CC293A"/>
    <w:rsid w:val="00CE19F6"/>
    <w:rsid w:val="00CE6B76"/>
    <w:rsid w:val="00CF366B"/>
    <w:rsid w:val="00CF5D9D"/>
    <w:rsid w:val="00CF606C"/>
    <w:rsid w:val="00CF7423"/>
    <w:rsid w:val="00D001F5"/>
    <w:rsid w:val="00D03E80"/>
    <w:rsid w:val="00D1505F"/>
    <w:rsid w:val="00D15B9F"/>
    <w:rsid w:val="00D15DD6"/>
    <w:rsid w:val="00D25548"/>
    <w:rsid w:val="00D2601F"/>
    <w:rsid w:val="00D27759"/>
    <w:rsid w:val="00D30028"/>
    <w:rsid w:val="00D325D3"/>
    <w:rsid w:val="00D408D6"/>
    <w:rsid w:val="00D511DD"/>
    <w:rsid w:val="00D55C2A"/>
    <w:rsid w:val="00D571C1"/>
    <w:rsid w:val="00D602F4"/>
    <w:rsid w:val="00D6457E"/>
    <w:rsid w:val="00D742E2"/>
    <w:rsid w:val="00D7580E"/>
    <w:rsid w:val="00D87DAF"/>
    <w:rsid w:val="00D9446D"/>
    <w:rsid w:val="00DA2994"/>
    <w:rsid w:val="00DB08E8"/>
    <w:rsid w:val="00DB0DED"/>
    <w:rsid w:val="00DB3073"/>
    <w:rsid w:val="00DB3BA9"/>
    <w:rsid w:val="00DB50FE"/>
    <w:rsid w:val="00DB5EDA"/>
    <w:rsid w:val="00DC2349"/>
    <w:rsid w:val="00DC3026"/>
    <w:rsid w:val="00DD1EDB"/>
    <w:rsid w:val="00DD57AA"/>
    <w:rsid w:val="00DE1578"/>
    <w:rsid w:val="00DE7F67"/>
    <w:rsid w:val="00DF0529"/>
    <w:rsid w:val="00DF09EF"/>
    <w:rsid w:val="00DF0D0F"/>
    <w:rsid w:val="00DF13D6"/>
    <w:rsid w:val="00DF27D6"/>
    <w:rsid w:val="00DF2BEA"/>
    <w:rsid w:val="00DF4488"/>
    <w:rsid w:val="00DF5B98"/>
    <w:rsid w:val="00DF6FA8"/>
    <w:rsid w:val="00DF701E"/>
    <w:rsid w:val="00DF7BE5"/>
    <w:rsid w:val="00E00D49"/>
    <w:rsid w:val="00E019A8"/>
    <w:rsid w:val="00E03A46"/>
    <w:rsid w:val="00E03C6D"/>
    <w:rsid w:val="00E0476F"/>
    <w:rsid w:val="00E04899"/>
    <w:rsid w:val="00E0796F"/>
    <w:rsid w:val="00E10948"/>
    <w:rsid w:val="00E24371"/>
    <w:rsid w:val="00E243AB"/>
    <w:rsid w:val="00E26641"/>
    <w:rsid w:val="00E2778F"/>
    <w:rsid w:val="00E278B0"/>
    <w:rsid w:val="00E33023"/>
    <w:rsid w:val="00E331F3"/>
    <w:rsid w:val="00E3498D"/>
    <w:rsid w:val="00E42425"/>
    <w:rsid w:val="00E43E55"/>
    <w:rsid w:val="00E4554E"/>
    <w:rsid w:val="00E46D22"/>
    <w:rsid w:val="00E4768F"/>
    <w:rsid w:val="00E53C0E"/>
    <w:rsid w:val="00E54F7E"/>
    <w:rsid w:val="00E560CE"/>
    <w:rsid w:val="00E5674E"/>
    <w:rsid w:val="00E63783"/>
    <w:rsid w:val="00E650E2"/>
    <w:rsid w:val="00E75CAD"/>
    <w:rsid w:val="00E76922"/>
    <w:rsid w:val="00E8595B"/>
    <w:rsid w:val="00E915EC"/>
    <w:rsid w:val="00EA11B1"/>
    <w:rsid w:val="00EA2224"/>
    <w:rsid w:val="00EA7194"/>
    <w:rsid w:val="00EB1329"/>
    <w:rsid w:val="00EB2987"/>
    <w:rsid w:val="00EB2D75"/>
    <w:rsid w:val="00EB34BE"/>
    <w:rsid w:val="00EB571A"/>
    <w:rsid w:val="00EC2804"/>
    <w:rsid w:val="00EC6117"/>
    <w:rsid w:val="00EC6138"/>
    <w:rsid w:val="00ED1DCF"/>
    <w:rsid w:val="00ED43C9"/>
    <w:rsid w:val="00EE2C60"/>
    <w:rsid w:val="00EE2E58"/>
    <w:rsid w:val="00EE487A"/>
    <w:rsid w:val="00EE734C"/>
    <w:rsid w:val="00EF6907"/>
    <w:rsid w:val="00EF6D91"/>
    <w:rsid w:val="00F01F54"/>
    <w:rsid w:val="00F04D4D"/>
    <w:rsid w:val="00F11DD8"/>
    <w:rsid w:val="00F12745"/>
    <w:rsid w:val="00F13766"/>
    <w:rsid w:val="00F20A77"/>
    <w:rsid w:val="00F22C60"/>
    <w:rsid w:val="00F231A4"/>
    <w:rsid w:val="00F23252"/>
    <w:rsid w:val="00F27B2A"/>
    <w:rsid w:val="00F31762"/>
    <w:rsid w:val="00F345D3"/>
    <w:rsid w:val="00F356ED"/>
    <w:rsid w:val="00F359B5"/>
    <w:rsid w:val="00F4144F"/>
    <w:rsid w:val="00F433F3"/>
    <w:rsid w:val="00F47F64"/>
    <w:rsid w:val="00F522D9"/>
    <w:rsid w:val="00F52F54"/>
    <w:rsid w:val="00F53584"/>
    <w:rsid w:val="00F61B24"/>
    <w:rsid w:val="00F62DE5"/>
    <w:rsid w:val="00F63F8A"/>
    <w:rsid w:val="00F6514E"/>
    <w:rsid w:val="00F703DC"/>
    <w:rsid w:val="00F71D06"/>
    <w:rsid w:val="00F73B46"/>
    <w:rsid w:val="00F73D01"/>
    <w:rsid w:val="00F7642B"/>
    <w:rsid w:val="00F76A43"/>
    <w:rsid w:val="00F80334"/>
    <w:rsid w:val="00F8139D"/>
    <w:rsid w:val="00F83DF9"/>
    <w:rsid w:val="00F85DA0"/>
    <w:rsid w:val="00F930AF"/>
    <w:rsid w:val="00F9352C"/>
    <w:rsid w:val="00F975B0"/>
    <w:rsid w:val="00FA15F1"/>
    <w:rsid w:val="00FA19F5"/>
    <w:rsid w:val="00FA4A69"/>
    <w:rsid w:val="00FA649A"/>
    <w:rsid w:val="00FB1248"/>
    <w:rsid w:val="00FB208D"/>
    <w:rsid w:val="00FB3CF4"/>
    <w:rsid w:val="00FB4A27"/>
    <w:rsid w:val="00FB4A49"/>
    <w:rsid w:val="00FB69B3"/>
    <w:rsid w:val="00FC6FBE"/>
    <w:rsid w:val="00FD1162"/>
    <w:rsid w:val="00FD2232"/>
    <w:rsid w:val="00FD4AE7"/>
    <w:rsid w:val="00FD65A9"/>
    <w:rsid w:val="00FD7508"/>
    <w:rsid w:val="00FE1E51"/>
    <w:rsid w:val="00FE2496"/>
    <w:rsid w:val="00FE6A2B"/>
    <w:rsid w:val="00FF0275"/>
    <w:rsid w:val="00FF07B3"/>
    <w:rsid w:val="00FF1E37"/>
    <w:rsid w:val="02F120AB"/>
    <w:rsid w:val="032B5196"/>
    <w:rsid w:val="04C3537C"/>
    <w:rsid w:val="079004AC"/>
    <w:rsid w:val="09F67135"/>
    <w:rsid w:val="0B475775"/>
    <w:rsid w:val="0BA148CA"/>
    <w:rsid w:val="0C1165C4"/>
    <w:rsid w:val="0D6D544B"/>
    <w:rsid w:val="0DD136FE"/>
    <w:rsid w:val="0F8E2C57"/>
    <w:rsid w:val="1059665E"/>
    <w:rsid w:val="10AC13BA"/>
    <w:rsid w:val="11574237"/>
    <w:rsid w:val="11980797"/>
    <w:rsid w:val="145A6C1B"/>
    <w:rsid w:val="14B73493"/>
    <w:rsid w:val="167A2FF9"/>
    <w:rsid w:val="17E05399"/>
    <w:rsid w:val="18581C69"/>
    <w:rsid w:val="186D28E5"/>
    <w:rsid w:val="1AEC0734"/>
    <w:rsid w:val="1C203C3A"/>
    <w:rsid w:val="1DEF20B0"/>
    <w:rsid w:val="1FF14C4E"/>
    <w:rsid w:val="214243FA"/>
    <w:rsid w:val="21AD613C"/>
    <w:rsid w:val="22467189"/>
    <w:rsid w:val="257A14F5"/>
    <w:rsid w:val="27196C26"/>
    <w:rsid w:val="29EF086F"/>
    <w:rsid w:val="2A014A0F"/>
    <w:rsid w:val="2B573843"/>
    <w:rsid w:val="2EFFE297"/>
    <w:rsid w:val="301437CA"/>
    <w:rsid w:val="32791381"/>
    <w:rsid w:val="349D1F0A"/>
    <w:rsid w:val="34DD0473"/>
    <w:rsid w:val="359C55B3"/>
    <w:rsid w:val="3C181CA7"/>
    <w:rsid w:val="3C684897"/>
    <w:rsid w:val="3FDC6277"/>
    <w:rsid w:val="41C6204F"/>
    <w:rsid w:val="433E495C"/>
    <w:rsid w:val="43640A12"/>
    <w:rsid w:val="489F2FD7"/>
    <w:rsid w:val="4AC27CB3"/>
    <w:rsid w:val="4B9C4C99"/>
    <w:rsid w:val="4BF72BEF"/>
    <w:rsid w:val="4FA90297"/>
    <w:rsid w:val="4FC41A43"/>
    <w:rsid w:val="507E144F"/>
    <w:rsid w:val="51DB3C59"/>
    <w:rsid w:val="550C0952"/>
    <w:rsid w:val="55762E42"/>
    <w:rsid w:val="57A7B272"/>
    <w:rsid w:val="58470068"/>
    <w:rsid w:val="58747CAC"/>
    <w:rsid w:val="5A1720F9"/>
    <w:rsid w:val="5B9C37C2"/>
    <w:rsid w:val="5BA7C654"/>
    <w:rsid w:val="60A54109"/>
    <w:rsid w:val="61D01CDF"/>
    <w:rsid w:val="62A7084D"/>
    <w:rsid w:val="64C0607C"/>
    <w:rsid w:val="65756C86"/>
    <w:rsid w:val="674D385B"/>
    <w:rsid w:val="676F09E1"/>
    <w:rsid w:val="677B43A4"/>
    <w:rsid w:val="71793A80"/>
    <w:rsid w:val="7357290B"/>
    <w:rsid w:val="798524E4"/>
    <w:rsid w:val="7A7F1C49"/>
    <w:rsid w:val="7B5B7AE6"/>
    <w:rsid w:val="7B7B6628"/>
    <w:rsid w:val="7BA7071E"/>
    <w:rsid w:val="7BDF6DA8"/>
    <w:rsid w:val="7BDF7589"/>
    <w:rsid w:val="7C7EDC1A"/>
    <w:rsid w:val="7CCED98D"/>
    <w:rsid w:val="7D08410F"/>
    <w:rsid w:val="7D2759BE"/>
    <w:rsid w:val="7DB96DED"/>
    <w:rsid w:val="7DD3AD81"/>
    <w:rsid w:val="7F7FE70F"/>
    <w:rsid w:val="7FFF772F"/>
    <w:rsid w:val="95F35EF6"/>
    <w:rsid w:val="9BFFD860"/>
    <w:rsid w:val="AC5F73DE"/>
    <w:rsid w:val="B5DDD2C8"/>
    <w:rsid w:val="B9DFABD9"/>
    <w:rsid w:val="BC0D83FC"/>
    <w:rsid w:val="BF3BDEFB"/>
    <w:rsid w:val="C75F6086"/>
    <w:rsid w:val="C7F7ED2D"/>
    <w:rsid w:val="CFAF854E"/>
    <w:rsid w:val="D8D7928E"/>
    <w:rsid w:val="D8FE3136"/>
    <w:rsid w:val="DDDE60B7"/>
    <w:rsid w:val="DE9F6A22"/>
    <w:rsid w:val="DF4FCE6A"/>
    <w:rsid w:val="E4FED278"/>
    <w:rsid w:val="EDAA365C"/>
    <w:rsid w:val="EDADFC12"/>
    <w:rsid w:val="F2FD229B"/>
    <w:rsid w:val="F7F709E9"/>
    <w:rsid w:val="F7FF3690"/>
    <w:rsid w:val="F9BD3900"/>
    <w:rsid w:val="FC8B9876"/>
    <w:rsid w:val="FEDFF218"/>
    <w:rsid w:val="FEDFFFF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uiPriority="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1"/>
    <w:next w:val="1"/>
    <w:qFormat/>
    <w:uiPriority w:val="0"/>
    <w:pPr>
      <w:keepNext/>
      <w:keepLines/>
      <w:spacing w:before="100" w:beforeAutospacing="1" w:after="100" w:afterAutospacing="1"/>
      <w:outlineLvl w:val="1"/>
    </w:pPr>
    <w:rPr>
      <w:rFonts w:ascii="Cambria" w:hAnsi="Cambria" w:eastAsia="黑体"/>
      <w:b/>
      <w:bCs/>
      <w:kern w:val="0"/>
      <w:sz w:val="36"/>
      <w:szCs w:val="32"/>
    </w:rPr>
  </w:style>
  <w:style w:type="character" w:default="1" w:styleId="11">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3">
    <w:name w:val="Normal Indent"/>
    <w:basedOn w:val="1"/>
    <w:qFormat/>
    <w:uiPriority w:val="0"/>
    <w:pPr>
      <w:ind w:firstLine="200" w:firstLineChars="200"/>
    </w:pPr>
  </w:style>
  <w:style w:type="paragraph" w:styleId="4">
    <w:name w:val="Body Text Indent"/>
    <w:basedOn w:val="1"/>
    <w:qFormat/>
    <w:uiPriority w:val="0"/>
    <w:pPr>
      <w:ind w:firstLine="645"/>
    </w:pPr>
    <w:rPr>
      <w:rFonts w:ascii="仿宋_GB2312" w:hAnsi="Calibri" w:eastAsia="仿宋_GB2312"/>
      <w:sz w:val="32"/>
      <w:szCs w:val="32"/>
    </w:rPr>
  </w:style>
  <w:style w:type="paragraph" w:styleId="5">
    <w:name w:val="Date"/>
    <w:basedOn w:val="1"/>
    <w:next w:val="1"/>
    <w:qFormat/>
    <w:uiPriority w:val="0"/>
    <w:pPr>
      <w:ind w:left="100" w:leftChars="2500"/>
    </w:pPr>
  </w:style>
  <w:style w:type="paragraph" w:styleId="6">
    <w:name w:val="Balloon Text"/>
    <w:basedOn w:val="1"/>
    <w:semiHidden/>
    <w:qFormat/>
    <w:uiPriority w:val="0"/>
    <w:rPr>
      <w:sz w:val="18"/>
      <w:szCs w:val="18"/>
    </w:rPr>
  </w:style>
  <w:style w:type="paragraph" w:styleId="7">
    <w:name w:val="footer"/>
    <w:basedOn w:val="1"/>
    <w:link w:val="14"/>
    <w:qFormat/>
    <w:uiPriority w:val="0"/>
    <w:pPr>
      <w:tabs>
        <w:tab w:val="center" w:pos="4153"/>
        <w:tab w:val="right" w:pos="8306"/>
      </w:tabs>
      <w:snapToGrid w:val="0"/>
      <w:jc w:val="left"/>
    </w:pPr>
    <w:rPr>
      <w:sz w:val="18"/>
      <w:szCs w:val="18"/>
    </w:rPr>
  </w:style>
  <w:style w:type="paragraph" w:styleId="8">
    <w:name w:val="header"/>
    <w:basedOn w:val="1"/>
    <w:link w:val="15"/>
    <w:qFormat/>
    <w:uiPriority w:val="0"/>
    <w:pPr>
      <w:pBdr>
        <w:bottom w:val="single" w:color="auto" w:sz="6" w:space="1"/>
      </w:pBdr>
      <w:tabs>
        <w:tab w:val="center" w:pos="4153"/>
        <w:tab w:val="right" w:pos="8306"/>
      </w:tabs>
      <w:snapToGrid w:val="0"/>
      <w:jc w:val="center"/>
    </w:pPr>
    <w:rPr>
      <w:rFonts w:ascii="Calibri" w:hAnsi="Calibri"/>
      <w:sz w:val="18"/>
      <w:szCs w:val="18"/>
    </w:rPr>
  </w:style>
  <w:style w:type="paragraph" w:styleId="9">
    <w:name w:val="Normal (Web)"/>
    <w:basedOn w:val="1"/>
    <w:unhideWhenUsed/>
    <w:qFormat/>
    <w:uiPriority w:val="0"/>
    <w:pPr>
      <w:spacing w:before="100" w:beforeAutospacing="1" w:after="100" w:afterAutospacing="1"/>
      <w:ind w:right="238"/>
      <w:jc w:val="left"/>
    </w:pPr>
    <w:rPr>
      <w:b/>
      <w:kern w:val="0"/>
      <w:sz w:val="24"/>
      <w:szCs w:val="20"/>
    </w:rPr>
  </w:style>
  <w:style w:type="character" w:styleId="12">
    <w:name w:val="Strong"/>
    <w:qFormat/>
    <w:uiPriority w:val="0"/>
    <w:rPr>
      <w:b/>
    </w:rPr>
  </w:style>
  <w:style w:type="character" w:styleId="13">
    <w:name w:val="page number"/>
    <w:qFormat/>
    <w:uiPriority w:val="0"/>
  </w:style>
  <w:style w:type="character" w:customStyle="1" w:styleId="14">
    <w:name w:val="页脚 Char"/>
    <w:link w:val="7"/>
    <w:qFormat/>
    <w:uiPriority w:val="0"/>
    <w:rPr>
      <w:rFonts w:eastAsia="宋体"/>
      <w:kern w:val="2"/>
      <w:sz w:val="18"/>
      <w:szCs w:val="18"/>
      <w:lang w:val="en-US" w:eastAsia="zh-CN" w:bidi="ar-SA"/>
    </w:rPr>
  </w:style>
  <w:style w:type="character" w:customStyle="1" w:styleId="15">
    <w:name w:val="页眉 Char"/>
    <w:link w:val="8"/>
    <w:qFormat/>
    <w:uiPriority w:val="0"/>
    <w:rPr>
      <w:rFonts w:ascii="Calibri" w:hAnsi="Calibri" w:eastAsia="宋体"/>
      <w:kern w:val="2"/>
      <w:sz w:val="18"/>
      <w:szCs w:val="18"/>
      <w:lang w:val="en-US" w:eastAsia="zh-CN" w:bidi="ar-SA"/>
    </w:rPr>
  </w:style>
  <w:style w:type="paragraph" w:customStyle="1" w:styleId="16">
    <w:name w:val="Char Char Char Char Char Char Char"/>
    <w:basedOn w:val="1"/>
    <w:qFormat/>
    <w:uiPriority w:val="0"/>
    <w:rPr>
      <w:rFonts w:ascii="Tahoma" w:hAnsi="Tahoma"/>
      <w:sz w:val="24"/>
      <w:szCs w:val="20"/>
    </w:rPr>
  </w:style>
  <w:style w:type="paragraph" w:customStyle="1" w:styleId="17">
    <w:name w:val="Char1 Char Char Char"/>
    <w:basedOn w:val="1"/>
    <w:qFormat/>
    <w:uiPriority w:val="0"/>
    <w:pPr>
      <w:widowControl/>
      <w:spacing w:after="160" w:line="240" w:lineRule="exact"/>
      <w:jc w:val="left"/>
    </w:pPr>
    <w:rPr>
      <w:szCs w:val="20"/>
    </w:rPr>
  </w:style>
  <w:style w:type="paragraph" w:customStyle="1" w:styleId="18">
    <w:name w:val="Char"/>
    <w:basedOn w:val="1"/>
    <w:qFormat/>
    <w:uiPriority w:val="0"/>
    <w:rPr>
      <w:rFonts w:ascii="Tahoma" w:hAnsi="Tahoma"/>
      <w:sz w:val="24"/>
      <w:szCs w:val="20"/>
    </w:rPr>
  </w:style>
  <w:style w:type="paragraph" w:customStyle="1" w:styleId="19">
    <w:name w:val="Char Char3 Char Char"/>
    <w:basedOn w:val="1"/>
    <w:qFormat/>
    <w:uiPriority w:val="0"/>
    <w:rPr>
      <w:szCs w:val="21"/>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hart" Target="charts/chart2.xml"/><Relationship Id="rId7" Type="http://schemas.openxmlformats.org/officeDocument/2006/relationships/chart" Target="charts/chart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1" Type="http://schemas.openxmlformats.org/officeDocument/2006/relationships/package" Target="../embeddings/Workbook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Workbook2.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Sheet1!$B$1</c:f>
              <c:strCache>
                <c:ptCount val="1"/>
                <c:pt idx="0">
                  <c:v>收入</c:v>
                </c:pt>
              </c:strCache>
            </c:strRef>
          </c:tx>
          <c:explosion val="0"/>
          <c:dPt>
            <c:idx val="0"/>
            <c:bubble3D val="0"/>
          </c:dPt>
          <c:dPt>
            <c:idx val="1"/>
            <c:bubble3D val="0"/>
          </c:dPt>
          <c:dPt>
            <c:idx val="2"/>
            <c:bubble3D val="0"/>
          </c:dPt>
          <c:dPt>
            <c:idx val="3"/>
            <c:bubble3D val="0"/>
          </c:dPt>
          <c:dPt>
            <c:idx val="4"/>
            <c:bubble3D val="0"/>
          </c:dPt>
          <c:dPt>
            <c:idx val="5"/>
            <c:bubble3D val="0"/>
          </c:dPt>
          <c:dLbls>
            <c:dLbl>
              <c:idx val="0"/>
              <c:layout/>
              <c:tx>
                <c:rich>
                  <a:bodyPr rot="0" spcFirstLastPara="0" vertOverflow="ellipsis" vert="horz" wrap="square" lIns="38100" tIns="19050" rIns="38100" bIns="19050" anchor="ctr" anchorCtr="1"/>
                  <a:lstStyle/>
                  <a:p>
                    <a:pPr defTabSz="914400">
                      <a:defRPr lang="zh-CN" sz="1000" b="0" i="0" u="none" strike="noStrike" kern="1200" baseline="0">
                        <a:solidFill>
                          <a:schemeClr val="tx1"/>
                        </a:solidFill>
                        <a:latin typeface="+mn-lt"/>
                        <a:ea typeface="+mn-ea"/>
                        <a:cs typeface="+mn-cs"/>
                      </a:defRPr>
                    </a:pPr>
                    <a:r>
                      <a:t>100.0%</a:t>
                    </a:r>
                  </a:p>
                </c:rich>
              </c:tx>
              <c:dLblPos val="bestFit"/>
              <c:showLegendKey val="0"/>
              <c:showVal val="0"/>
              <c:showCatName val="0"/>
              <c:showSerName val="0"/>
              <c:showPercent val="1"/>
              <c:showBubbleSize val="0"/>
              <c:extLst>
                <c:ext xmlns:c15="http://schemas.microsoft.com/office/drawing/2012/chart" uri="{CE6537A1-D6FC-4f65-9D91-7224C49458BB}"/>
              </c:extLst>
            </c:dLbl>
            <c:numFmt formatCode="0.0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bestFit"/>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ext>
            </c:extLst>
          </c:dLbls>
          <c:cat>
            <c:strRef>
              <c:f>Sheet1!$A$2:$A$7</c:f>
              <c:strCache>
                <c:ptCount val="6"/>
                <c:pt idx="0">
                  <c:v>财政拨款收入</c:v>
                </c:pt>
                <c:pt idx="1">
                  <c:v>上级补助收入</c:v>
                </c:pt>
                <c:pt idx="2">
                  <c:v>事业收入</c:v>
                </c:pt>
                <c:pt idx="3">
                  <c:v>经营收入</c:v>
                </c:pt>
                <c:pt idx="4">
                  <c:v>附属单位上缴</c:v>
                </c:pt>
                <c:pt idx="5">
                  <c:v>其他收入</c:v>
                </c:pt>
              </c:strCache>
            </c:strRef>
          </c:cat>
          <c:val>
            <c:numRef>
              <c:f>Sheet1!$B$2:$B$7</c:f>
              <c:numCache>
                <c:formatCode>General</c:formatCode>
                <c:ptCount val="6"/>
                <c:pt idx="0">
                  <c:v>21996.52</c:v>
                </c:pt>
                <c:pt idx="1">
                  <c:v>0</c:v>
                </c:pt>
                <c:pt idx="2">
                  <c:v>0</c:v>
                </c:pt>
                <c:pt idx="3">
                  <c:v>0</c:v>
                </c:pt>
                <c:pt idx="4">
                  <c:v>0</c:v>
                </c:pt>
                <c:pt idx="5">
                  <c:v>0</c:v>
                </c:pt>
              </c:numCache>
            </c:numRef>
          </c:val>
        </c:ser>
        <c:dLbls>
          <c:showLegendKey val="0"/>
          <c:showVal val="1"/>
          <c:showCatName val="0"/>
          <c:showSerName val="0"/>
          <c:showPercent val="0"/>
          <c:showBubbleSize val="0"/>
          <c:showLeaderLines val="1"/>
        </c:dLbls>
        <c:firstSliceAng val="0"/>
      </c:pieChart>
    </c:plotArea>
    <c:legend>
      <c:legendPos val="r"/>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Sheet0!$B$1</c:f>
              <c:strCache>
                <c:ptCount val="1"/>
                <c:pt idx="0">
                  <c:v>支出</c:v>
                </c:pt>
              </c:strCache>
            </c:strRef>
          </c:tx>
          <c:explosion val="0"/>
          <c:dPt>
            <c:idx val="0"/>
            <c:bubble3D val="0"/>
            <c:spPr>
              <a:solidFill>
                <a:srgbClr val="4F81BD"/>
              </a:solidFill>
              <a:ln w="19050">
                <a:solidFill>
                  <a:srgbClr val="FFFFFF"/>
                </a:solidFill>
              </a:ln>
              <a:effectLst/>
            </c:spPr>
          </c:dPt>
          <c:dPt>
            <c:idx val="1"/>
            <c:bubble3D val="0"/>
            <c:spPr>
              <a:solidFill>
                <a:srgbClr val="C0504D"/>
              </a:solidFill>
              <a:ln w="19050">
                <a:solidFill>
                  <a:srgbClr val="FFFFFF"/>
                </a:solidFill>
              </a:ln>
              <a:effectLst/>
            </c:spPr>
          </c:dPt>
          <c:dPt>
            <c:idx val="2"/>
            <c:bubble3D val="0"/>
            <c:spPr>
              <a:solidFill>
                <a:srgbClr val="9BBB59"/>
              </a:solidFill>
              <a:ln w="19050">
                <a:solidFill>
                  <a:srgbClr val="FFFFFF"/>
                </a:solidFill>
              </a:ln>
              <a:effectLst/>
            </c:spPr>
          </c:dPt>
          <c:dPt>
            <c:idx val="3"/>
            <c:bubble3D val="0"/>
            <c:spPr>
              <a:solidFill>
                <a:srgbClr val="8064A2"/>
              </a:solidFill>
              <a:ln w="19050">
                <a:solidFill>
                  <a:srgbClr val="FFFFFF"/>
                </a:solidFill>
              </a:ln>
              <a:effectLst/>
            </c:spPr>
          </c:dPt>
          <c:dPt>
            <c:idx val="4"/>
            <c:bubble3D val="0"/>
            <c:spPr>
              <a:solidFill>
                <a:srgbClr val="4BACC6"/>
              </a:solidFill>
              <a:ln w="19050">
                <a:solidFill>
                  <a:srgbClr val="FFFFFF"/>
                </a:solidFill>
              </a:ln>
              <a:effectLst/>
            </c:spPr>
          </c:dPt>
          <c:dLbls>
            <c:dLbl>
              <c:idx val="0"/>
              <c:layout/>
              <c:tx>
                <c:rich>
                  <a:bodyPr rot="0" spcFirstLastPara="0" vertOverflow="ellipsis" vert="horz" wrap="square" lIns="38100" tIns="19050" rIns="38100" bIns="19050" anchor="ctr" anchorCtr="1"/>
                  <a:lstStyle/>
                  <a:p>
                    <a:pPr defTabSz="914400">
                      <a:defRPr lang="zh-CN" sz="900" b="0" i="0" u="none" strike="noStrike" kern="1200" baseline="0">
                        <a:solidFill>
                          <a:schemeClr val="tx1"/>
                        </a:solidFill>
                        <a:latin typeface="+mn-lt"/>
                        <a:ea typeface="+mn-ea"/>
                        <a:cs typeface="+mn-cs"/>
                      </a:defRPr>
                    </a:pPr>
                    <a:r>
                      <a:t>25.</a:t>
                    </a:r>
                    <a:r>
                      <a:rPr lang="en-US" altLang="zh-CN"/>
                      <a:t>8</a:t>
                    </a:r>
                    <a:r>
                      <a:t>%</a:t>
                    </a:r>
                  </a:p>
                </c:rich>
              </c:tx>
              <c:dLblPos val="bestFit"/>
              <c:showLegendKey val="0"/>
              <c:showVal val="0"/>
              <c:showCatName val="0"/>
              <c:showSerName val="0"/>
              <c:showPercent val="1"/>
              <c:showBubbleSize val="0"/>
              <c:extLst>
                <c:ext xmlns:c15="http://schemas.microsoft.com/office/drawing/2012/chart" uri="{CE6537A1-D6FC-4f65-9D91-7224C49458BB}"/>
              </c:extLst>
            </c:dLbl>
            <c:dLbl>
              <c:idx val="1"/>
              <c:layout/>
              <c:tx>
                <c:rich>
                  <a:bodyPr rot="0" spcFirstLastPara="0" vertOverflow="ellipsis" vert="horz" wrap="square" lIns="38100" tIns="19050" rIns="38100" bIns="19050" anchor="ctr" anchorCtr="1"/>
                  <a:lstStyle/>
                  <a:p>
                    <a:pPr defTabSz="914400">
                      <a:defRPr lang="zh-CN" sz="900" b="0" i="0" u="none" strike="noStrike" kern="1200" baseline="0">
                        <a:solidFill>
                          <a:schemeClr val="tx1"/>
                        </a:solidFill>
                        <a:latin typeface="+mn-lt"/>
                        <a:ea typeface="+mn-ea"/>
                        <a:cs typeface="+mn-cs"/>
                      </a:defRPr>
                    </a:pPr>
                    <a:r>
                      <a:t>74.2%</a:t>
                    </a:r>
                  </a:p>
                </c:rich>
              </c:tx>
              <c:dLblPos val="bestFit"/>
              <c:showLegendKey val="0"/>
              <c:showVal val="0"/>
              <c:showCatName val="0"/>
              <c:showSerName val="0"/>
              <c:showPercent val="1"/>
              <c:showBubbleSize val="0"/>
              <c:extLst>
                <c:ext xmlns:c15="http://schemas.microsoft.com/office/drawing/2012/chart" uri="{CE6537A1-D6FC-4f65-9D91-7224C49458BB}"/>
              </c:extLst>
            </c:dLbl>
            <c:dLbl>
              <c:idx val="2"/>
              <c:layout>
                <c:manualLayout>
                  <c:x val="-0.03900372940115"/>
                  <c:y val="0.0328271436107878"/>
                </c:manualLayout>
              </c:layout>
              <c:dLblPos val="bestFit"/>
              <c:showLegendKey val="0"/>
              <c:showVal val="0"/>
              <c:showCatName val="0"/>
              <c:showSerName val="0"/>
              <c:showPercent val="1"/>
              <c:showBubbleSize val="0"/>
              <c:extLst>
                <c:ext xmlns:c15="http://schemas.microsoft.com/office/drawing/2012/chart" uri="{CE6537A1-D6FC-4f65-9D91-7224C49458BB}">
                  <c15:layout/>
                </c:ext>
              </c:extLst>
            </c:dLbl>
            <c:dLbl>
              <c:idx val="4"/>
              <c:layout>
                <c:manualLayout>
                  <c:x val="0.0389887693586102"/>
                  <c:y val="0.0105112295100623"/>
                </c:manualLayout>
              </c:layout>
              <c:dLblPos val="bestFit"/>
              <c:showLegendKey val="0"/>
              <c:showVal val="0"/>
              <c:showCatName val="0"/>
              <c:showSerName val="0"/>
              <c:showPercent val="1"/>
              <c:showBubbleSize val="0"/>
              <c:extLst>
                <c:ext xmlns:c15="http://schemas.microsoft.com/office/drawing/2012/chart" uri="{CE6537A1-D6FC-4f65-9D91-7224C49458BB}">
                  <c15:layout/>
                </c:ext>
              </c:extLst>
            </c:dLbl>
            <c:numFmt formatCode="0.00%" sourceLinked="0"/>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solidFill>
                    <a:latin typeface="+mn-lt"/>
                    <a:ea typeface="+mn-ea"/>
                    <a:cs typeface="+mn-cs"/>
                  </a:defRPr>
                </a:pPr>
              </a:p>
            </c:txPr>
            <c:dLblPos val="bestFit"/>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rgbClr val="A6A6A6">
                          <a:lumMod val="35000"/>
                          <a:lumOff val="65000"/>
                        </a:srgbClr>
                      </a:solidFill>
                      <a:prstDash val="solid"/>
                      <a:round/>
                    </a:ln>
                    <a:effectLst/>
                  </c:spPr>
                </c15:leaderLines>
              </c:ext>
            </c:extLst>
          </c:dLbls>
          <c:cat>
            <c:strRef>
              <c:f>Sheet0!$A$2:$A$6</c:f>
              <c:strCache>
                <c:ptCount val="5"/>
                <c:pt idx="0">
                  <c:v>基本支出</c:v>
                </c:pt>
                <c:pt idx="1">
                  <c:v>项目支出</c:v>
                </c:pt>
                <c:pt idx="2">
                  <c:v>上缴上级支出</c:v>
                </c:pt>
                <c:pt idx="3">
                  <c:v>经营支出</c:v>
                </c:pt>
                <c:pt idx="4">
                  <c:v>对附属单位补助支出</c:v>
                </c:pt>
              </c:strCache>
            </c:strRef>
          </c:cat>
          <c:val>
            <c:numRef>
              <c:f>Sheet0!$B$2:$B$6</c:f>
              <c:numCache>
                <c:formatCode>General</c:formatCode>
                <c:ptCount val="5"/>
                <c:pt idx="0">
                  <c:v>5667.33</c:v>
                </c:pt>
                <c:pt idx="1">
                  <c:v>16329.19</c:v>
                </c:pt>
                <c:pt idx="2">
                  <c:v>0</c:v>
                </c:pt>
                <c:pt idx="3">
                  <c:v>0</c:v>
                </c:pt>
                <c:pt idx="4">
                  <c:v>0</c:v>
                </c:pt>
              </c:numCache>
            </c:numRef>
          </c:val>
        </c:ser>
        <c:dLbls>
          <c:showLegendKey val="0"/>
          <c:showVal val="0"/>
          <c:showCatName val="0"/>
          <c:showSerName val="0"/>
          <c:showPercent val="1"/>
          <c:showBubbleSize val="0"/>
          <c:showLeaderLines val="1"/>
        </c:dLbls>
        <c:firstSliceAng val="0"/>
      </c:pieChart>
      <c:spPr>
        <a:noFill/>
        <a:ln>
          <a:noFill/>
        </a:ln>
        <a:effectLst/>
      </c:spPr>
    </c:plotArea>
    <c:legend>
      <c:legendPos val="b"/>
      <c:legendEntry>
        <c:idx val="0"/>
        <c:txPr>
          <a:bodyPr rot="0" spcFirstLastPara="0" vertOverflow="ellipsis" vert="horz" wrap="square" anchor="ctr" anchorCtr="1"/>
          <a:lstStyle/>
          <a:p>
            <a:pPr>
              <a:defRPr lang="zh-CN" sz="900" b="0" i="0" u="none" strike="noStrike" kern="1200" baseline="0">
                <a:solidFill>
                  <a:schemeClr val="tx1"/>
                </a:solidFill>
                <a:latin typeface="+mn-lt"/>
                <a:ea typeface="+mn-ea"/>
                <a:cs typeface="+mn-cs"/>
              </a:defRPr>
            </a:pPr>
          </a:p>
        </c:txPr>
      </c:legendEntry>
      <c:legendEntry>
        <c:idx val="1"/>
        <c:txPr>
          <a:bodyPr rot="0" spcFirstLastPara="0" vertOverflow="ellipsis" vert="horz" wrap="square" anchor="ctr" anchorCtr="1"/>
          <a:lstStyle/>
          <a:p>
            <a:pPr>
              <a:defRPr lang="zh-CN" sz="900" b="0" i="0" u="none" strike="noStrike" kern="1200" baseline="0">
                <a:solidFill>
                  <a:schemeClr val="tx1"/>
                </a:solidFill>
                <a:latin typeface="+mn-lt"/>
                <a:ea typeface="+mn-ea"/>
                <a:cs typeface="+mn-cs"/>
              </a:defRPr>
            </a:pPr>
          </a:p>
        </c:txPr>
      </c:legendEntry>
      <c:legendEntry>
        <c:idx val="2"/>
        <c:txPr>
          <a:bodyPr rot="0" spcFirstLastPara="0" vertOverflow="ellipsis" vert="horz" wrap="square" anchor="ctr" anchorCtr="1"/>
          <a:lstStyle/>
          <a:p>
            <a:pPr>
              <a:defRPr lang="zh-CN" sz="900" b="0" i="0" u="none" strike="noStrike" kern="1200" baseline="0">
                <a:solidFill>
                  <a:schemeClr val="tx1"/>
                </a:solidFill>
                <a:latin typeface="+mn-lt"/>
                <a:ea typeface="+mn-ea"/>
                <a:cs typeface="+mn-cs"/>
              </a:defRPr>
            </a:pPr>
          </a:p>
        </c:txPr>
      </c:legendEntry>
      <c:legendEntry>
        <c:idx val="3"/>
        <c:txPr>
          <a:bodyPr rot="0" spcFirstLastPara="0" vertOverflow="ellipsis" vert="horz" wrap="square" anchor="ctr" anchorCtr="1"/>
          <a:lstStyle/>
          <a:p>
            <a:pPr>
              <a:defRPr lang="zh-CN" sz="900" b="0" i="0" u="none" strike="noStrike" kern="1200" baseline="0">
                <a:solidFill>
                  <a:schemeClr val="tx1"/>
                </a:solidFill>
                <a:latin typeface="+mn-lt"/>
                <a:ea typeface="+mn-ea"/>
                <a:cs typeface="+mn-cs"/>
              </a:defRPr>
            </a:pPr>
          </a:p>
        </c:txPr>
      </c:legendEntry>
      <c:legendEntry>
        <c:idx val="4"/>
        <c:txPr>
          <a:bodyPr rot="0" spcFirstLastPara="0" vertOverflow="ellipsis" vert="horz" wrap="square" anchor="ctr" anchorCtr="1"/>
          <a:lstStyle/>
          <a:p>
            <a:pPr>
              <a:defRPr lang="zh-CN" sz="900" b="0" i="0" u="none" strike="noStrike" kern="1200" baseline="0">
                <a:solidFill>
                  <a:schemeClr val="tx1"/>
                </a:solidFill>
                <a:latin typeface="+mn-lt"/>
                <a:ea typeface="+mn-ea"/>
                <a:cs typeface="+mn-cs"/>
              </a:defRPr>
            </a:pPr>
          </a:p>
        </c:txPr>
      </c:legendEntry>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solidFill>
              <a:latin typeface="+mn-lt"/>
              <a:ea typeface="+mn-ea"/>
              <a:cs typeface="+mn-cs"/>
            </a:defRPr>
          </a:pPr>
        </a:p>
      </c:txPr>
    </c:legend>
    <c:plotVisOnly val="1"/>
    <c:dispBlanksAs val="gap"/>
    <c:showDLblsOverMax val="0"/>
  </c:chart>
  <c:spPr>
    <a:ln w="9525" cap="flat" cmpd="sng" algn="ctr">
      <a:solidFill>
        <a:srgbClr val="D9D9D9">
          <a:lumMod val="15000"/>
          <a:lumOff val="85000"/>
        </a:srgbClr>
      </a:solidFill>
      <a:prstDash val="solid"/>
      <a:round/>
    </a:ln>
    <a:effectLst/>
  </c:spPr>
  <c:txPr>
    <a:bodyPr/>
    <a:lstStyle/>
    <a:p>
      <a:pPr>
        <a:defRPr lang="zh-CN"/>
      </a:pPr>
    </a:p>
  </c:txPr>
  <c:externalData r:id="rId1">
    <c:autoUpdate val="0"/>
  </c:externalData>
</c:chartSpace>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16</Pages>
  <Words>3958</Words>
  <Characters>6108</Characters>
  <Lines>47</Lines>
  <Paragraphs>13</Paragraphs>
  <TotalTime>36</TotalTime>
  <ScaleCrop>false</ScaleCrop>
  <LinksUpToDate>false</LinksUpToDate>
  <CharactersWithSpaces>6191</CharactersWithSpaces>
  <Application>WPS Office_12.1.0.15990_F1E327BC-269C-435d-A152-05C5408002CA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2017-07-11T15:16:00Z</dcterms:created>
  <dc:creator>常程</dc:creator>
  <cp:lastModifiedBy>THTF</cp:lastModifiedBy>
  <cp:lastPrinted>2026-08-19T07:11:34Z</cp:lastPrinted>
  <dcterms:modified xsi:type="dcterms:W3CDTF">2026-08-19T07:11:42Z</dcterms:modified>
  <dc:title>北京市财政局关于做好向市人大常委会报送2015年度市级部门决算（草案）</dc:title>
  <cp:revision>24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2052-12.1.0.15990</vt:lpwstr>
  </property>
  <property fmtid="{D5CDD505-2E9C-101B-9397-08002B2CF9AE}" pid="3" name="ICV">
    <vt:lpwstr>435078ACFECC4A5A8A519EF4C3681114_13</vt:lpwstr>
  </property>
  <property fmtid="{D5CDD505-2E9C-101B-9397-08002B2CF9AE}" pid="4" name="KSOTemplateDocerSaveRecord">
    <vt:lpwstr>eyJoZGlkIjoiYjNlN2I2OGQxOGI1NmIxMWI3ZTg2MzgyOGIwNzE1YjAiLCJ1c2VySWQiOiI2NzgwOTI3MjgifQ==</vt:lpwstr>
  </property>
</Properties>
</file>