
<file path=[Content_Types].xml><?xml version="1.0" encoding="utf-8"?>
<Types xmlns="http://schemas.openxmlformats.org/package/2006/content-types">
  <Default Extension="xml" ContentType="application/xml"/>
  <Default Extension="xlsx" ContentType="application/vnd.openxmlformats-officedocument.spreadsheetml.sheet"/>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harts/chart1.xml" ContentType="application/vnd.openxmlformats-officedocument.drawingml.chart+xml"/>
  <Override PartName="/word/charts/chart2.xml" ContentType="application/vnd.openxmlformats-officedocument.drawingml.chart+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F5836C6">
      <w:pPr>
        <w:jc w:val="center"/>
        <w:rPr>
          <w:rFonts w:ascii="仿宋_GB2312" w:eastAsia="仿宋_GB2312"/>
          <w:b/>
          <w:sz w:val="32"/>
          <w:szCs w:val="32"/>
        </w:rPr>
      </w:pPr>
    </w:p>
    <w:p w14:paraId="54A1F3D8">
      <w:pPr>
        <w:jc w:val="center"/>
        <w:rPr>
          <w:rFonts w:ascii="黑体" w:eastAsia="黑体"/>
          <w:sz w:val="72"/>
          <w:szCs w:val="72"/>
        </w:rPr>
      </w:pPr>
    </w:p>
    <w:p w14:paraId="5C5276A0">
      <w:pPr>
        <w:jc w:val="center"/>
        <w:rPr>
          <w:rFonts w:ascii="黑体" w:eastAsia="黑体"/>
          <w:sz w:val="72"/>
          <w:szCs w:val="72"/>
        </w:rPr>
      </w:pPr>
    </w:p>
    <w:p w14:paraId="7FDCA424">
      <w:pPr>
        <w:jc w:val="center"/>
        <w:rPr>
          <w:rFonts w:ascii="黑体" w:eastAsia="黑体"/>
          <w:sz w:val="72"/>
          <w:szCs w:val="72"/>
        </w:rPr>
      </w:pPr>
    </w:p>
    <w:p w14:paraId="3BBE2891">
      <w:pPr>
        <w:jc w:val="center"/>
        <w:rPr>
          <w:rFonts w:ascii="黑体" w:eastAsia="黑体"/>
          <w:sz w:val="72"/>
          <w:szCs w:val="72"/>
        </w:rPr>
      </w:pPr>
    </w:p>
    <w:p w14:paraId="27F3C0F1">
      <w:pPr>
        <w:jc w:val="center"/>
        <w:rPr>
          <w:rFonts w:ascii="黑体" w:eastAsia="黑体"/>
          <w:sz w:val="72"/>
          <w:szCs w:val="72"/>
        </w:rPr>
      </w:pPr>
      <w:r>
        <w:rPr>
          <w:rFonts w:hint="eastAsia" w:ascii="黑体" w:eastAsia="黑体"/>
          <w:sz w:val="72"/>
          <w:szCs w:val="72"/>
          <w:lang w:eastAsia="zh-CN"/>
        </w:rPr>
        <w:t>2025年</w:t>
      </w:r>
      <w:r>
        <w:rPr>
          <w:rFonts w:hint="eastAsia" w:ascii="黑体" w:eastAsia="黑体"/>
          <w:sz w:val="72"/>
          <w:szCs w:val="72"/>
        </w:rPr>
        <w:t>度部门决算（公开</w:t>
      </w:r>
      <w:r>
        <w:rPr>
          <w:rFonts w:ascii="黑体" w:eastAsia="黑体"/>
          <w:sz w:val="72"/>
          <w:szCs w:val="72"/>
        </w:rPr>
        <w:t>）</w:t>
      </w:r>
    </w:p>
    <w:p w14:paraId="052CC733">
      <w:pPr>
        <w:jc w:val="center"/>
        <w:rPr>
          <w:rFonts w:ascii="黑体" w:eastAsia="黑体"/>
          <w:sz w:val="52"/>
          <w:szCs w:val="52"/>
        </w:rPr>
      </w:pPr>
    </w:p>
    <w:p w14:paraId="62F082FF">
      <w:pPr>
        <w:jc w:val="center"/>
        <w:rPr>
          <w:rFonts w:ascii="黑体" w:eastAsia="黑体"/>
          <w:sz w:val="52"/>
          <w:szCs w:val="52"/>
        </w:rPr>
      </w:pPr>
    </w:p>
    <w:p w14:paraId="3C59453D">
      <w:pPr>
        <w:jc w:val="center"/>
        <w:rPr>
          <w:rFonts w:ascii="黑体" w:eastAsia="黑体"/>
          <w:sz w:val="52"/>
          <w:szCs w:val="52"/>
        </w:rPr>
      </w:pPr>
    </w:p>
    <w:p w14:paraId="2972424E">
      <w:pPr>
        <w:jc w:val="center"/>
        <w:rPr>
          <w:rFonts w:ascii="黑体" w:eastAsia="黑体"/>
          <w:sz w:val="52"/>
          <w:szCs w:val="52"/>
        </w:rPr>
      </w:pPr>
    </w:p>
    <w:p w14:paraId="2ACA4539">
      <w:pPr>
        <w:jc w:val="center"/>
        <w:rPr>
          <w:rFonts w:ascii="黑体" w:eastAsia="黑体"/>
          <w:sz w:val="32"/>
          <w:szCs w:val="32"/>
        </w:rPr>
      </w:pPr>
    </w:p>
    <w:p w14:paraId="6E045465">
      <w:pPr>
        <w:spacing w:line="500" w:lineRule="exact"/>
        <w:ind w:firstLine="645"/>
        <w:jc w:val="center"/>
        <w:rPr>
          <w:rFonts w:ascii="宋体" w:hAnsi="宋体" w:cs="宋体"/>
          <w:b/>
          <w:bCs/>
          <w:kern w:val="0"/>
          <w:sz w:val="44"/>
          <w:szCs w:val="36"/>
        </w:rPr>
      </w:pPr>
      <w:r>
        <w:rPr>
          <w:rFonts w:hint="eastAsia" w:ascii="宋体" w:hAnsi="宋体" w:cs="宋体"/>
          <w:b/>
          <w:bCs/>
          <w:kern w:val="0"/>
          <w:sz w:val="44"/>
          <w:szCs w:val="36"/>
        </w:rPr>
        <w:t>目    录</w:t>
      </w:r>
    </w:p>
    <w:p w14:paraId="55B4ABB7">
      <w:pPr>
        <w:spacing w:line="500" w:lineRule="exact"/>
        <w:ind w:firstLine="645"/>
        <w:jc w:val="center"/>
        <w:rPr>
          <w:rFonts w:ascii="宋体" w:hAnsi="宋体" w:cs="宋体"/>
          <w:b/>
          <w:bCs/>
          <w:kern w:val="0"/>
          <w:sz w:val="36"/>
          <w:szCs w:val="36"/>
        </w:rPr>
      </w:pPr>
    </w:p>
    <w:p w14:paraId="456FFF7C">
      <w:pPr>
        <w:tabs>
          <w:tab w:val="center" w:pos="6979"/>
        </w:tabs>
        <w:spacing w:line="500" w:lineRule="exact"/>
        <w:ind w:firstLine="1600" w:firstLineChars="400"/>
        <w:jc w:val="left"/>
        <w:rPr>
          <w:rFonts w:ascii="宋体" w:hAnsi="宋体" w:cs="宋体"/>
          <w:bCs/>
          <w:spacing w:val="40"/>
          <w:kern w:val="0"/>
          <w:sz w:val="32"/>
          <w:szCs w:val="32"/>
        </w:rPr>
      </w:pPr>
      <w:r>
        <w:rPr>
          <w:rFonts w:hint="eastAsia" w:ascii="宋体" w:hAnsi="宋体" w:cs="宋体"/>
          <w:bCs/>
          <w:spacing w:val="40"/>
          <w:kern w:val="0"/>
          <w:sz w:val="32"/>
          <w:szCs w:val="32"/>
        </w:rPr>
        <w:t xml:space="preserve">第一部分 </w:t>
      </w:r>
      <w:r>
        <w:rPr>
          <w:rFonts w:hint="eastAsia" w:ascii="宋体" w:hAnsi="宋体" w:cs="宋体"/>
          <w:bCs/>
          <w:spacing w:val="40"/>
          <w:kern w:val="0"/>
          <w:sz w:val="32"/>
          <w:szCs w:val="32"/>
          <w:lang w:eastAsia="zh-CN"/>
        </w:rPr>
        <w:t>2025年</w:t>
      </w:r>
      <w:r>
        <w:rPr>
          <w:rFonts w:hint="eastAsia" w:ascii="宋体" w:hAnsi="宋体" w:cs="宋体"/>
          <w:bCs/>
          <w:spacing w:val="40"/>
          <w:kern w:val="0"/>
          <w:sz w:val="32"/>
          <w:szCs w:val="32"/>
        </w:rPr>
        <w:t>度部门决算报表</w:t>
      </w:r>
    </w:p>
    <w:p w14:paraId="04380E48">
      <w:pPr>
        <w:tabs>
          <w:tab w:val="center" w:pos="6979"/>
        </w:tabs>
        <w:spacing w:line="500" w:lineRule="exact"/>
        <w:ind w:firstLine="2400" w:firstLineChars="600"/>
        <w:jc w:val="left"/>
        <w:rPr>
          <w:rFonts w:ascii="仿宋_GB2312" w:hAnsi="仿宋" w:eastAsia="仿宋_GB2312"/>
          <w:spacing w:val="40"/>
          <w:sz w:val="32"/>
          <w:szCs w:val="32"/>
        </w:rPr>
      </w:pPr>
      <w:r>
        <w:rPr>
          <w:rFonts w:hint="eastAsia" w:ascii="仿宋_GB2312" w:hAnsi="仿宋" w:eastAsia="仿宋_GB2312" w:cs="宋体"/>
          <w:bCs/>
          <w:spacing w:val="40"/>
          <w:kern w:val="0"/>
          <w:sz w:val="32"/>
          <w:szCs w:val="32"/>
        </w:rPr>
        <w:t>一、收入支出决算总表</w:t>
      </w:r>
    </w:p>
    <w:p w14:paraId="68A6BE93">
      <w:pPr>
        <w:tabs>
          <w:tab w:val="center" w:pos="6979"/>
        </w:tabs>
        <w:spacing w:line="500" w:lineRule="exact"/>
        <w:ind w:firstLine="2400" w:firstLineChars="600"/>
        <w:jc w:val="left"/>
        <w:rPr>
          <w:rFonts w:ascii="仿宋_GB2312" w:hAnsi="仿宋" w:eastAsia="仿宋_GB2312" w:cs="宋体"/>
          <w:bCs/>
          <w:spacing w:val="40"/>
          <w:kern w:val="0"/>
          <w:sz w:val="32"/>
          <w:szCs w:val="32"/>
        </w:rPr>
      </w:pPr>
      <w:r>
        <w:rPr>
          <w:rFonts w:hint="eastAsia" w:ascii="仿宋_GB2312" w:hAnsi="仿宋" w:eastAsia="仿宋_GB2312" w:cs="宋体"/>
          <w:bCs/>
          <w:spacing w:val="40"/>
          <w:kern w:val="0"/>
          <w:sz w:val="32"/>
          <w:szCs w:val="32"/>
        </w:rPr>
        <w:t>二、收入决算表</w:t>
      </w:r>
    </w:p>
    <w:p w14:paraId="0F7014E6">
      <w:pPr>
        <w:tabs>
          <w:tab w:val="center" w:pos="6979"/>
        </w:tabs>
        <w:spacing w:line="500" w:lineRule="exact"/>
        <w:ind w:firstLine="2400" w:firstLineChars="600"/>
        <w:jc w:val="left"/>
        <w:rPr>
          <w:rFonts w:ascii="仿宋_GB2312" w:hAnsi="仿宋" w:eastAsia="仿宋_GB2312" w:cs="宋体"/>
          <w:bCs/>
          <w:spacing w:val="40"/>
          <w:kern w:val="0"/>
          <w:sz w:val="32"/>
          <w:szCs w:val="32"/>
        </w:rPr>
      </w:pPr>
      <w:r>
        <w:rPr>
          <w:rFonts w:hint="eastAsia" w:ascii="仿宋_GB2312" w:hAnsi="仿宋" w:eastAsia="仿宋_GB2312" w:cs="宋体"/>
          <w:bCs/>
          <w:spacing w:val="40"/>
          <w:kern w:val="0"/>
          <w:sz w:val="32"/>
          <w:szCs w:val="32"/>
        </w:rPr>
        <w:t>三、支出决算表</w:t>
      </w:r>
    </w:p>
    <w:p w14:paraId="57EA3870">
      <w:pPr>
        <w:tabs>
          <w:tab w:val="center" w:pos="6979"/>
        </w:tabs>
        <w:spacing w:line="500" w:lineRule="exact"/>
        <w:ind w:firstLine="2400" w:firstLineChars="600"/>
        <w:jc w:val="left"/>
        <w:rPr>
          <w:rFonts w:ascii="仿宋_GB2312" w:hAnsi="仿宋" w:eastAsia="仿宋_GB2312" w:cs="宋体"/>
          <w:bCs/>
          <w:spacing w:val="40"/>
          <w:kern w:val="0"/>
          <w:sz w:val="32"/>
          <w:szCs w:val="32"/>
        </w:rPr>
      </w:pPr>
      <w:r>
        <w:rPr>
          <w:rFonts w:hint="eastAsia" w:ascii="仿宋_GB2312" w:hAnsi="仿宋" w:eastAsia="仿宋_GB2312" w:cs="宋体"/>
          <w:bCs/>
          <w:spacing w:val="40"/>
          <w:kern w:val="0"/>
          <w:sz w:val="32"/>
          <w:szCs w:val="32"/>
        </w:rPr>
        <w:t>四、财政拨款收入支出决算总表</w:t>
      </w:r>
    </w:p>
    <w:p w14:paraId="0DC3A280">
      <w:pPr>
        <w:tabs>
          <w:tab w:val="center" w:pos="6979"/>
        </w:tabs>
        <w:spacing w:line="500" w:lineRule="exact"/>
        <w:ind w:firstLine="2400" w:firstLineChars="600"/>
        <w:jc w:val="left"/>
        <w:rPr>
          <w:rFonts w:ascii="仿宋_GB2312" w:hAnsi="仿宋" w:eastAsia="仿宋_GB2312" w:cs="宋体"/>
          <w:bCs/>
          <w:spacing w:val="40"/>
          <w:kern w:val="0"/>
          <w:sz w:val="32"/>
          <w:szCs w:val="32"/>
        </w:rPr>
      </w:pPr>
      <w:r>
        <w:rPr>
          <w:rFonts w:hint="eastAsia" w:ascii="仿宋_GB2312" w:hAnsi="仿宋" w:eastAsia="仿宋_GB2312" w:cs="宋体"/>
          <w:bCs/>
          <w:spacing w:val="40"/>
          <w:kern w:val="0"/>
          <w:sz w:val="32"/>
          <w:szCs w:val="32"/>
        </w:rPr>
        <w:t>五、一般公共预算财政拨款支出决算表</w:t>
      </w:r>
    </w:p>
    <w:p w14:paraId="48404161">
      <w:pPr>
        <w:tabs>
          <w:tab w:val="center" w:pos="6979"/>
        </w:tabs>
        <w:spacing w:line="500" w:lineRule="exact"/>
        <w:ind w:firstLine="2400" w:firstLineChars="600"/>
        <w:jc w:val="left"/>
        <w:rPr>
          <w:rFonts w:ascii="仿宋_GB2312" w:hAnsi="仿宋" w:eastAsia="仿宋_GB2312" w:cs="宋体"/>
          <w:bCs/>
          <w:spacing w:val="40"/>
          <w:kern w:val="0"/>
          <w:sz w:val="32"/>
          <w:szCs w:val="32"/>
        </w:rPr>
      </w:pPr>
      <w:r>
        <w:rPr>
          <w:rFonts w:hint="eastAsia" w:ascii="仿宋_GB2312" w:hAnsi="仿宋" w:eastAsia="仿宋_GB2312" w:cs="宋体"/>
          <w:bCs/>
          <w:spacing w:val="40"/>
          <w:kern w:val="0"/>
          <w:sz w:val="32"/>
          <w:szCs w:val="32"/>
        </w:rPr>
        <w:t>六、一般公共预算财政拨款</w:t>
      </w:r>
      <w:r>
        <w:rPr>
          <w:rFonts w:ascii="仿宋_GB2312" w:hAnsi="仿宋" w:eastAsia="仿宋_GB2312" w:cs="宋体"/>
          <w:bCs/>
          <w:spacing w:val="40"/>
          <w:kern w:val="0"/>
          <w:sz w:val="32"/>
          <w:szCs w:val="32"/>
        </w:rPr>
        <w:t>基本支出决算表</w:t>
      </w:r>
    </w:p>
    <w:p w14:paraId="3542FC7A">
      <w:pPr>
        <w:tabs>
          <w:tab w:val="center" w:pos="6979"/>
        </w:tabs>
        <w:spacing w:line="500" w:lineRule="exact"/>
        <w:ind w:firstLine="2400" w:firstLineChars="600"/>
        <w:jc w:val="left"/>
        <w:rPr>
          <w:rFonts w:ascii="仿宋_GB2312" w:hAnsi="仿宋" w:eastAsia="仿宋_GB2312" w:cs="宋体"/>
          <w:bCs/>
          <w:spacing w:val="40"/>
          <w:kern w:val="0"/>
          <w:sz w:val="32"/>
          <w:szCs w:val="32"/>
        </w:rPr>
      </w:pPr>
      <w:r>
        <w:rPr>
          <w:rFonts w:hint="eastAsia" w:ascii="仿宋_GB2312" w:hAnsi="仿宋" w:eastAsia="仿宋_GB2312" w:cs="宋体"/>
          <w:bCs/>
          <w:spacing w:val="40"/>
          <w:kern w:val="0"/>
          <w:sz w:val="32"/>
          <w:szCs w:val="32"/>
        </w:rPr>
        <w:t>七</w:t>
      </w:r>
      <w:r>
        <w:rPr>
          <w:rFonts w:ascii="仿宋_GB2312" w:hAnsi="仿宋" w:eastAsia="仿宋_GB2312" w:cs="宋体"/>
          <w:bCs/>
          <w:spacing w:val="40"/>
          <w:kern w:val="0"/>
          <w:sz w:val="32"/>
          <w:szCs w:val="32"/>
        </w:rPr>
        <w:t>、</w:t>
      </w:r>
      <w:r>
        <w:rPr>
          <w:rFonts w:hint="eastAsia" w:ascii="仿宋_GB2312" w:hAnsi="仿宋" w:eastAsia="仿宋_GB2312" w:cs="宋体"/>
          <w:bCs/>
          <w:spacing w:val="40"/>
          <w:kern w:val="0"/>
          <w:sz w:val="32"/>
          <w:szCs w:val="32"/>
        </w:rPr>
        <w:t>政府性基金预算财政拨款收入支出决算表</w:t>
      </w:r>
    </w:p>
    <w:p w14:paraId="36170CD3">
      <w:pPr>
        <w:tabs>
          <w:tab w:val="center" w:pos="6979"/>
        </w:tabs>
        <w:spacing w:line="500" w:lineRule="exact"/>
        <w:ind w:firstLine="2400" w:firstLineChars="600"/>
        <w:jc w:val="left"/>
        <w:rPr>
          <w:rFonts w:ascii="仿宋_GB2312" w:hAnsi="仿宋" w:eastAsia="仿宋_GB2312" w:cs="宋体"/>
          <w:bCs/>
          <w:spacing w:val="40"/>
          <w:kern w:val="0"/>
          <w:sz w:val="32"/>
          <w:szCs w:val="32"/>
        </w:rPr>
      </w:pPr>
      <w:r>
        <w:rPr>
          <w:rFonts w:hint="eastAsia" w:ascii="仿宋_GB2312" w:hAnsi="仿宋" w:eastAsia="仿宋_GB2312" w:cs="宋体"/>
          <w:bCs/>
          <w:spacing w:val="40"/>
          <w:kern w:val="0"/>
          <w:sz w:val="32"/>
          <w:szCs w:val="32"/>
        </w:rPr>
        <w:t>八、</w:t>
      </w:r>
      <w:r>
        <w:rPr>
          <w:rFonts w:ascii="仿宋_GB2312" w:hAnsi="仿宋" w:eastAsia="仿宋_GB2312" w:cs="宋体"/>
          <w:bCs/>
          <w:spacing w:val="40"/>
          <w:kern w:val="0"/>
          <w:sz w:val="32"/>
          <w:szCs w:val="32"/>
        </w:rPr>
        <w:t>政府性基金</w:t>
      </w:r>
      <w:r>
        <w:rPr>
          <w:rFonts w:hint="eastAsia" w:ascii="仿宋_GB2312" w:hAnsi="仿宋" w:eastAsia="仿宋_GB2312" w:cs="宋体"/>
          <w:bCs/>
          <w:spacing w:val="40"/>
          <w:kern w:val="0"/>
          <w:sz w:val="32"/>
          <w:szCs w:val="32"/>
        </w:rPr>
        <w:t>预算</w:t>
      </w:r>
      <w:r>
        <w:rPr>
          <w:rFonts w:ascii="仿宋_GB2312" w:hAnsi="仿宋" w:eastAsia="仿宋_GB2312" w:cs="宋体"/>
          <w:bCs/>
          <w:spacing w:val="40"/>
          <w:kern w:val="0"/>
          <w:sz w:val="32"/>
          <w:szCs w:val="32"/>
        </w:rPr>
        <w:t>财政拨款基本支出决算表</w:t>
      </w:r>
    </w:p>
    <w:p w14:paraId="02C9E429">
      <w:pPr>
        <w:tabs>
          <w:tab w:val="center" w:pos="6979"/>
        </w:tabs>
        <w:spacing w:line="500" w:lineRule="exact"/>
        <w:ind w:firstLine="2400" w:firstLineChars="600"/>
        <w:jc w:val="left"/>
        <w:rPr>
          <w:rFonts w:ascii="仿宋_GB2312" w:hAnsi="仿宋" w:eastAsia="仿宋_GB2312" w:cs="宋体"/>
          <w:bCs/>
          <w:spacing w:val="40"/>
          <w:kern w:val="0"/>
          <w:sz w:val="32"/>
          <w:szCs w:val="32"/>
        </w:rPr>
      </w:pPr>
      <w:r>
        <w:rPr>
          <w:rFonts w:hint="eastAsia" w:ascii="仿宋_GB2312" w:hAnsi="仿宋" w:eastAsia="仿宋_GB2312" w:cs="宋体"/>
          <w:bCs/>
          <w:spacing w:val="40"/>
          <w:kern w:val="0"/>
          <w:sz w:val="32"/>
          <w:szCs w:val="32"/>
        </w:rPr>
        <w:t>九、国有资本经营预算财政拨款支出决算表</w:t>
      </w:r>
    </w:p>
    <w:p w14:paraId="07918D86">
      <w:pPr>
        <w:tabs>
          <w:tab w:val="center" w:pos="6979"/>
        </w:tabs>
        <w:spacing w:line="500" w:lineRule="exact"/>
        <w:ind w:firstLine="2400" w:firstLineChars="600"/>
        <w:jc w:val="left"/>
        <w:rPr>
          <w:rFonts w:ascii="仿宋_GB2312" w:hAnsi="仿宋" w:eastAsia="仿宋_GB2312" w:cs="宋体"/>
          <w:bCs/>
          <w:spacing w:val="40"/>
          <w:kern w:val="0"/>
          <w:sz w:val="32"/>
          <w:szCs w:val="32"/>
        </w:rPr>
      </w:pPr>
      <w:r>
        <w:rPr>
          <w:rFonts w:hint="eastAsia" w:ascii="仿宋_GB2312" w:hAnsi="仿宋" w:eastAsia="仿宋_GB2312" w:cs="宋体"/>
          <w:bCs/>
          <w:spacing w:val="40"/>
          <w:kern w:val="0"/>
          <w:sz w:val="32"/>
          <w:szCs w:val="32"/>
        </w:rPr>
        <w:t>十、财政拨款“三公”经费支出决算表</w:t>
      </w:r>
    </w:p>
    <w:p w14:paraId="575AB952">
      <w:pPr>
        <w:tabs>
          <w:tab w:val="center" w:pos="6979"/>
        </w:tabs>
        <w:spacing w:line="500" w:lineRule="exact"/>
        <w:ind w:firstLine="2400" w:firstLineChars="600"/>
        <w:jc w:val="left"/>
        <w:rPr>
          <w:rFonts w:ascii="仿宋_GB2312" w:hAnsi="仿宋" w:eastAsia="仿宋_GB2312" w:cs="宋体"/>
          <w:bCs/>
          <w:spacing w:val="40"/>
          <w:kern w:val="0"/>
          <w:sz w:val="32"/>
          <w:szCs w:val="32"/>
        </w:rPr>
      </w:pPr>
      <w:r>
        <w:rPr>
          <w:rFonts w:hint="eastAsia" w:ascii="仿宋_GB2312" w:hAnsi="仿宋" w:eastAsia="仿宋_GB2312" w:cs="宋体"/>
          <w:bCs/>
          <w:spacing w:val="40"/>
          <w:kern w:val="0"/>
          <w:sz w:val="32"/>
          <w:szCs w:val="32"/>
        </w:rPr>
        <w:t>十一、政府采购情况表</w:t>
      </w:r>
    </w:p>
    <w:p w14:paraId="714A4285">
      <w:pPr>
        <w:tabs>
          <w:tab w:val="center" w:pos="6979"/>
        </w:tabs>
        <w:spacing w:line="500" w:lineRule="exact"/>
        <w:ind w:firstLine="1600" w:firstLineChars="400"/>
        <w:jc w:val="left"/>
        <w:rPr>
          <w:rFonts w:ascii="宋体" w:hAnsi="宋体" w:cs="宋体"/>
          <w:bCs/>
          <w:spacing w:val="40"/>
          <w:kern w:val="0"/>
          <w:sz w:val="32"/>
          <w:szCs w:val="32"/>
        </w:rPr>
      </w:pPr>
      <w:r>
        <w:rPr>
          <w:rFonts w:hint="eastAsia" w:ascii="宋体" w:hAnsi="宋体" w:cs="宋体"/>
          <w:bCs/>
          <w:spacing w:val="40"/>
          <w:kern w:val="0"/>
          <w:sz w:val="32"/>
          <w:szCs w:val="32"/>
        </w:rPr>
        <w:t xml:space="preserve">第二部分 </w:t>
      </w:r>
      <w:r>
        <w:rPr>
          <w:rFonts w:hint="eastAsia" w:ascii="宋体" w:hAnsi="宋体"/>
          <w:spacing w:val="40"/>
          <w:sz w:val="32"/>
          <w:szCs w:val="32"/>
          <w:lang w:eastAsia="zh-CN"/>
        </w:rPr>
        <w:t>2025年</w:t>
      </w:r>
      <w:r>
        <w:rPr>
          <w:rFonts w:hint="eastAsia" w:ascii="宋体" w:hAnsi="宋体"/>
          <w:spacing w:val="40"/>
          <w:sz w:val="32"/>
          <w:szCs w:val="32"/>
        </w:rPr>
        <w:t>度部门决算说明</w:t>
      </w:r>
    </w:p>
    <w:p w14:paraId="78C7C75E">
      <w:pPr>
        <w:tabs>
          <w:tab w:val="center" w:pos="6979"/>
        </w:tabs>
        <w:spacing w:line="500" w:lineRule="exact"/>
        <w:ind w:firstLine="1600" w:firstLineChars="400"/>
        <w:jc w:val="left"/>
        <w:rPr>
          <w:rFonts w:ascii="宋体" w:hAnsi="宋体" w:cs="宋体"/>
          <w:spacing w:val="40"/>
          <w:kern w:val="0"/>
          <w:sz w:val="32"/>
          <w:szCs w:val="32"/>
        </w:rPr>
      </w:pPr>
      <w:r>
        <w:rPr>
          <w:rFonts w:hint="eastAsia" w:ascii="宋体" w:hAnsi="宋体" w:cs="宋体"/>
          <w:bCs/>
          <w:spacing w:val="40"/>
          <w:kern w:val="0"/>
          <w:sz w:val="32"/>
          <w:szCs w:val="32"/>
        </w:rPr>
        <w:t xml:space="preserve">第三部分 </w:t>
      </w:r>
      <w:r>
        <w:rPr>
          <w:rFonts w:hint="eastAsia" w:ascii="宋体" w:hAnsi="宋体"/>
          <w:spacing w:val="40"/>
          <w:sz w:val="32"/>
          <w:szCs w:val="32"/>
          <w:lang w:eastAsia="zh-CN"/>
        </w:rPr>
        <w:t>2025年</w:t>
      </w:r>
      <w:r>
        <w:rPr>
          <w:rFonts w:hint="eastAsia" w:ascii="宋体" w:hAnsi="宋体"/>
          <w:spacing w:val="40"/>
          <w:sz w:val="32"/>
          <w:szCs w:val="32"/>
        </w:rPr>
        <w:t>度</w:t>
      </w:r>
      <w:r>
        <w:rPr>
          <w:rFonts w:hint="eastAsia" w:ascii="宋体" w:hAnsi="宋体" w:cs="宋体"/>
          <w:spacing w:val="40"/>
          <w:kern w:val="0"/>
          <w:sz w:val="32"/>
          <w:szCs w:val="32"/>
        </w:rPr>
        <w:t>其他重要事项的情况说明</w:t>
      </w:r>
    </w:p>
    <w:p w14:paraId="1F14AF94">
      <w:pPr>
        <w:tabs>
          <w:tab w:val="center" w:pos="6979"/>
        </w:tabs>
        <w:spacing w:line="500" w:lineRule="exact"/>
        <w:ind w:firstLine="1600" w:firstLineChars="400"/>
        <w:jc w:val="left"/>
        <w:rPr>
          <w:rFonts w:ascii="宋体" w:hAnsi="宋体" w:cs="宋体"/>
          <w:spacing w:val="40"/>
          <w:kern w:val="0"/>
          <w:sz w:val="36"/>
          <w:szCs w:val="32"/>
        </w:rPr>
      </w:pPr>
      <w:r>
        <w:rPr>
          <w:rFonts w:hint="eastAsia" w:ascii="宋体" w:hAnsi="宋体" w:cs="宋体"/>
          <w:spacing w:val="40"/>
          <w:kern w:val="0"/>
          <w:sz w:val="32"/>
          <w:szCs w:val="32"/>
        </w:rPr>
        <w:t xml:space="preserve">第四部分 </w:t>
      </w:r>
      <w:r>
        <w:rPr>
          <w:rFonts w:hint="eastAsia" w:ascii="宋体" w:hAnsi="宋体" w:cs="宋体"/>
          <w:spacing w:val="40"/>
          <w:kern w:val="0"/>
          <w:sz w:val="32"/>
          <w:szCs w:val="32"/>
          <w:lang w:eastAsia="zh-CN"/>
        </w:rPr>
        <w:t>2025年</w:t>
      </w:r>
      <w:r>
        <w:rPr>
          <w:rFonts w:hint="eastAsia" w:ascii="宋体" w:hAnsi="宋体" w:cs="宋体"/>
          <w:spacing w:val="40"/>
          <w:kern w:val="0"/>
          <w:sz w:val="32"/>
          <w:szCs w:val="32"/>
        </w:rPr>
        <w:t>度部门绩效评价情况</w:t>
      </w:r>
    </w:p>
    <w:p w14:paraId="399F5B34">
      <w:pPr>
        <w:tabs>
          <w:tab w:val="center" w:pos="6979"/>
        </w:tabs>
        <w:spacing w:before="156" w:beforeLines="50" w:after="156" w:afterLines="50"/>
        <w:jc w:val="center"/>
        <w:rPr>
          <w:rFonts w:ascii="宋体" w:hAnsi="宋体" w:cs="宋体"/>
          <w:b/>
          <w:bCs/>
          <w:spacing w:val="40"/>
          <w:kern w:val="0"/>
          <w:sz w:val="32"/>
          <w:szCs w:val="32"/>
        </w:rPr>
      </w:pPr>
    </w:p>
    <w:p w14:paraId="72E43AF8">
      <w:pPr>
        <w:tabs>
          <w:tab w:val="center" w:pos="6979"/>
        </w:tabs>
        <w:spacing w:before="156" w:beforeLines="50" w:after="156" w:afterLines="50"/>
        <w:jc w:val="center"/>
        <w:rPr>
          <w:rFonts w:ascii="宋体" w:hAnsi="宋体" w:cs="宋体"/>
          <w:b/>
          <w:bCs/>
          <w:spacing w:val="40"/>
          <w:kern w:val="0"/>
          <w:sz w:val="32"/>
          <w:szCs w:val="32"/>
        </w:rPr>
      </w:pPr>
    </w:p>
    <w:p w14:paraId="5F308A7D">
      <w:pPr>
        <w:tabs>
          <w:tab w:val="center" w:pos="6979"/>
        </w:tabs>
        <w:spacing w:before="156" w:beforeLines="50" w:after="156" w:afterLines="50"/>
        <w:jc w:val="center"/>
        <w:rPr>
          <w:rFonts w:ascii="宋体" w:hAnsi="宋体" w:cs="宋体"/>
          <w:b/>
          <w:bCs/>
          <w:spacing w:val="40"/>
          <w:kern w:val="0"/>
          <w:sz w:val="32"/>
          <w:szCs w:val="32"/>
        </w:rPr>
      </w:pPr>
    </w:p>
    <w:p w14:paraId="50150BD4">
      <w:pPr>
        <w:tabs>
          <w:tab w:val="center" w:pos="6979"/>
        </w:tabs>
        <w:spacing w:before="156" w:beforeLines="50" w:after="156" w:afterLines="50"/>
        <w:jc w:val="center"/>
        <w:rPr>
          <w:rFonts w:ascii="宋体" w:hAnsi="宋体" w:cs="宋体"/>
          <w:b/>
          <w:bCs/>
          <w:spacing w:val="40"/>
          <w:kern w:val="0"/>
          <w:sz w:val="32"/>
          <w:szCs w:val="32"/>
        </w:rPr>
      </w:pPr>
    </w:p>
    <w:p w14:paraId="0B94A7EF">
      <w:pPr>
        <w:tabs>
          <w:tab w:val="center" w:pos="6979"/>
        </w:tabs>
        <w:spacing w:before="156" w:beforeLines="50" w:after="156" w:afterLines="50"/>
        <w:jc w:val="center"/>
        <w:rPr>
          <w:rFonts w:ascii="宋体" w:hAnsi="宋体" w:cs="宋体"/>
          <w:b/>
          <w:bCs/>
          <w:spacing w:val="40"/>
          <w:kern w:val="0"/>
          <w:sz w:val="32"/>
          <w:szCs w:val="32"/>
        </w:rPr>
      </w:pPr>
    </w:p>
    <w:p w14:paraId="06BC4EE8">
      <w:pPr>
        <w:tabs>
          <w:tab w:val="center" w:pos="6979"/>
        </w:tabs>
        <w:spacing w:before="156" w:beforeLines="50" w:after="156" w:afterLines="50"/>
        <w:jc w:val="center"/>
        <w:rPr>
          <w:rFonts w:ascii="宋体" w:hAnsi="宋体" w:cs="宋体"/>
          <w:b/>
          <w:bCs/>
          <w:spacing w:val="40"/>
          <w:kern w:val="0"/>
          <w:sz w:val="32"/>
          <w:szCs w:val="32"/>
        </w:rPr>
      </w:pPr>
      <w:r>
        <w:rPr>
          <w:rFonts w:hint="eastAsia" w:ascii="宋体" w:hAnsi="宋体" w:cs="宋体"/>
          <w:b/>
          <w:bCs/>
          <w:spacing w:val="40"/>
          <w:kern w:val="0"/>
          <w:sz w:val="44"/>
          <w:szCs w:val="44"/>
        </w:rPr>
        <w:t xml:space="preserve">第一部分 </w:t>
      </w:r>
      <w:r>
        <w:rPr>
          <w:rFonts w:hint="eastAsia" w:ascii="宋体" w:hAnsi="宋体" w:cs="宋体"/>
          <w:b/>
          <w:bCs/>
          <w:spacing w:val="40"/>
          <w:kern w:val="0"/>
          <w:sz w:val="44"/>
          <w:szCs w:val="44"/>
          <w:lang w:eastAsia="zh-CN"/>
        </w:rPr>
        <w:t>2025年</w:t>
      </w:r>
      <w:r>
        <w:rPr>
          <w:rFonts w:hint="eastAsia" w:ascii="宋体" w:hAnsi="宋体" w:cs="宋体"/>
          <w:b/>
          <w:bCs/>
          <w:spacing w:val="40"/>
          <w:kern w:val="0"/>
          <w:sz w:val="44"/>
          <w:szCs w:val="44"/>
        </w:rPr>
        <w:t>度部门决算报表</w:t>
      </w:r>
    </w:p>
    <w:p w14:paraId="243032F7">
      <w:pPr>
        <w:pStyle w:val="2"/>
        <w:rPr>
          <w:b w:val="0"/>
          <w:bCs w:val="0"/>
        </w:rPr>
        <w:sectPr>
          <w:footerReference r:id="rId3" w:type="default"/>
          <w:pgSz w:w="16838" w:h="11906" w:orient="landscape"/>
          <w:pgMar w:top="1134" w:right="1134" w:bottom="1134" w:left="1134" w:header="851" w:footer="992" w:gutter="0"/>
          <w:pgBorders>
            <w:top w:val="none" w:sz="0" w:space="0"/>
            <w:left w:val="none" w:sz="0" w:space="0"/>
            <w:bottom w:val="none" w:sz="0" w:space="0"/>
            <w:right w:val="none" w:sz="0" w:space="0"/>
          </w:pgBorders>
          <w:cols w:space="720" w:num="1"/>
          <w:docGrid w:type="linesAndChars" w:linePitch="312" w:charSpace="0"/>
        </w:sectPr>
      </w:pPr>
      <w:r>
        <w:rPr>
          <w:rFonts w:hint="eastAsia" w:ascii="仿宋_GB2312" w:eastAsia="仿宋_GB2312"/>
          <w:sz w:val="28"/>
          <w:szCs w:val="28"/>
        </w:rPr>
        <w:t xml:space="preserve">   </w:t>
      </w:r>
      <w:r>
        <w:rPr>
          <w:rFonts w:hint="eastAsia" w:ascii="仿宋_GB2312" w:eastAsia="仿宋_GB2312"/>
          <w:b w:val="0"/>
          <w:bCs w:val="0"/>
          <w:sz w:val="28"/>
          <w:szCs w:val="28"/>
        </w:rPr>
        <w:t>报表详见附件。</w:t>
      </w:r>
    </w:p>
    <w:p w14:paraId="1A6181AA">
      <w:pPr>
        <w:tabs>
          <w:tab w:val="center" w:pos="6979"/>
        </w:tabs>
        <w:spacing w:before="156" w:beforeLines="50" w:after="156" w:afterLines="50"/>
        <w:jc w:val="center"/>
        <w:rPr>
          <w:rFonts w:ascii="宋体" w:hAnsi="宋体"/>
          <w:b/>
          <w:sz w:val="32"/>
          <w:szCs w:val="32"/>
        </w:rPr>
      </w:pPr>
      <w:r>
        <w:rPr>
          <w:rFonts w:hint="eastAsia" w:ascii="宋体" w:hAnsi="宋体" w:cs="宋体"/>
          <w:b/>
          <w:bCs/>
          <w:spacing w:val="40"/>
          <w:kern w:val="0"/>
          <w:sz w:val="32"/>
          <w:szCs w:val="32"/>
        </w:rPr>
        <w:t xml:space="preserve">第二部分 </w:t>
      </w:r>
      <w:r>
        <w:rPr>
          <w:rFonts w:hint="eastAsia" w:ascii="宋体" w:hAnsi="宋体"/>
          <w:b/>
          <w:spacing w:val="40"/>
          <w:sz w:val="32"/>
          <w:szCs w:val="32"/>
          <w:lang w:eastAsia="zh-CN"/>
        </w:rPr>
        <w:t>2025年</w:t>
      </w:r>
      <w:r>
        <w:rPr>
          <w:rFonts w:hint="eastAsia" w:ascii="宋体" w:hAnsi="宋体"/>
          <w:b/>
          <w:spacing w:val="40"/>
          <w:sz w:val="32"/>
          <w:szCs w:val="32"/>
        </w:rPr>
        <w:t>度部门决算说明</w:t>
      </w:r>
    </w:p>
    <w:p w14:paraId="1002D964">
      <w:pPr>
        <w:tabs>
          <w:tab w:val="center" w:pos="6979"/>
        </w:tabs>
        <w:spacing w:line="580" w:lineRule="exact"/>
        <w:ind w:firstLine="548" w:firstLineChars="196"/>
        <w:rPr>
          <w:rFonts w:ascii="黑体" w:eastAsia="黑体"/>
          <w:b/>
          <w:sz w:val="28"/>
          <w:szCs w:val="28"/>
        </w:rPr>
      </w:pPr>
      <w:r>
        <w:rPr>
          <w:rFonts w:hint="eastAsia" w:ascii="黑体" w:eastAsia="黑体"/>
          <w:b/>
          <w:sz w:val="28"/>
          <w:szCs w:val="28"/>
        </w:rPr>
        <w:t>一、部门/单位基本情况</w:t>
      </w:r>
    </w:p>
    <w:p w14:paraId="0D4DD7A2">
      <w:pPr>
        <w:tabs>
          <w:tab w:val="center" w:pos="6979"/>
        </w:tabs>
        <w:spacing w:line="580" w:lineRule="exact"/>
        <w:ind w:firstLine="700" w:firstLineChars="250"/>
        <w:rPr>
          <w:rFonts w:hint="eastAsia" w:ascii="仿宋_GB2312" w:eastAsia="仿宋_GB2312"/>
          <w:sz w:val="28"/>
          <w:szCs w:val="28"/>
        </w:rPr>
      </w:pPr>
      <w:r>
        <w:rPr>
          <w:rFonts w:hint="eastAsia" w:ascii="仿宋_GB2312" w:eastAsia="仿宋_GB2312"/>
          <w:sz w:val="28"/>
          <w:szCs w:val="28"/>
        </w:rPr>
        <w:t>（一</w:t>
      </w:r>
      <w:r>
        <w:rPr>
          <w:rFonts w:ascii="仿宋_GB2312" w:eastAsia="仿宋_GB2312"/>
          <w:sz w:val="28"/>
          <w:szCs w:val="28"/>
        </w:rPr>
        <w:t>）</w:t>
      </w:r>
      <w:r>
        <w:rPr>
          <w:rFonts w:hint="eastAsia" w:ascii="仿宋_GB2312" w:eastAsia="仿宋_GB2312"/>
          <w:sz w:val="28"/>
          <w:szCs w:val="28"/>
        </w:rPr>
        <w:t>本部门职责情况</w:t>
      </w:r>
    </w:p>
    <w:p w14:paraId="07CB4B34">
      <w:pPr>
        <w:tabs>
          <w:tab w:val="center" w:pos="6979"/>
        </w:tabs>
        <w:spacing w:line="580" w:lineRule="exact"/>
        <w:ind w:firstLine="570"/>
        <w:rPr>
          <w:rFonts w:hint="eastAsia" w:ascii="仿宋_GB2312" w:eastAsia="仿宋_GB2312"/>
          <w:sz w:val="28"/>
          <w:szCs w:val="28"/>
        </w:rPr>
      </w:pPr>
      <w:r>
        <w:rPr>
          <w:rFonts w:hint="eastAsia" w:ascii="仿宋_GB2312" w:eastAsia="仿宋_GB2312"/>
          <w:sz w:val="28"/>
          <w:szCs w:val="28"/>
        </w:rPr>
        <w:t>北京市门头沟大台街道办事处（简称大台街道办事处）是区政府的派出机关，根据法律法规的规定和区政府的授权，履行相应的政府职能。主要职责是：</w:t>
      </w:r>
    </w:p>
    <w:p w14:paraId="36823328">
      <w:pPr>
        <w:tabs>
          <w:tab w:val="center" w:pos="6979"/>
        </w:tabs>
        <w:spacing w:line="580" w:lineRule="exact"/>
        <w:ind w:firstLine="570"/>
        <w:rPr>
          <w:rFonts w:hint="eastAsia" w:ascii="仿宋_GB2312" w:eastAsia="仿宋_GB2312"/>
          <w:sz w:val="28"/>
          <w:szCs w:val="28"/>
        </w:rPr>
      </w:pPr>
      <w:r>
        <w:rPr>
          <w:rFonts w:hint="eastAsia" w:ascii="仿宋_GB2312" w:eastAsia="仿宋_GB2312"/>
          <w:sz w:val="28"/>
          <w:szCs w:val="28"/>
        </w:rPr>
        <w:t>1.贯彻执行法律、法规、规章和国务院、市政府、区政府的决定、命令，依法管理基层公共事务。</w:t>
      </w:r>
    </w:p>
    <w:p w14:paraId="1163F8BC">
      <w:pPr>
        <w:tabs>
          <w:tab w:val="center" w:pos="6979"/>
        </w:tabs>
        <w:spacing w:line="580" w:lineRule="exact"/>
        <w:ind w:firstLine="570"/>
        <w:rPr>
          <w:rFonts w:hint="eastAsia" w:ascii="仿宋_GB2312" w:eastAsia="仿宋_GB2312"/>
          <w:sz w:val="28"/>
          <w:szCs w:val="28"/>
        </w:rPr>
      </w:pPr>
      <w:r>
        <w:rPr>
          <w:rFonts w:hint="eastAsia" w:ascii="仿宋_GB2312" w:eastAsia="仿宋_GB2312"/>
          <w:sz w:val="28"/>
          <w:szCs w:val="28"/>
        </w:rPr>
        <w:t>2.承担辖区市容环境卫生、绿化美化的管理工作，推进街巷长制、河长制工作，组织、协调城市管理综合执法和环境秩序综合治理工作，推进城市精细化管理。</w:t>
      </w:r>
    </w:p>
    <w:p w14:paraId="65C5FBD1">
      <w:pPr>
        <w:tabs>
          <w:tab w:val="center" w:pos="6979"/>
        </w:tabs>
        <w:spacing w:line="580" w:lineRule="exact"/>
        <w:ind w:firstLine="570"/>
        <w:rPr>
          <w:rFonts w:hint="eastAsia" w:ascii="仿宋_GB2312" w:eastAsia="仿宋_GB2312"/>
          <w:sz w:val="28"/>
          <w:szCs w:val="28"/>
        </w:rPr>
      </w:pPr>
      <w:r>
        <w:rPr>
          <w:rFonts w:hint="eastAsia" w:ascii="仿宋_GB2312" w:eastAsia="仿宋_GB2312"/>
          <w:sz w:val="28"/>
          <w:szCs w:val="28"/>
        </w:rPr>
        <w:t>3.协助依法履行安全生产、消防安全、食品安全、环境保护、劳动保障、流动人口及出租房屋监督管理工作，承担辖区应急、防汛和防灾减灾工作。</w:t>
      </w:r>
    </w:p>
    <w:p w14:paraId="6CD9A567">
      <w:pPr>
        <w:tabs>
          <w:tab w:val="center" w:pos="6979"/>
        </w:tabs>
        <w:spacing w:line="580" w:lineRule="exact"/>
        <w:ind w:firstLine="570"/>
        <w:rPr>
          <w:rFonts w:hint="eastAsia" w:ascii="仿宋_GB2312" w:eastAsia="仿宋_GB2312"/>
          <w:sz w:val="28"/>
          <w:szCs w:val="28"/>
        </w:rPr>
      </w:pPr>
      <w:r>
        <w:rPr>
          <w:rFonts w:hint="eastAsia" w:ascii="仿宋_GB2312" w:eastAsia="仿宋_GB2312"/>
          <w:sz w:val="28"/>
          <w:szCs w:val="28"/>
        </w:rPr>
        <w:t>4.参与制定并组织实施社区建设规划和公共服务设施规划，组织辖区单位、居民和志愿者队伍为社区发展服务。</w:t>
      </w:r>
    </w:p>
    <w:p w14:paraId="2EB237B8">
      <w:pPr>
        <w:tabs>
          <w:tab w:val="center" w:pos="6979"/>
        </w:tabs>
        <w:spacing w:line="580" w:lineRule="exact"/>
        <w:ind w:firstLine="570"/>
        <w:rPr>
          <w:rFonts w:hint="eastAsia" w:ascii="仿宋_GB2312" w:eastAsia="仿宋_GB2312"/>
          <w:sz w:val="28"/>
          <w:szCs w:val="28"/>
        </w:rPr>
      </w:pPr>
      <w:r>
        <w:rPr>
          <w:rFonts w:hint="eastAsia" w:ascii="仿宋_GB2312" w:eastAsia="仿宋_GB2312"/>
          <w:sz w:val="28"/>
          <w:szCs w:val="28"/>
        </w:rPr>
        <w:t>5.负责社区居民委员会建设、指导社区居民委员会工作，培育、发展社区社会组织，指导、监督社区业主委员会。</w:t>
      </w:r>
    </w:p>
    <w:p w14:paraId="488BDB6D">
      <w:pPr>
        <w:tabs>
          <w:tab w:val="center" w:pos="6979"/>
        </w:tabs>
        <w:spacing w:line="580" w:lineRule="exact"/>
        <w:ind w:firstLine="570"/>
        <w:rPr>
          <w:rFonts w:hint="eastAsia" w:ascii="仿宋_GB2312" w:eastAsia="仿宋_GB2312"/>
          <w:sz w:val="28"/>
          <w:szCs w:val="28"/>
        </w:rPr>
      </w:pPr>
      <w:r>
        <w:rPr>
          <w:rFonts w:hint="eastAsia" w:ascii="仿宋_GB2312" w:eastAsia="仿宋_GB2312"/>
          <w:sz w:val="28"/>
          <w:szCs w:val="28"/>
        </w:rPr>
        <w:t>6.推进居民自治，及时处理并向上级政府反映居民的意见和要求。动员社会力量参与社区治理，推动形成社区共治合力。</w:t>
      </w:r>
    </w:p>
    <w:p w14:paraId="7C1BF05B">
      <w:pPr>
        <w:tabs>
          <w:tab w:val="center" w:pos="6979"/>
        </w:tabs>
        <w:spacing w:line="580" w:lineRule="exact"/>
        <w:ind w:firstLine="570"/>
        <w:rPr>
          <w:rFonts w:hint="eastAsia" w:ascii="仿宋_GB2312" w:eastAsia="仿宋_GB2312"/>
          <w:sz w:val="28"/>
          <w:szCs w:val="28"/>
        </w:rPr>
      </w:pPr>
      <w:r>
        <w:rPr>
          <w:rFonts w:hint="eastAsia" w:ascii="仿宋_GB2312" w:eastAsia="仿宋_GB2312"/>
          <w:sz w:val="28"/>
          <w:szCs w:val="28"/>
        </w:rPr>
        <w:t>7.组织开展群众性文化、体育、科普活动，开展法治宣传和社会公德教育，推动社区公益事业发展。</w:t>
      </w:r>
    </w:p>
    <w:p w14:paraId="1BBB4586">
      <w:pPr>
        <w:tabs>
          <w:tab w:val="center" w:pos="6979"/>
        </w:tabs>
        <w:spacing w:line="580" w:lineRule="exact"/>
        <w:ind w:firstLine="570"/>
        <w:rPr>
          <w:rFonts w:hint="eastAsia" w:ascii="仿宋_GB2312" w:eastAsia="仿宋_GB2312"/>
          <w:sz w:val="28"/>
          <w:szCs w:val="28"/>
        </w:rPr>
      </w:pPr>
      <w:r>
        <w:rPr>
          <w:rFonts w:hint="eastAsia" w:ascii="仿宋_GB2312" w:eastAsia="仿宋_GB2312"/>
          <w:sz w:val="28"/>
          <w:szCs w:val="28"/>
        </w:rPr>
        <w:t>8.组织开展公共服务，落实人力社保、民政、卫生健康、教育、住房保障、便民服务等政策，维护老年人、妇女、未成年人、残疾人等合法权益。</w:t>
      </w:r>
    </w:p>
    <w:p w14:paraId="45D1415D">
      <w:pPr>
        <w:tabs>
          <w:tab w:val="center" w:pos="6979"/>
        </w:tabs>
        <w:spacing w:line="580" w:lineRule="exact"/>
        <w:ind w:firstLine="570"/>
        <w:rPr>
          <w:rFonts w:hint="eastAsia" w:ascii="仿宋_GB2312" w:eastAsia="仿宋_GB2312"/>
          <w:sz w:val="28"/>
          <w:szCs w:val="28"/>
        </w:rPr>
      </w:pPr>
      <w:r>
        <w:rPr>
          <w:rFonts w:hint="eastAsia" w:ascii="仿宋_GB2312" w:eastAsia="仿宋_GB2312"/>
          <w:sz w:val="28"/>
          <w:szCs w:val="28"/>
        </w:rPr>
        <w:t>9.完成区委、区人大、区政府、区政协交办的其他任务。</w:t>
      </w:r>
    </w:p>
    <w:p w14:paraId="101374BF">
      <w:pPr>
        <w:tabs>
          <w:tab w:val="center" w:pos="6979"/>
        </w:tabs>
        <w:spacing w:line="580" w:lineRule="exact"/>
        <w:ind w:firstLine="700" w:firstLineChars="250"/>
        <w:rPr>
          <w:rFonts w:hint="eastAsia" w:ascii="仿宋_GB2312" w:eastAsia="仿宋_GB2312"/>
          <w:sz w:val="28"/>
          <w:szCs w:val="28"/>
        </w:rPr>
      </w:pPr>
      <w:r>
        <w:rPr>
          <w:rFonts w:hint="eastAsia" w:ascii="仿宋_GB2312" w:eastAsia="仿宋_GB2312"/>
          <w:sz w:val="28"/>
          <w:szCs w:val="28"/>
        </w:rPr>
        <w:t>（二）机构</w:t>
      </w:r>
      <w:r>
        <w:rPr>
          <w:rFonts w:ascii="仿宋_GB2312" w:eastAsia="仿宋_GB2312"/>
          <w:sz w:val="28"/>
          <w:szCs w:val="28"/>
        </w:rPr>
        <w:t>设置</w:t>
      </w:r>
      <w:r>
        <w:rPr>
          <w:rFonts w:hint="eastAsia" w:ascii="仿宋_GB2312" w:eastAsia="仿宋_GB2312"/>
          <w:sz w:val="28"/>
          <w:szCs w:val="28"/>
        </w:rPr>
        <w:t>情况</w:t>
      </w:r>
    </w:p>
    <w:p w14:paraId="345C0AEF">
      <w:pPr>
        <w:tabs>
          <w:tab w:val="center" w:pos="6979"/>
        </w:tabs>
        <w:spacing w:line="580" w:lineRule="exact"/>
        <w:ind w:firstLine="570"/>
        <w:rPr>
          <w:rFonts w:hint="eastAsia" w:ascii="仿宋_GB2312" w:eastAsia="仿宋_GB2312"/>
          <w:sz w:val="28"/>
          <w:szCs w:val="28"/>
        </w:rPr>
      </w:pPr>
      <w:r>
        <w:rPr>
          <w:rFonts w:hint="eastAsia" w:ascii="仿宋_GB2312" w:eastAsia="仿宋_GB2312"/>
          <w:sz w:val="28"/>
          <w:szCs w:val="28"/>
        </w:rPr>
        <w:t>1.综合办公室</w:t>
      </w:r>
    </w:p>
    <w:p w14:paraId="5E1C04B0">
      <w:pPr>
        <w:tabs>
          <w:tab w:val="center" w:pos="6979"/>
        </w:tabs>
        <w:spacing w:line="580" w:lineRule="exact"/>
        <w:ind w:firstLine="570"/>
        <w:rPr>
          <w:rFonts w:hint="eastAsia" w:ascii="仿宋_GB2312" w:eastAsia="仿宋_GB2312"/>
          <w:sz w:val="28"/>
          <w:szCs w:val="28"/>
        </w:rPr>
      </w:pPr>
      <w:r>
        <w:rPr>
          <w:rFonts w:hint="eastAsia" w:ascii="仿宋_GB2312" w:eastAsia="仿宋_GB2312"/>
          <w:sz w:val="28"/>
          <w:szCs w:val="28"/>
        </w:rPr>
        <w:t>负责机关重要事项的组织和综合协调工作；负责机关重要会议的组织工作和重要文件、文稿的起草、审核和调查研究工作的组织落实；负责机关文电、机要、信息、信息公开、党务公开、保密、督查、绩效管理、依法行政、档案等工作；负责对外接待联络和领导调研的服务保障工作；负责议案、建议、提案办理的组织工作；承担人大、政协等相关具体工作。落实区委、区政府对街道的综合考评方案。负责机关安全保卫、应急值守；负责机关车辆、物业、食堂等后勤服务管理工作；负责机关及所属单位预决算编制、财务收支审核、财政执行情况监督、固定资产财物管理和工资统发、代缴代扣工作；负责机关固定资产管理工作。</w:t>
      </w:r>
    </w:p>
    <w:p w14:paraId="4185D4C5">
      <w:pPr>
        <w:tabs>
          <w:tab w:val="center" w:pos="6979"/>
        </w:tabs>
        <w:spacing w:line="580" w:lineRule="exact"/>
        <w:ind w:firstLine="570"/>
        <w:rPr>
          <w:rFonts w:hint="eastAsia" w:ascii="仿宋_GB2312" w:eastAsia="仿宋_GB2312"/>
          <w:sz w:val="28"/>
          <w:szCs w:val="28"/>
        </w:rPr>
      </w:pPr>
      <w:r>
        <w:rPr>
          <w:rFonts w:hint="eastAsia" w:ascii="仿宋_GB2312" w:eastAsia="仿宋_GB2312"/>
          <w:sz w:val="28"/>
          <w:szCs w:val="28"/>
        </w:rPr>
        <w:t>2.党群工作办公室</w:t>
      </w:r>
    </w:p>
    <w:p w14:paraId="0FE375EA">
      <w:pPr>
        <w:tabs>
          <w:tab w:val="center" w:pos="6979"/>
        </w:tabs>
        <w:spacing w:line="580" w:lineRule="exact"/>
        <w:ind w:firstLine="570"/>
        <w:rPr>
          <w:rFonts w:hint="eastAsia" w:ascii="仿宋_GB2312" w:eastAsia="仿宋_GB2312"/>
          <w:sz w:val="28"/>
          <w:szCs w:val="28"/>
        </w:rPr>
      </w:pPr>
      <w:r>
        <w:rPr>
          <w:rFonts w:hint="eastAsia" w:ascii="仿宋_GB2312" w:eastAsia="仿宋_GB2312"/>
          <w:sz w:val="28"/>
          <w:szCs w:val="28"/>
        </w:rPr>
        <w:t>负责宣传和执行党的路线、方针、政策，宣传和执行党中央、市委、区委的决议。承担机关及所属单位全面从严治党、党风建设和反腐败工作相关的宣传教育、制度建设、日常监督等工作；负责街道党建工作协调委员会的日常工作，开展区域化党建工作；负责统筹推进社区党建和“两新”组织党建工作；负责机关及所属单位的党组织建设和党员的教育、管理、监督、服务，做好经常性地发展党员工作；负责思想政治教育工作，组织开展精神文明建设创建活动；参与党的地方组织选举工作；负责下级党的基层组织选举工作；负责对下级党组织的成立或撤销以及调动或指派下级党组织负责人向街道党工委提出意见。按权限承担机关及所属单位机构编制管理，科级及以下干部录用调配、选拔任免、职级晋升、考核奖惩、培训、工资福利、养老保险等工作；负责派驻人员日常管理考核，对政府职能部门派出机构领导人员的任免、调动、奖惩提出意见；负责机关及所属单位离退休干部工作，对社区离退休干部进行管理、服务；协助做好未成年人保护、学前教育、义务教育等工作。负责辖区统一战线、共青团、工会、妇女权益保障等工作。协调推进休闲文化旅游产业发展。协助做好非物质文化遗产和文物保护等工作。负责地区旅游项目开发、旅游配套基础设施建设。负责传统村落保护和发展。</w:t>
      </w:r>
    </w:p>
    <w:p w14:paraId="15A18E5D">
      <w:pPr>
        <w:tabs>
          <w:tab w:val="center" w:pos="6979"/>
        </w:tabs>
        <w:spacing w:line="580" w:lineRule="exact"/>
        <w:ind w:firstLine="570"/>
        <w:rPr>
          <w:rFonts w:hint="eastAsia" w:ascii="仿宋_GB2312" w:eastAsia="仿宋_GB2312"/>
          <w:sz w:val="28"/>
          <w:szCs w:val="28"/>
        </w:rPr>
      </w:pPr>
      <w:r>
        <w:rPr>
          <w:rFonts w:hint="eastAsia" w:ascii="仿宋_GB2312" w:eastAsia="仿宋_GB2312"/>
          <w:sz w:val="28"/>
          <w:szCs w:val="28"/>
        </w:rPr>
        <w:t>3.平安建设办公室（司法所）</w:t>
      </w:r>
    </w:p>
    <w:p w14:paraId="04B6F7DF">
      <w:pPr>
        <w:tabs>
          <w:tab w:val="center" w:pos="6979"/>
        </w:tabs>
        <w:spacing w:line="580" w:lineRule="exact"/>
        <w:ind w:firstLine="570"/>
        <w:rPr>
          <w:rFonts w:hint="eastAsia" w:ascii="仿宋_GB2312" w:eastAsia="仿宋_GB2312"/>
          <w:sz w:val="28"/>
          <w:szCs w:val="28"/>
        </w:rPr>
      </w:pPr>
      <w:r>
        <w:rPr>
          <w:rFonts w:hint="eastAsia" w:ascii="仿宋_GB2312" w:eastAsia="仿宋_GB2312"/>
          <w:sz w:val="28"/>
          <w:szCs w:val="28"/>
        </w:rPr>
        <w:t>负责维护辖区安全稳定，保障辖区公共安全；负责检查、推动辖区内社会治安综合治理各项措施的落实，开展治安防范活动，协助开展流动人口及出租房屋的综合管理；贯彻总体国家安全观，动员公民和组织防范、制止危害国家安全的行为；协助开展反恐怖主义、反邪教、“扫黄打非”等工作；负责社区戒毒、社区康复工作，承担社区矫正日常工作，组织开展法制宣传、基层法律服务和法律援助工作。负责处理信访请求，协调、督促检查信访案件办理、落实情况，预防、排查、化解社会矛盾和纠纷。负责人民调解工作，指导社区居民委员会调解组织开展工作。负责辖区人民防空、防震减灾、突发性事件应对等工作；负责落实安全生产“党政同责”，协助依法履行安全生产监督管理、事故隐患排查治理监督管理的职责；配合做好燃放烟花爆竹的安全管理工作；负责建立消防安全组织，制定消防安全制度，落实消防安全措施；负责食品安全日常工作。协助做好打击非法盗采工作。</w:t>
      </w:r>
    </w:p>
    <w:p w14:paraId="146AABA3">
      <w:pPr>
        <w:tabs>
          <w:tab w:val="center" w:pos="6979"/>
        </w:tabs>
        <w:spacing w:line="580" w:lineRule="exact"/>
        <w:ind w:firstLine="570"/>
        <w:rPr>
          <w:rFonts w:hint="eastAsia" w:ascii="仿宋_GB2312" w:eastAsia="仿宋_GB2312"/>
          <w:sz w:val="28"/>
          <w:szCs w:val="28"/>
        </w:rPr>
      </w:pPr>
      <w:r>
        <w:rPr>
          <w:rFonts w:hint="eastAsia" w:ascii="仿宋_GB2312" w:eastAsia="仿宋_GB2312"/>
          <w:sz w:val="28"/>
          <w:szCs w:val="28"/>
        </w:rPr>
        <w:t>4.城市管理办公室</w:t>
      </w:r>
    </w:p>
    <w:p w14:paraId="214002C8">
      <w:pPr>
        <w:tabs>
          <w:tab w:val="center" w:pos="6979"/>
        </w:tabs>
        <w:spacing w:line="580" w:lineRule="exact"/>
        <w:ind w:firstLine="570"/>
        <w:rPr>
          <w:rFonts w:hint="eastAsia" w:ascii="仿宋_GB2312" w:eastAsia="仿宋_GB2312"/>
          <w:sz w:val="28"/>
          <w:szCs w:val="28"/>
        </w:rPr>
      </w:pPr>
      <w:r>
        <w:rPr>
          <w:rFonts w:hint="eastAsia" w:ascii="仿宋_GB2312" w:eastAsia="仿宋_GB2312"/>
          <w:sz w:val="28"/>
          <w:szCs w:val="28"/>
        </w:rPr>
        <w:t>负责统筹辖区城市管理工作，配合做好城乡规划管理的有关工作；协同开展辖区“疏解整治促提升”专项工作；负责本行政区域内禁止违法建设相关工作，协调、配合开展辖区无证经营和“开墙打洞”整治工作；负责建立街巷长制，开展背街小巷环境整治提升；承担河长制具体工作；协助开展老旧小区综合整治工作；组织开展爱国卫生运动，落实门前三包责任制；负责本辖区内市容环境卫生和生活垃圾的管理工作；负责未实行物业管理的居住地区的市容环境卫生，组织做好扫雪铲冰工作；协助做好夜间照明的建设、运行和监督管理工作；参与检查辖区施工单位地下管线保护方案和规范作业情况；配合做好辖区供热采暖管理工作；负责统筹辖区内机动车停车管理工作；负责辖区的绿化、节水等工作；负责辖区防汛抗洪工作；负责制定本级空气重污染应急预案，并落实相关应急措施；协助监督施工单位依法施工，防治施工扬尘、扰民；配合做好清洁降尘工作；协助做好环境监管工作；负责协调本区域城市服务管理网格工作；负责街道城市管理综合执法工作的综合协调、监督督促，对执法队伍进行指导、管理、考核。协助做好辖区动物防疫相关工作。协调和组织水、电、气、热等市政基础建设。负责招商引资和重大项目引入对接工作。</w:t>
      </w:r>
    </w:p>
    <w:p w14:paraId="005DB2FD">
      <w:pPr>
        <w:tabs>
          <w:tab w:val="center" w:pos="6979"/>
        </w:tabs>
        <w:spacing w:line="580" w:lineRule="exact"/>
        <w:ind w:firstLine="570"/>
        <w:rPr>
          <w:rFonts w:hint="eastAsia" w:ascii="仿宋_GB2312" w:eastAsia="仿宋_GB2312"/>
          <w:sz w:val="28"/>
          <w:szCs w:val="28"/>
        </w:rPr>
      </w:pPr>
      <w:r>
        <w:rPr>
          <w:rFonts w:hint="eastAsia" w:ascii="仿宋_GB2312" w:eastAsia="仿宋_GB2312"/>
          <w:sz w:val="28"/>
          <w:szCs w:val="28"/>
        </w:rPr>
        <w:t>5.社区建设办公室（统计所）</w:t>
      </w:r>
    </w:p>
    <w:p w14:paraId="450B9E24">
      <w:pPr>
        <w:tabs>
          <w:tab w:val="center" w:pos="6979"/>
        </w:tabs>
        <w:spacing w:line="580" w:lineRule="exact"/>
        <w:ind w:firstLine="570"/>
        <w:rPr>
          <w:rFonts w:hint="eastAsia" w:ascii="仿宋_GB2312" w:eastAsia="仿宋_GB2312"/>
          <w:sz w:val="28"/>
          <w:szCs w:val="28"/>
        </w:rPr>
      </w:pPr>
      <w:r>
        <w:rPr>
          <w:rFonts w:hint="eastAsia" w:ascii="仿宋_GB2312" w:eastAsia="仿宋_GB2312"/>
          <w:sz w:val="28"/>
          <w:szCs w:val="28"/>
        </w:rPr>
        <w:t>负责社区规范化建设，对社区居民委员会的设立、撤销、规模调整提出意见，并指导选举工作；指导、支持社区居民委员会工作；负责使用管理社区居民委员会工作用房和居民公益性服务设施，管理社区居民委员会工作经费；按职责指导成立业主大会，选举产生业主委员会并进行备案；负责建立街道级“枢纽型”社会组织工作体系，培育、指导和监管社区社会组织，对达不到登记条件的社区社会组织进行管理；负责推进居民自治，组织收集社区居民群众和驻区单位的需求、诉求并向区政府反映，动员居民有序参与社会治理；负责社区工作者日常管理、考核培训工作；负责组织社区服务志愿者队伍；支持和协调社区科普工作；协助配齐社区商业便民服务设施。</w:t>
      </w:r>
    </w:p>
    <w:p w14:paraId="3D145847">
      <w:pPr>
        <w:tabs>
          <w:tab w:val="center" w:pos="6979"/>
        </w:tabs>
        <w:spacing w:line="580" w:lineRule="exact"/>
        <w:ind w:firstLine="570"/>
        <w:rPr>
          <w:rFonts w:hint="eastAsia" w:ascii="仿宋_GB2312" w:eastAsia="仿宋_GB2312"/>
          <w:sz w:val="28"/>
          <w:szCs w:val="28"/>
        </w:rPr>
      </w:pPr>
      <w:r>
        <w:rPr>
          <w:rFonts w:hint="eastAsia" w:ascii="仿宋_GB2312" w:eastAsia="仿宋_GB2312"/>
          <w:sz w:val="28"/>
          <w:szCs w:val="28"/>
        </w:rPr>
        <w:t>负责组织实施和协调辖区内的统计业务工作，履行政府综合统计职能，指导社区统计调查工作。</w:t>
      </w:r>
    </w:p>
    <w:p w14:paraId="0FD5A870">
      <w:pPr>
        <w:tabs>
          <w:tab w:val="center" w:pos="6979"/>
        </w:tabs>
        <w:spacing w:line="580" w:lineRule="exact"/>
        <w:ind w:firstLine="570"/>
        <w:rPr>
          <w:rFonts w:hint="eastAsia" w:ascii="仿宋_GB2312" w:eastAsia="仿宋_GB2312"/>
          <w:sz w:val="28"/>
          <w:szCs w:val="28"/>
        </w:rPr>
      </w:pPr>
      <w:r>
        <w:rPr>
          <w:rFonts w:hint="eastAsia" w:ascii="仿宋_GB2312" w:eastAsia="仿宋_GB2312"/>
          <w:sz w:val="28"/>
          <w:szCs w:val="28"/>
        </w:rPr>
        <w:t>6.民生保障办公室</w:t>
      </w:r>
    </w:p>
    <w:p w14:paraId="054E2CDD">
      <w:pPr>
        <w:tabs>
          <w:tab w:val="center" w:pos="6979"/>
        </w:tabs>
        <w:spacing w:line="580" w:lineRule="exact"/>
        <w:ind w:firstLine="570"/>
        <w:rPr>
          <w:rFonts w:hint="eastAsia" w:ascii="仿宋_GB2312" w:eastAsia="仿宋_GB2312"/>
          <w:sz w:val="28"/>
          <w:szCs w:val="28"/>
        </w:rPr>
      </w:pPr>
      <w:r>
        <w:rPr>
          <w:rFonts w:hint="eastAsia" w:ascii="仿宋_GB2312" w:eastAsia="仿宋_GB2312"/>
          <w:sz w:val="28"/>
          <w:szCs w:val="28"/>
        </w:rPr>
        <w:t>负责统筹辖区内民生保障工作，落实公共就业、社会保障、社会救助、社会福利、住房保障、便民服务、拥军优属等各项民生政策；负责辖区政务服务管理工作；负责依法建立劳动争议调解组织，开展劳动争议调解工作；组织实施居家养老服务工作；负责收集、统计因自然灾害死亡、失踪人员的数据和信息，审核居民住房恢复重建补助对象；负责受理困境家庭服务对象入住社会福利机构补助申请并提出初审意见；配合开展经常性社会捐助活动和慈善活动；按照权限承办没有单位的申请伤残抚恤评定残疾等级的受理、审查，部分烈士子女申领定期生活补助的复核、登记，带病回乡退伍军人申领定期生活补助金的初审，部分见义勇为人员及家属申领定期抚恤金的审核等工作；负责人民武装、征兵等工作；负责依法履行拥军优属职责，参与创建双拥模范区活动；负责辖区的人口与计划生育、残疾人权益保障等工作；负责协调社区卫生服务工作；组织开展预防精神障碍发生、促进精神障碍患者康复等工作；组织开展群众性卫生活动。</w:t>
      </w:r>
    </w:p>
    <w:p w14:paraId="3B879FDB">
      <w:pPr>
        <w:tabs>
          <w:tab w:val="center" w:pos="6979"/>
        </w:tabs>
        <w:spacing w:line="580" w:lineRule="exact"/>
        <w:ind w:firstLine="570"/>
        <w:rPr>
          <w:rFonts w:hint="eastAsia" w:ascii="仿宋_GB2312" w:eastAsia="仿宋_GB2312"/>
          <w:sz w:val="28"/>
          <w:szCs w:val="28"/>
        </w:rPr>
      </w:pPr>
      <w:r>
        <w:rPr>
          <w:rFonts w:hint="eastAsia" w:ascii="仿宋_GB2312" w:eastAsia="仿宋_GB2312"/>
          <w:sz w:val="28"/>
          <w:szCs w:val="28"/>
        </w:rPr>
        <w:t>7.综合行政执法队</w:t>
      </w:r>
    </w:p>
    <w:p w14:paraId="77E4BC10">
      <w:pPr>
        <w:tabs>
          <w:tab w:val="center" w:pos="6979"/>
        </w:tabs>
        <w:spacing w:line="580" w:lineRule="exact"/>
        <w:ind w:firstLine="570"/>
        <w:rPr>
          <w:rFonts w:hint="eastAsia" w:ascii="仿宋_GB2312" w:eastAsia="仿宋_GB2312"/>
          <w:sz w:val="28"/>
          <w:szCs w:val="28"/>
        </w:rPr>
      </w:pPr>
      <w:r>
        <w:rPr>
          <w:rFonts w:hint="eastAsia" w:ascii="仿宋_GB2312" w:eastAsia="仿宋_GB2312"/>
          <w:sz w:val="28"/>
          <w:szCs w:val="28"/>
        </w:rPr>
        <w:t>自</w:t>
      </w:r>
      <w:r>
        <w:rPr>
          <w:rFonts w:hint="eastAsia" w:ascii="仿宋_GB2312" w:eastAsia="仿宋_GB2312"/>
          <w:sz w:val="28"/>
          <w:szCs w:val="28"/>
          <w:lang w:eastAsia="zh-CN"/>
        </w:rPr>
        <w:t>2020年</w:t>
      </w:r>
      <w:r>
        <w:rPr>
          <w:rFonts w:hint="eastAsia" w:ascii="仿宋_GB2312" w:eastAsia="仿宋_GB2312"/>
          <w:sz w:val="28"/>
          <w:szCs w:val="28"/>
        </w:rPr>
        <w:t>7月1日起，作为大台街道办事处管理的行政执法机构，按照市政府向街镇下放部分行政执法职权目录，以大台街道办事处名义开展执法工作，承担大台街道范围内行政执法工作。</w:t>
      </w:r>
    </w:p>
    <w:p w14:paraId="33D5D32C">
      <w:pPr>
        <w:tabs>
          <w:tab w:val="center" w:pos="6979"/>
        </w:tabs>
        <w:spacing w:line="580" w:lineRule="exact"/>
        <w:ind w:firstLine="570"/>
        <w:rPr>
          <w:rFonts w:hint="eastAsia" w:ascii="仿宋_GB2312" w:eastAsia="仿宋_GB2312"/>
          <w:sz w:val="28"/>
          <w:szCs w:val="28"/>
        </w:rPr>
      </w:pPr>
      <w:r>
        <w:rPr>
          <w:rFonts w:hint="eastAsia" w:ascii="仿宋_GB2312" w:eastAsia="仿宋_GB2312"/>
          <w:sz w:val="28"/>
          <w:szCs w:val="28"/>
        </w:rPr>
        <w:t>8.便民服务中心（退役军人服务站）</w:t>
      </w:r>
    </w:p>
    <w:p w14:paraId="30D03D86">
      <w:pPr>
        <w:tabs>
          <w:tab w:val="center" w:pos="6979"/>
        </w:tabs>
        <w:spacing w:line="580" w:lineRule="exact"/>
        <w:ind w:firstLine="570"/>
        <w:rPr>
          <w:rFonts w:hint="eastAsia" w:ascii="仿宋_GB2312" w:eastAsia="仿宋_GB2312"/>
          <w:sz w:val="28"/>
          <w:szCs w:val="28"/>
        </w:rPr>
      </w:pPr>
      <w:r>
        <w:rPr>
          <w:rFonts w:hint="eastAsia" w:ascii="仿宋_GB2312" w:eastAsia="仿宋_GB2312"/>
          <w:sz w:val="28"/>
          <w:szCs w:val="28"/>
        </w:rPr>
        <w:t>负责办理公共服务事项，承担政务服务、社会保障、住房保障、养老助残、退役军人服务以及其他直接面向群众和驻区单位的综合便民服务工作，协调推动社区便民服务相关工作。</w:t>
      </w:r>
    </w:p>
    <w:p w14:paraId="5A361662">
      <w:pPr>
        <w:tabs>
          <w:tab w:val="center" w:pos="6979"/>
        </w:tabs>
        <w:spacing w:line="580" w:lineRule="exact"/>
        <w:ind w:firstLine="570"/>
        <w:rPr>
          <w:rFonts w:hint="eastAsia" w:ascii="仿宋_GB2312" w:eastAsia="仿宋_GB2312"/>
          <w:sz w:val="28"/>
          <w:szCs w:val="28"/>
        </w:rPr>
      </w:pPr>
      <w:r>
        <w:rPr>
          <w:rFonts w:hint="eastAsia" w:ascii="仿宋_GB2312" w:eastAsia="仿宋_GB2312"/>
          <w:sz w:val="28"/>
          <w:szCs w:val="28"/>
        </w:rPr>
        <w:t>9.市民活动中心（党群活动中心）</w:t>
      </w:r>
    </w:p>
    <w:p w14:paraId="64951DB5">
      <w:pPr>
        <w:tabs>
          <w:tab w:val="center" w:pos="6979"/>
        </w:tabs>
        <w:spacing w:line="580" w:lineRule="exact"/>
        <w:ind w:firstLine="570"/>
        <w:rPr>
          <w:rFonts w:hint="eastAsia" w:ascii="仿宋_GB2312" w:eastAsia="仿宋_GB2312"/>
          <w:sz w:val="28"/>
          <w:szCs w:val="28"/>
        </w:rPr>
      </w:pPr>
      <w:r>
        <w:rPr>
          <w:rFonts w:hint="eastAsia" w:ascii="仿宋_GB2312" w:eastAsia="仿宋_GB2312"/>
          <w:sz w:val="28"/>
          <w:szCs w:val="28"/>
        </w:rPr>
        <w:t>负责区域化党建的日常组织、协调、联络、服务工作、为驻区单位党组织提供资源共享平台；负责做好流动党员教育、管理等事务，指导基层单位党组织做好党员发展、教育、管理等工作；配合做好社区党组织书记的教育培训和日常管理等工作；负责为区域内各类党组织的组织设置、变更、撤销和日常运作提供咨询等服务，协助指导“两新”组织开展党建工作。</w:t>
      </w:r>
    </w:p>
    <w:p w14:paraId="67EBFC3A">
      <w:pPr>
        <w:tabs>
          <w:tab w:val="center" w:pos="6979"/>
        </w:tabs>
        <w:spacing w:line="580" w:lineRule="exact"/>
        <w:ind w:firstLine="570"/>
        <w:rPr>
          <w:rFonts w:hint="eastAsia" w:ascii="仿宋_GB2312" w:eastAsia="仿宋_GB2312"/>
          <w:sz w:val="28"/>
          <w:szCs w:val="28"/>
        </w:rPr>
      </w:pPr>
      <w:r>
        <w:rPr>
          <w:rFonts w:hint="eastAsia" w:ascii="仿宋_GB2312" w:eastAsia="仿宋_GB2312"/>
          <w:sz w:val="28"/>
          <w:szCs w:val="28"/>
        </w:rPr>
        <w:t>组织落实开展党员志愿者工作，指导社区服务志愿者队伍和社会工作者队伍；指导基层党群文化活动，为区域内党员、党组织开展各项活动提供指导和服务；负责区域内活动场所的日常管理工作；协调相关部门开展各项便民家庭服务、卫生保健服务、健身娱乐服务、养老服务、优生优育优教服务等，为社区居民提供便民利民服务。</w:t>
      </w:r>
    </w:p>
    <w:p w14:paraId="227DCE70">
      <w:pPr>
        <w:tabs>
          <w:tab w:val="center" w:pos="6979"/>
        </w:tabs>
        <w:spacing w:line="580" w:lineRule="exact"/>
        <w:ind w:firstLine="570"/>
        <w:rPr>
          <w:rFonts w:hint="eastAsia" w:ascii="仿宋_GB2312" w:eastAsia="仿宋_GB2312"/>
          <w:sz w:val="28"/>
          <w:szCs w:val="28"/>
        </w:rPr>
      </w:pPr>
      <w:r>
        <w:rPr>
          <w:rFonts w:hint="eastAsia" w:ascii="仿宋_GB2312" w:eastAsia="仿宋_GB2312"/>
          <w:sz w:val="28"/>
          <w:szCs w:val="28"/>
        </w:rPr>
        <w:t>10.市民诉求处置中心（综治中心）</w:t>
      </w:r>
    </w:p>
    <w:p w14:paraId="05EED478">
      <w:pPr>
        <w:tabs>
          <w:tab w:val="center" w:pos="6979"/>
        </w:tabs>
        <w:spacing w:line="580" w:lineRule="exact"/>
        <w:ind w:firstLine="570"/>
        <w:rPr>
          <w:rFonts w:hint="eastAsia" w:ascii="仿宋_GB2312" w:eastAsia="仿宋_GB2312"/>
          <w:sz w:val="28"/>
          <w:szCs w:val="28"/>
        </w:rPr>
      </w:pPr>
      <w:r>
        <w:rPr>
          <w:rFonts w:hint="eastAsia" w:ascii="仿宋_GB2312" w:eastAsia="仿宋_GB2312"/>
          <w:sz w:val="28"/>
          <w:szCs w:val="28"/>
        </w:rPr>
        <w:t>承担涉及本街道的“1</w:t>
      </w:r>
      <w:r>
        <w:rPr>
          <w:rFonts w:hint="eastAsia" w:ascii="仿宋_GB2312" w:eastAsia="仿宋_GB2312"/>
          <w:sz w:val="28"/>
          <w:szCs w:val="28"/>
          <w:lang w:eastAsia="zh-CN"/>
        </w:rPr>
        <w:t>2345”</w:t>
      </w:r>
      <w:r>
        <w:rPr>
          <w:rFonts w:hint="eastAsia" w:ascii="仿宋_GB2312" w:eastAsia="仿宋_GB2312"/>
          <w:sz w:val="28"/>
          <w:szCs w:val="28"/>
        </w:rPr>
        <w:t>市政府非紧急救助服务热线及其他各类政府服务热线交办事件的统一接收、按责转办、督办落实、统一答复工作；负责城市管理指挥街道分平台的日常值守、运行和监控工作；负责管理辖区内的网格巡查员，发现、收集辖区的城市管理和社会管理问题；负责对区城市管理指挥中心下达的城市管理任务和社区上报的案件进行应急响应、分流处置、监督解决，督促街道相关部门、企业、社区办理案件并及时反馈；负责城市管理指挥街道分平台的数据统计和分析。</w:t>
      </w:r>
    </w:p>
    <w:p w14:paraId="7E9B956C">
      <w:pPr>
        <w:tabs>
          <w:tab w:val="center" w:pos="6979"/>
        </w:tabs>
        <w:spacing w:line="580" w:lineRule="exact"/>
        <w:ind w:firstLine="570"/>
        <w:rPr>
          <w:rFonts w:hint="eastAsia" w:ascii="仿宋_GB2312" w:eastAsia="仿宋_GB2312"/>
          <w:sz w:val="28"/>
          <w:szCs w:val="28"/>
        </w:rPr>
      </w:pPr>
      <w:r>
        <w:rPr>
          <w:rFonts w:hint="eastAsia" w:ascii="仿宋_GB2312" w:eastAsia="仿宋_GB2312"/>
          <w:sz w:val="28"/>
          <w:szCs w:val="28"/>
        </w:rPr>
        <w:t>纪工委（监察组）、人民武装、工会、共青团、妇联、残联按有关规定设置。</w:t>
      </w:r>
    </w:p>
    <w:p w14:paraId="29B29E0D">
      <w:pPr>
        <w:tabs>
          <w:tab w:val="center" w:pos="6979"/>
        </w:tabs>
        <w:spacing w:line="580" w:lineRule="exact"/>
        <w:rPr>
          <w:rFonts w:ascii="黑体" w:eastAsia="黑体"/>
          <w:b/>
          <w:sz w:val="28"/>
          <w:szCs w:val="28"/>
        </w:rPr>
      </w:pPr>
      <w:r>
        <w:rPr>
          <w:rFonts w:hint="eastAsia" w:ascii="仿宋_GB2312" w:eastAsia="仿宋_GB2312"/>
          <w:b/>
          <w:sz w:val="32"/>
          <w:szCs w:val="32"/>
        </w:rPr>
        <w:t xml:space="preserve">   </w:t>
      </w:r>
      <w:r>
        <w:rPr>
          <w:rFonts w:hint="eastAsia" w:ascii="黑体" w:eastAsia="黑体"/>
          <w:b/>
          <w:sz w:val="28"/>
          <w:szCs w:val="28"/>
        </w:rPr>
        <w:t>二、收入支出决算总体情况说明</w:t>
      </w:r>
    </w:p>
    <w:p w14:paraId="5340F0C6">
      <w:pPr>
        <w:tabs>
          <w:tab w:val="center" w:pos="6979"/>
        </w:tabs>
        <w:spacing w:line="580" w:lineRule="exact"/>
        <w:ind w:firstLine="570"/>
        <w:rPr>
          <w:rFonts w:ascii="仿宋_GB2312" w:eastAsia="仿宋_GB2312"/>
          <w:sz w:val="28"/>
          <w:szCs w:val="28"/>
        </w:rPr>
      </w:pPr>
      <w:r>
        <w:rPr>
          <w:rFonts w:hint="eastAsia" w:ascii="仿宋_GB2312" w:eastAsia="仿宋_GB2312"/>
          <w:sz w:val="28"/>
          <w:szCs w:val="28"/>
          <w:lang w:eastAsia="zh-CN"/>
        </w:rPr>
        <w:t>2025年</w:t>
      </w:r>
      <w:r>
        <w:rPr>
          <w:rFonts w:hint="eastAsia" w:ascii="仿宋_GB2312" w:eastAsia="仿宋_GB2312"/>
          <w:sz w:val="28"/>
          <w:szCs w:val="28"/>
        </w:rPr>
        <w:t>度收、</w:t>
      </w:r>
      <w:r>
        <w:rPr>
          <w:rFonts w:ascii="仿宋_GB2312" w:eastAsia="仿宋_GB2312"/>
          <w:sz w:val="28"/>
          <w:szCs w:val="28"/>
        </w:rPr>
        <w:t>支</w:t>
      </w:r>
      <w:r>
        <w:rPr>
          <w:rFonts w:hint="eastAsia" w:ascii="仿宋_GB2312" w:eastAsia="仿宋_GB2312"/>
          <w:sz w:val="28"/>
          <w:szCs w:val="28"/>
        </w:rPr>
        <w:t>总计</w:t>
      </w:r>
      <w:r>
        <w:rPr>
          <w:rFonts w:ascii="仿宋_GB2312" w:eastAsia="仿宋_GB2312"/>
          <w:sz w:val="28"/>
          <w:szCs w:val="28"/>
        </w:rPr>
        <w:t>15</w:t>
      </w:r>
      <w:r>
        <w:rPr>
          <w:rFonts w:hint="eastAsia" w:ascii="仿宋_GB2312" w:eastAsia="仿宋_GB2312"/>
          <w:sz w:val="28"/>
          <w:szCs w:val="28"/>
          <w:lang w:eastAsia="zh-CN"/>
        </w:rPr>
        <w:t>6,790,848.</w:t>
      </w:r>
      <w:r>
        <w:rPr>
          <w:rFonts w:ascii="仿宋_GB2312" w:eastAsia="仿宋_GB2312"/>
          <w:sz w:val="28"/>
          <w:szCs w:val="28"/>
        </w:rPr>
        <w:t>75</w:t>
      </w:r>
      <w:r>
        <w:rPr>
          <w:rFonts w:hint="eastAsia" w:ascii="仿宋_GB2312" w:eastAsia="仿宋_GB2312"/>
          <w:sz w:val="28"/>
          <w:szCs w:val="28"/>
        </w:rPr>
        <w:t>元，</w:t>
      </w:r>
      <w:r>
        <w:rPr>
          <w:rFonts w:ascii="仿宋_GB2312" w:eastAsia="仿宋_GB2312"/>
          <w:sz w:val="28"/>
          <w:szCs w:val="28"/>
        </w:rPr>
        <w:t>比上年增加</w:t>
      </w:r>
      <w:r>
        <w:rPr>
          <w:rFonts w:hint="eastAsia" w:ascii="仿宋_GB2312" w:eastAsia="仿宋_GB2312"/>
          <w:sz w:val="28"/>
          <w:szCs w:val="28"/>
        </w:rPr>
        <w:t>10,539,929.65元，增长</w:t>
      </w:r>
      <w:r>
        <w:rPr>
          <w:rFonts w:hint="eastAsia" w:ascii="仿宋_GB2312" w:eastAsia="仿宋_GB2312"/>
          <w:sz w:val="28"/>
          <w:szCs w:val="28"/>
          <w:lang w:val="en-US" w:eastAsia="zh-CN"/>
        </w:rPr>
        <w:t>7.2</w:t>
      </w:r>
      <w:r>
        <w:rPr>
          <w:rFonts w:hint="eastAsia" w:ascii="仿宋_GB2312" w:eastAsia="仿宋_GB2312"/>
          <w:sz w:val="28"/>
          <w:szCs w:val="28"/>
        </w:rPr>
        <w:t>%。</w:t>
      </w:r>
    </w:p>
    <w:p w14:paraId="0B50BE43">
      <w:pPr>
        <w:tabs>
          <w:tab w:val="center" w:pos="6979"/>
        </w:tabs>
        <w:spacing w:line="580" w:lineRule="exact"/>
        <w:ind w:firstLine="570"/>
        <w:rPr>
          <w:rFonts w:ascii="仿宋_GB2312" w:eastAsia="仿宋_GB2312"/>
          <w:sz w:val="28"/>
          <w:szCs w:val="28"/>
        </w:rPr>
      </w:pPr>
      <w:r>
        <w:rPr>
          <w:rFonts w:hint="eastAsia" w:ascii="仿宋_GB2312" w:eastAsia="仿宋_GB2312"/>
          <w:sz w:val="28"/>
          <w:szCs w:val="28"/>
        </w:rPr>
        <w:t>（一</w:t>
      </w:r>
      <w:r>
        <w:rPr>
          <w:rFonts w:ascii="仿宋_GB2312" w:eastAsia="仿宋_GB2312"/>
          <w:sz w:val="28"/>
          <w:szCs w:val="28"/>
        </w:rPr>
        <w:t>）</w:t>
      </w:r>
      <w:r>
        <w:rPr>
          <w:rFonts w:hint="eastAsia" w:ascii="仿宋_GB2312" w:eastAsia="仿宋_GB2312"/>
          <w:sz w:val="28"/>
          <w:szCs w:val="28"/>
        </w:rPr>
        <w:t>收入决算</w:t>
      </w:r>
      <w:r>
        <w:rPr>
          <w:rFonts w:ascii="仿宋_GB2312" w:eastAsia="仿宋_GB2312"/>
          <w:sz w:val="28"/>
          <w:szCs w:val="28"/>
        </w:rPr>
        <w:t>说明</w:t>
      </w:r>
    </w:p>
    <w:p w14:paraId="70DAA1E5">
      <w:pPr>
        <w:tabs>
          <w:tab w:val="center" w:pos="6979"/>
        </w:tabs>
        <w:spacing w:line="580" w:lineRule="exact"/>
        <w:ind w:firstLine="570"/>
        <w:rPr>
          <w:rFonts w:ascii="仿宋_GB2312" w:eastAsia="仿宋_GB2312"/>
          <w:sz w:val="28"/>
          <w:szCs w:val="28"/>
        </w:rPr>
      </w:pPr>
      <w:r>
        <w:rPr>
          <w:rFonts w:hint="eastAsia" w:ascii="仿宋_GB2312" w:eastAsia="仿宋_GB2312"/>
          <w:sz w:val="28"/>
          <w:szCs w:val="28"/>
          <w:lang w:eastAsia="zh-CN"/>
        </w:rPr>
        <w:t>2025年</w:t>
      </w:r>
      <w:r>
        <w:rPr>
          <w:rFonts w:hint="eastAsia" w:ascii="仿宋_GB2312" w:eastAsia="仿宋_GB2312"/>
          <w:sz w:val="28"/>
          <w:szCs w:val="28"/>
        </w:rPr>
        <w:t>度本年收入合计</w:t>
      </w:r>
      <w:r>
        <w:rPr>
          <w:rFonts w:ascii="仿宋_GB2312" w:eastAsia="仿宋_GB2312"/>
          <w:sz w:val="28"/>
          <w:szCs w:val="28"/>
        </w:rPr>
        <w:t>10</w:t>
      </w:r>
      <w:r>
        <w:rPr>
          <w:rFonts w:hint="eastAsia" w:ascii="仿宋_GB2312" w:eastAsia="仿宋_GB2312"/>
          <w:sz w:val="28"/>
          <w:szCs w:val="28"/>
          <w:lang w:eastAsia="zh-CN"/>
        </w:rPr>
        <w:t>9,814,093.</w:t>
      </w:r>
      <w:r>
        <w:rPr>
          <w:rFonts w:ascii="仿宋_GB2312" w:eastAsia="仿宋_GB2312"/>
          <w:sz w:val="28"/>
          <w:szCs w:val="28"/>
        </w:rPr>
        <w:t>34</w:t>
      </w:r>
      <w:r>
        <w:rPr>
          <w:rFonts w:hint="eastAsia" w:ascii="仿宋_GB2312" w:eastAsia="仿宋_GB2312"/>
          <w:sz w:val="28"/>
          <w:szCs w:val="28"/>
        </w:rPr>
        <w:t>元，</w:t>
      </w:r>
      <w:r>
        <w:rPr>
          <w:rFonts w:ascii="仿宋_GB2312" w:eastAsia="仿宋_GB2312"/>
          <w:sz w:val="28"/>
          <w:szCs w:val="28"/>
        </w:rPr>
        <w:t>比上年增加</w:t>
      </w:r>
      <w:r>
        <w:rPr>
          <w:rFonts w:hint="eastAsia" w:ascii="仿宋_GB2312" w:eastAsia="仿宋_GB2312"/>
          <w:sz w:val="28"/>
          <w:szCs w:val="28"/>
        </w:rPr>
        <w:t>9,512,988.38元，增长</w:t>
      </w:r>
      <w:r>
        <w:rPr>
          <w:rFonts w:hint="eastAsia" w:ascii="仿宋_GB2312" w:eastAsia="仿宋_GB2312"/>
          <w:sz w:val="28"/>
          <w:szCs w:val="28"/>
          <w:lang w:val="en-US" w:eastAsia="zh-CN"/>
        </w:rPr>
        <w:t>9.5</w:t>
      </w:r>
      <w:r>
        <w:rPr>
          <w:rFonts w:hint="eastAsia" w:ascii="仿宋_GB2312" w:eastAsia="仿宋_GB2312"/>
          <w:sz w:val="28"/>
          <w:szCs w:val="28"/>
        </w:rPr>
        <w:t>%。</w:t>
      </w:r>
    </w:p>
    <w:p w14:paraId="31D4EABB">
      <w:pPr>
        <w:tabs>
          <w:tab w:val="center" w:pos="6979"/>
        </w:tabs>
        <w:spacing w:line="580" w:lineRule="exact"/>
        <w:ind w:firstLine="560" w:firstLineChars="200"/>
        <w:rPr>
          <w:rFonts w:ascii="仿宋_GB2312" w:eastAsia="仿宋_GB2312"/>
          <w:sz w:val="28"/>
          <w:szCs w:val="28"/>
        </w:rPr>
      </w:pPr>
      <w:r>
        <w:rPr>
          <w:rFonts w:hint="eastAsia" w:ascii="仿宋_GB2312" w:eastAsia="仿宋_GB2312"/>
          <w:sz w:val="28"/>
          <w:szCs w:val="28"/>
        </w:rPr>
        <w:t>1.财政拨款收入</w:t>
      </w:r>
      <w:r>
        <w:rPr>
          <w:rFonts w:ascii="仿宋_GB2312" w:eastAsia="仿宋_GB2312"/>
          <w:sz w:val="28"/>
          <w:szCs w:val="28"/>
        </w:rPr>
        <w:t>9</w:t>
      </w:r>
      <w:r>
        <w:rPr>
          <w:rFonts w:hint="eastAsia" w:ascii="仿宋_GB2312" w:eastAsia="仿宋_GB2312"/>
          <w:sz w:val="28"/>
          <w:szCs w:val="28"/>
          <w:lang w:eastAsia="zh-CN"/>
        </w:rPr>
        <w:t>8,492,100.</w:t>
      </w:r>
      <w:r>
        <w:rPr>
          <w:rFonts w:ascii="仿宋_GB2312" w:eastAsia="仿宋_GB2312"/>
          <w:sz w:val="28"/>
          <w:szCs w:val="28"/>
        </w:rPr>
        <w:t>57</w:t>
      </w:r>
      <w:r>
        <w:rPr>
          <w:rFonts w:hint="eastAsia" w:ascii="仿宋_GB2312" w:eastAsia="仿宋_GB2312"/>
          <w:sz w:val="28"/>
          <w:szCs w:val="28"/>
        </w:rPr>
        <w:t>元，占收入合计的89.</w:t>
      </w:r>
      <w:r>
        <w:rPr>
          <w:rFonts w:hint="eastAsia" w:ascii="仿宋_GB2312" w:eastAsia="仿宋_GB2312"/>
          <w:sz w:val="28"/>
          <w:szCs w:val="28"/>
          <w:lang w:val="en-US" w:eastAsia="zh-CN"/>
        </w:rPr>
        <w:t>7</w:t>
      </w:r>
      <w:r>
        <w:rPr>
          <w:rFonts w:hint="eastAsia" w:ascii="仿宋_GB2312" w:eastAsia="仿宋_GB2312"/>
          <w:sz w:val="28"/>
          <w:szCs w:val="28"/>
        </w:rPr>
        <w:t>%。其中：一般公共预算财政拨款收入</w:t>
      </w:r>
      <w:r>
        <w:rPr>
          <w:rFonts w:ascii="仿宋_GB2312" w:eastAsia="仿宋_GB2312"/>
          <w:sz w:val="28"/>
          <w:szCs w:val="28"/>
        </w:rPr>
        <w:t>9</w:t>
      </w:r>
      <w:r>
        <w:rPr>
          <w:rFonts w:hint="eastAsia" w:ascii="仿宋_GB2312" w:eastAsia="仿宋_GB2312"/>
          <w:sz w:val="28"/>
          <w:szCs w:val="28"/>
          <w:lang w:eastAsia="zh-CN"/>
        </w:rPr>
        <w:t>8,242,790.</w:t>
      </w:r>
      <w:r>
        <w:rPr>
          <w:rFonts w:ascii="仿宋_GB2312" w:eastAsia="仿宋_GB2312"/>
          <w:sz w:val="28"/>
          <w:szCs w:val="28"/>
        </w:rPr>
        <w:t>35</w:t>
      </w:r>
      <w:r>
        <w:rPr>
          <w:rFonts w:hint="eastAsia" w:ascii="仿宋_GB2312" w:eastAsia="仿宋_GB2312"/>
          <w:sz w:val="28"/>
          <w:szCs w:val="28"/>
        </w:rPr>
        <w:t>元，占收入合计的89.</w:t>
      </w:r>
      <w:r>
        <w:rPr>
          <w:rFonts w:hint="eastAsia" w:ascii="仿宋_GB2312" w:eastAsia="仿宋_GB2312"/>
          <w:sz w:val="28"/>
          <w:szCs w:val="28"/>
          <w:lang w:val="en-US" w:eastAsia="zh-CN"/>
        </w:rPr>
        <w:t>5</w:t>
      </w:r>
      <w:r>
        <w:rPr>
          <w:rFonts w:hint="eastAsia" w:ascii="仿宋_GB2312" w:eastAsia="仿宋_GB2312"/>
          <w:sz w:val="28"/>
          <w:szCs w:val="28"/>
        </w:rPr>
        <w:t>%；政府性基金预算财政拨款收入</w:t>
      </w:r>
      <w:r>
        <w:rPr>
          <w:rFonts w:ascii="仿宋_GB2312" w:eastAsia="仿宋_GB2312"/>
          <w:sz w:val="28"/>
          <w:szCs w:val="28"/>
        </w:rPr>
        <w:t>10</w:t>
      </w:r>
      <w:r>
        <w:rPr>
          <w:rFonts w:hint="eastAsia" w:ascii="仿宋_GB2312" w:eastAsia="仿宋_GB2312"/>
          <w:sz w:val="28"/>
          <w:szCs w:val="28"/>
          <w:lang w:eastAsia="zh-CN"/>
        </w:rPr>
        <w:t>0,000元</w:t>
      </w:r>
      <w:r>
        <w:rPr>
          <w:rFonts w:hint="eastAsia" w:ascii="仿宋_GB2312" w:eastAsia="仿宋_GB2312"/>
          <w:sz w:val="28"/>
          <w:szCs w:val="28"/>
        </w:rPr>
        <w:t>，占收入合计的0.</w:t>
      </w:r>
      <w:r>
        <w:rPr>
          <w:rFonts w:hint="eastAsia" w:ascii="仿宋_GB2312" w:eastAsia="仿宋_GB2312"/>
          <w:sz w:val="28"/>
          <w:szCs w:val="28"/>
          <w:lang w:val="en-US" w:eastAsia="zh-CN"/>
        </w:rPr>
        <w:t>1</w:t>
      </w:r>
      <w:r>
        <w:rPr>
          <w:rFonts w:hint="eastAsia" w:ascii="仿宋_GB2312" w:eastAsia="仿宋_GB2312"/>
          <w:sz w:val="28"/>
          <w:szCs w:val="28"/>
        </w:rPr>
        <w:t>%；国有资本经营预算财政拨款收入</w:t>
      </w:r>
      <w:r>
        <w:rPr>
          <w:rFonts w:ascii="仿宋_GB2312" w:eastAsia="仿宋_GB2312"/>
          <w:sz w:val="28"/>
          <w:szCs w:val="28"/>
        </w:rPr>
        <w:t>14</w:t>
      </w:r>
      <w:r>
        <w:rPr>
          <w:rFonts w:hint="eastAsia" w:ascii="仿宋_GB2312" w:eastAsia="仿宋_GB2312"/>
          <w:sz w:val="28"/>
          <w:szCs w:val="28"/>
          <w:lang w:eastAsia="zh-CN"/>
        </w:rPr>
        <w:t>9,310.</w:t>
      </w:r>
      <w:r>
        <w:rPr>
          <w:rFonts w:ascii="仿宋_GB2312" w:eastAsia="仿宋_GB2312"/>
          <w:sz w:val="28"/>
          <w:szCs w:val="28"/>
        </w:rPr>
        <w:t>22</w:t>
      </w:r>
      <w:r>
        <w:rPr>
          <w:rFonts w:hint="eastAsia" w:ascii="仿宋_GB2312" w:eastAsia="仿宋_GB2312"/>
          <w:sz w:val="28"/>
          <w:szCs w:val="28"/>
        </w:rPr>
        <w:t>元，占收入合计的0.</w:t>
      </w:r>
      <w:r>
        <w:rPr>
          <w:rFonts w:hint="eastAsia" w:ascii="仿宋_GB2312" w:eastAsia="仿宋_GB2312"/>
          <w:sz w:val="28"/>
          <w:szCs w:val="28"/>
          <w:lang w:val="en-US" w:eastAsia="zh-CN"/>
        </w:rPr>
        <w:t>1</w:t>
      </w:r>
      <w:r>
        <w:rPr>
          <w:rFonts w:hint="eastAsia" w:ascii="仿宋_GB2312" w:eastAsia="仿宋_GB2312"/>
          <w:sz w:val="28"/>
          <w:szCs w:val="28"/>
        </w:rPr>
        <w:t>%；</w:t>
      </w:r>
    </w:p>
    <w:p w14:paraId="73734A80">
      <w:pPr>
        <w:tabs>
          <w:tab w:val="center" w:pos="6979"/>
        </w:tabs>
        <w:spacing w:line="580" w:lineRule="exact"/>
        <w:ind w:firstLine="560" w:firstLineChars="200"/>
        <w:rPr>
          <w:rFonts w:ascii="仿宋_GB2312" w:eastAsia="仿宋_GB2312"/>
          <w:sz w:val="28"/>
          <w:szCs w:val="28"/>
        </w:rPr>
      </w:pPr>
      <w:r>
        <w:rPr>
          <w:rFonts w:hint="eastAsia" w:ascii="仿宋_GB2312" w:eastAsia="仿宋_GB2312"/>
          <w:sz w:val="28"/>
          <w:szCs w:val="28"/>
        </w:rPr>
        <w:t>2.上级补助收入</w:t>
      </w:r>
      <w:r>
        <w:rPr>
          <w:rFonts w:ascii="仿宋_GB2312" w:eastAsia="仿宋_GB2312"/>
          <w:sz w:val="28"/>
          <w:szCs w:val="28"/>
        </w:rPr>
        <w:t>0</w:t>
      </w:r>
      <w:r>
        <w:rPr>
          <w:rFonts w:hint="eastAsia" w:ascii="仿宋_GB2312" w:eastAsia="仿宋_GB2312"/>
          <w:sz w:val="28"/>
          <w:szCs w:val="28"/>
          <w:lang w:val="en-US" w:eastAsia="zh-CN"/>
        </w:rPr>
        <w:t>.00</w:t>
      </w:r>
      <w:r>
        <w:rPr>
          <w:rFonts w:hint="eastAsia" w:ascii="仿宋_GB2312" w:eastAsia="仿宋_GB2312"/>
          <w:sz w:val="28"/>
          <w:szCs w:val="28"/>
        </w:rPr>
        <w:t>元，占收入合计的0</w:t>
      </w:r>
      <w:r>
        <w:rPr>
          <w:rFonts w:hint="eastAsia" w:ascii="仿宋_GB2312" w:eastAsia="仿宋_GB2312"/>
          <w:sz w:val="28"/>
          <w:szCs w:val="28"/>
          <w:lang w:val="en-US" w:eastAsia="zh-CN"/>
        </w:rPr>
        <w:t>.0</w:t>
      </w:r>
      <w:r>
        <w:rPr>
          <w:rFonts w:hint="eastAsia" w:ascii="仿宋_GB2312" w:eastAsia="仿宋_GB2312"/>
          <w:sz w:val="28"/>
          <w:szCs w:val="28"/>
        </w:rPr>
        <w:t>%；</w:t>
      </w:r>
    </w:p>
    <w:p w14:paraId="0650D80E">
      <w:pPr>
        <w:tabs>
          <w:tab w:val="center" w:pos="6979"/>
        </w:tabs>
        <w:spacing w:line="580" w:lineRule="exact"/>
        <w:ind w:firstLine="560" w:firstLineChars="200"/>
        <w:rPr>
          <w:rFonts w:ascii="仿宋_GB2312" w:eastAsia="仿宋_GB2312"/>
          <w:sz w:val="28"/>
          <w:szCs w:val="28"/>
        </w:rPr>
      </w:pPr>
      <w:r>
        <w:rPr>
          <w:rFonts w:hint="eastAsia" w:ascii="仿宋_GB2312" w:eastAsia="仿宋_GB2312"/>
          <w:sz w:val="28"/>
          <w:szCs w:val="28"/>
        </w:rPr>
        <w:t>3.事业收入</w:t>
      </w:r>
      <w:r>
        <w:rPr>
          <w:rFonts w:ascii="仿宋_GB2312" w:eastAsia="仿宋_GB2312"/>
          <w:sz w:val="28"/>
          <w:szCs w:val="28"/>
        </w:rPr>
        <w:t>0</w:t>
      </w:r>
      <w:r>
        <w:rPr>
          <w:rFonts w:hint="eastAsia" w:ascii="仿宋_GB2312" w:eastAsia="仿宋_GB2312"/>
          <w:sz w:val="28"/>
          <w:szCs w:val="28"/>
          <w:lang w:val="en-US" w:eastAsia="zh-CN"/>
        </w:rPr>
        <w:t>.00</w:t>
      </w:r>
      <w:r>
        <w:rPr>
          <w:rFonts w:hint="eastAsia" w:ascii="仿宋_GB2312" w:eastAsia="仿宋_GB2312"/>
          <w:sz w:val="28"/>
          <w:szCs w:val="28"/>
        </w:rPr>
        <w:t>元，占收入合计的0</w:t>
      </w:r>
      <w:r>
        <w:rPr>
          <w:rFonts w:hint="eastAsia" w:ascii="仿宋_GB2312" w:eastAsia="仿宋_GB2312"/>
          <w:sz w:val="28"/>
          <w:szCs w:val="28"/>
          <w:lang w:val="en-US" w:eastAsia="zh-CN"/>
        </w:rPr>
        <w:t>.0</w:t>
      </w:r>
      <w:r>
        <w:rPr>
          <w:rFonts w:hint="eastAsia" w:ascii="仿宋_GB2312" w:eastAsia="仿宋_GB2312"/>
          <w:sz w:val="28"/>
          <w:szCs w:val="28"/>
        </w:rPr>
        <w:t>%；</w:t>
      </w:r>
    </w:p>
    <w:p w14:paraId="52238F90">
      <w:pPr>
        <w:tabs>
          <w:tab w:val="center" w:pos="6979"/>
        </w:tabs>
        <w:spacing w:line="580" w:lineRule="exact"/>
        <w:ind w:firstLine="560" w:firstLineChars="200"/>
        <w:rPr>
          <w:rFonts w:ascii="仿宋_GB2312" w:eastAsia="仿宋_GB2312"/>
          <w:sz w:val="28"/>
          <w:szCs w:val="28"/>
        </w:rPr>
      </w:pPr>
      <w:r>
        <w:rPr>
          <w:rFonts w:hint="eastAsia" w:ascii="仿宋_GB2312" w:eastAsia="仿宋_GB2312"/>
          <w:sz w:val="28"/>
          <w:szCs w:val="28"/>
        </w:rPr>
        <w:t>4.经营收入</w:t>
      </w:r>
      <w:r>
        <w:rPr>
          <w:rFonts w:ascii="仿宋_GB2312" w:eastAsia="仿宋_GB2312"/>
          <w:sz w:val="28"/>
          <w:szCs w:val="28"/>
        </w:rPr>
        <w:t>0</w:t>
      </w:r>
      <w:r>
        <w:rPr>
          <w:rFonts w:hint="eastAsia" w:ascii="仿宋_GB2312" w:eastAsia="仿宋_GB2312"/>
          <w:sz w:val="28"/>
          <w:szCs w:val="28"/>
          <w:lang w:val="en-US" w:eastAsia="zh-CN"/>
        </w:rPr>
        <w:t>.00</w:t>
      </w:r>
      <w:r>
        <w:rPr>
          <w:rFonts w:hint="eastAsia" w:ascii="仿宋_GB2312" w:eastAsia="仿宋_GB2312"/>
          <w:sz w:val="28"/>
          <w:szCs w:val="28"/>
        </w:rPr>
        <w:t>元，占收入合计的0</w:t>
      </w:r>
      <w:r>
        <w:rPr>
          <w:rFonts w:hint="eastAsia" w:ascii="仿宋_GB2312" w:eastAsia="仿宋_GB2312"/>
          <w:sz w:val="28"/>
          <w:szCs w:val="28"/>
          <w:lang w:val="en-US" w:eastAsia="zh-CN"/>
        </w:rPr>
        <w:t>.0</w:t>
      </w:r>
      <w:r>
        <w:rPr>
          <w:rFonts w:hint="eastAsia" w:ascii="仿宋_GB2312" w:eastAsia="仿宋_GB2312"/>
          <w:sz w:val="28"/>
          <w:szCs w:val="28"/>
        </w:rPr>
        <w:t>%；</w:t>
      </w:r>
    </w:p>
    <w:p w14:paraId="73EC696B">
      <w:pPr>
        <w:tabs>
          <w:tab w:val="center" w:pos="6979"/>
        </w:tabs>
        <w:spacing w:line="580" w:lineRule="exact"/>
        <w:ind w:firstLine="560" w:firstLineChars="200"/>
        <w:rPr>
          <w:rFonts w:ascii="仿宋_GB2312" w:eastAsia="仿宋_GB2312"/>
          <w:sz w:val="28"/>
          <w:szCs w:val="28"/>
        </w:rPr>
      </w:pPr>
      <w:r>
        <w:rPr>
          <w:rFonts w:hint="eastAsia" w:ascii="仿宋_GB2312" w:eastAsia="仿宋_GB2312"/>
          <w:sz w:val="28"/>
          <w:szCs w:val="28"/>
        </w:rPr>
        <w:t>5.附属单位上缴收入</w:t>
      </w:r>
      <w:r>
        <w:rPr>
          <w:rFonts w:ascii="仿宋_GB2312" w:eastAsia="仿宋_GB2312"/>
          <w:sz w:val="28"/>
          <w:szCs w:val="28"/>
        </w:rPr>
        <w:t>0</w:t>
      </w:r>
      <w:r>
        <w:rPr>
          <w:rFonts w:hint="eastAsia" w:ascii="仿宋_GB2312" w:eastAsia="仿宋_GB2312"/>
          <w:sz w:val="28"/>
          <w:szCs w:val="28"/>
          <w:lang w:val="en-US" w:eastAsia="zh-CN"/>
        </w:rPr>
        <w:t>.00</w:t>
      </w:r>
      <w:r>
        <w:rPr>
          <w:rFonts w:hint="eastAsia" w:ascii="仿宋_GB2312" w:eastAsia="仿宋_GB2312"/>
          <w:sz w:val="28"/>
          <w:szCs w:val="28"/>
        </w:rPr>
        <w:t>元，占收入合计的0</w:t>
      </w:r>
      <w:r>
        <w:rPr>
          <w:rFonts w:hint="eastAsia" w:ascii="仿宋_GB2312" w:eastAsia="仿宋_GB2312"/>
          <w:sz w:val="28"/>
          <w:szCs w:val="28"/>
          <w:lang w:val="en-US" w:eastAsia="zh-CN"/>
        </w:rPr>
        <w:t>.0</w:t>
      </w:r>
      <w:r>
        <w:rPr>
          <w:rFonts w:hint="eastAsia" w:ascii="仿宋_GB2312" w:eastAsia="仿宋_GB2312"/>
          <w:sz w:val="28"/>
          <w:szCs w:val="28"/>
        </w:rPr>
        <w:t>%；</w:t>
      </w:r>
    </w:p>
    <w:p w14:paraId="1205A3D7">
      <w:pPr>
        <w:tabs>
          <w:tab w:val="center" w:pos="6979"/>
        </w:tabs>
        <w:spacing w:line="580" w:lineRule="exact"/>
        <w:ind w:firstLine="560" w:firstLineChars="200"/>
        <w:rPr>
          <w:rFonts w:ascii="仿宋_GB2312" w:eastAsia="仿宋_GB2312"/>
          <w:sz w:val="28"/>
          <w:szCs w:val="28"/>
        </w:rPr>
      </w:pPr>
      <w:r>
        <w:rPr>
          <w:rFonts w:hint="eastAsia" w:ascii="仿宋_GB2312" w:eastAsia="仿宋_GB2312"/>
          <w:sz w:val="28"/>
          <w:szCs w:val="28"/>
        </w:rPr>
        <w:t>6.其他收入</w:t>
      </w:r>
      <w:r>
        <w:rPr>
          <w:rFonts w:ascii="仿宋_GB2312" w:eastAsia="仿宋_GB2312"/>
          <w:sz w:val="28"/>
          <w:szCs w:val="28"/>
        </w:rPr>
        <w:t>1</w:t>
      </w:r>
      <w:r>
        <w:rPr>
          <w:rFonts w:hint="eastAsia" w:ascii="仿宋_GB2312" w:eastAsia="仿宋_GB2312"/>
          <w:sz w:val="28"/>
          <w:szCs w:val="28"/>
          <w:lang w:eastAsia="zh-CN"/>
        </w:rPr>
        <w:t>1,321,992.</w:t>
      </w:r>
      <w:r>
        <w:rPr>
          <w:rFonts w:ascii="仿宋_GB2312" w:eastAsia="仿宋_GB2312"/>
          <w:sz w:val="28"/>
          <w:szCs w:val="28"/>
        </w:rPr>
        <w:t>77</w:t>
      </w:r>
      <w:r>
        <w:rPr>
          <w:rFonts w:hint="eastAsia" w:ascii="仿宋_GB2312" w:eastAsia="仿宋_GB2312"/>
          <w:sz w:val="28"/>
          <w:szCs w:val="28"/>
        </w:rPr>
        <w:t>元，占收入合计的10.3%。</w:t>
      </w:r>
    </w:p>
    <w:p w14:paraId="64C91045">
      <w:pPr>
        <w:pStyle w:val="2"/>
        <w:jc w:val="center"/>
      </w:pPr>
      <w:r>
        <w:rPr>
          <w:rFonts w:hint="eastAsia" w:ascii="仿宋_GB2312" w:eastAsia="仿宋_GB2312"/>
          <w:color w:val="000000"/>
          <w:sz w:val="32"/>
        </w:rPr>
        <w:t>图1：收入决算</w:t>
      </w:r>
    </w:p>
    <w:p w14:paraId="4696CF62">
      <w:pPr>
        <w:pStyle w:val="3"/>
        <w:ind w:firstLine="420"/>
        <w:jc w:val="center"/>
      </w:pPr>
      <w:r>
        <w:drawing>
          <wp:inline distT="0" distB="0" distL="0" distR="0">
            <wp:extent cx="4036695" cy="2328545"/>
            <wp:effectExtent l="0" t="0" r="20955" b="14605"/>
            <wp:docPr id="3" name="图表 3" title="{{pieChart1}}"/>
            <wp:cNvGraphicFramePr/>
            <a:graphic xmlns:a="http://schemas.openxmlformats.org/drawingml/2006/main">
              <a:graphicData uri="http://schemas.openxmlformats.org/drawingml/2006/chart">
                <c:chart xmlns:c="http://schemas.openxmlformats.org/drawingml/2006/chart" xmlns:r="http://schemas.openxmlformats.org/officeDocument/2006/relationships" r:id="rId7"/>
              </a:graphicData>
            </a:graphic>
          </wp:inline>
        </w:drawing>
      </w:r>
    </w:p>
    <w:p w14:paraId="2C7157EA">
      <w:pPr>
        <w:tabs>
          <w:tab w:val="center" w:pos="6979"/>
        </w:tabs>
        <w:spacing w:line="580" w:lineRule="exact"/>
        <w:ind w:firstLine="570"/>
        <w:rPr>
          <w:rFonts w:ascii="仿宋_GB2312" w:eastAsia="仿宋_GB2312"/>
          <w:sz w:val="28"/>
          <w:szCs w:val="28"/>
        </w:rPr>
      </w:pPr>
      <w:r>
        <w:rPr>
          <w:rFonts w:hint="eastAsia" w:ascii="仿宋_GB2312" w:eastAsia="仿宋_GB2312"/>
          <w:sz w:val="28"/>
          <w:szCs w:val="28"/>
        </w:rPr>
        <w:t>（二</w:t>
      </w:r>
      <w:r>
        <w:rPr>
          <w:rFonts w:ascii="仿宋_GB2312" w:eastAsia="仿宋_GB2312"/>
          <w:sz w:val="28"/>
          <w:szCs w:val="28"/>
        </w:rPr>
        <w:t>）</w:t>
      </w:r>
      <w:r>
        <w:rPr>
          <w:rFonts w:hint="eastAsia" w:ascii="仿宋_GB2312" w:eastAsia="仿宋_GB2312"/>
          <w:sz w:val="28"/>
          <w:szCs w:val="28"/>
        </w:rPr>
        <w:t>支出决算</w:t>
      </w:r>
      <w:r>
        <w:rPr>
          <w:rFonts w:ascii="仿宋_GB2312" w:eastAsia="仿宋_GB2312"/>
          <w:sz w:val="28"/>
          <w:szCs w:val="28"/>
        </w:rPr>
        <w:t>说明</w:t>
      </w:r>
    </w:p>
    <w:p w14:paraId="1C695C63">
      <w:pPr>
        <w:tabs>
          <w:tab w:val="center" w:pos="6979"/>
        </w:tabs>
        <w:spacing w:line="580" w:lineRule="exact"/>
        <w:ind w:firstLine="570"/>
        <w:rPr>
          <w:rFonts w:ascii="仿宋_GB2312" w:eastAsia="仿宋_GB2312" w:cs="Droid Sans"/>
          <w:color w:val="000000"/>
          <w:sz w:val="32"/>
          <w:szCs w:val="32"/>
        </w:rPr>
      </w:pPr>
      <w:r>
        <w:rPr>
          <w:rFonts w:hint="eastAsia" w:ascii="仿宋_GB2312" w:eastAsia="仿宋_GB2312"/>
          <w:sz w:val="28"/>
          <w:szCs w:val="28"/>
          <w:lang w:eastAsia="zh-CN"/>
        </w:rPr>
        <w:t>2025年</w:t>
      </w:r>
      <w:r>
        <w:rPr>
          <w:rFonts w:hint="eastAsia" w:ascii="仿宋_GB2312" w:eastAsia="仿宋_GB2312"/>
          <w:sz w:val="28"/>
          <w:szCs w:val="28"/>
        </w:rPr>
        <w:t>度本年支出合计</w:t>
      </w:r>
      <w:r>
        <w:rPr>
          <w:rFonts w:ascii="仿宋_GB2312" w:eastAsia="仿宋_GB2312"/>
          <w:sz w:val="28"/>
          <w:szCs w:val="28"/>
        </w:rPr>
        <w:t>11</w:t>
      </w:r>
      <w:r>
        <w:rPr>
          <w:rFonts w:hint="eastAsia" w:ascii="仿宋_GB2312" w:eastAsia="仿宋_GB2312"/>
          <w:sz w:val="28"/>
          <w:szCs w:val="28"/>
          <w:lang w:eastAsia="zh-CN"/>
        </w:rPr>
        <w:t>7,214,105.</w:t>
      </w:r>
      <w:r>
        <w:rPr>
          <w:rFonts w:ascii="仿宋_GB2312" w:eastAsia="仿宋_GB2312"/>
          <w:sz w:val="28"/>
          <w:szCs w:val="28"/>
        </w:rPr>
        <w:t>33</w:t>
      </w:r>
      <w:r>
        <w:rPr>
          <w:rFonts w:hint="eastAsia" w:ascii="仿宋_GB2312" w:eastAsia="仿宋_GB2312"/>
          <w:sz w:val="28"/>
          <w:szCs w:val="28"/>
        </w:rPr>
        <w:t>元，</w:t>
      </w:r>
      <w:r>
        <w:rPr>
          <w:rFonts w:ascii="仿宋_GB2312" w:eastAsia="仿宋_GB2312"/>
          <w:sz w:val="28"/>
          <w:szCs w:val="28"/>
        </w:rPr>
        <w:t>比上年增加</w:t>
      </w:r>
      <w:r>
        <w:rPr>
          <w:rFonts w:hint="eastAsia" w:ascii="仿宋_GB2312" w:eastAsia="仿宋_GB2312"/>
          <w:sz w:val="28"/>
          <w:szCs w:val="28"/>
        </w:rPr>
        <w:t>20,664,682.92元，增长</w:t>
      </w:r>
      <w:r>
        <w:rPr>
          <w:rFonts w:hint="eastAsia" w:ascii="仿宋_GB2312" w:eastAsia="仿宋_GB2312"/>
          <w:sz w:val="28"/>
          <w:szCs w:val="28"/>
          <w:lang w:val="en-US" w:eastAsia="zh-CN"/>
        </w:rPr>
        <w:t>21.4</w:t>
      </w:r>
      <w:r>
        <w:rPr>
          <w:rFonts w:hint="eastAsia" w:ascii="仿宋_GB2312" w:eastAsia="仿宋_GB2312"/>
          <w:sz w:val="28"/>
          <w:szCs w:val="28"/>
        </w:rPr>
        <w:t>%，其中：基本支出</w:t>
      </w:r>
      <w:r>
        <w:rPr>
          <w:rFonts w:ascii="仿宋_GB2312" w:eastAsia="仿宋_GB2312"/>
          <w:sz w:val="28"/>
          <w:szCs w:val="28"/>
        </w:rPr>
        <w:t>1</w:t>
      </w:r>
      <w:r>
        <w:rPr>
          <w:rFonts w:hint="eastAsia" w:ascii="仿宋_GB2312" w:eastAsia="仿宋_GB2312"/>
          <w:sz w:val="28"/>
          <w:szCs w:val="28"/>
          <w:lang w:eastAsia="zh-CN"/>
        </w:rPr>
        <w:t>9,344,708.</w:t>
      </w:r>
      <w:r>
        <w:rPr>
          <w:rFonts w:ascii="仿宋_GB2312" w:eastAsia="仿宋_GB2312"/>
          <w:sz w:val="28"/>
          <w:szCs w:val="28"/>
        </w:rPr>
        <w:t>58</w:t>
      </w:r>
      <w:r>
        <w:rPr>
          <w:rFonts w:hint="eastAsia" w:ascii="仿宋_GB2312" w:eastAsia="仿宋_GB2312"/>
          <w:sz w:val="28"/>
          <w:szCs w:val="28"/>
        </w:rPr>
        <w:t>元，占支出合计的16.5%；项目支出</w:t>
      </w:r>
      <w:r>
        <w:rPr>
          <w:rFonts w:ascii="仿宋_GB2312" w:eastAsia="仿宋_GB2312"/>
          <w:sz w:val="28"/>
          <w:szCs w:val="28"/>
        </w:rPr>
        <w:t>9</w:t>
      </w:r>
      <w:r>
        <w:rPr>
          <w:rFonts w:hint="eastAsia" w:ascii="仿宋_GB2312" w:eastAsia="仿宋_GB2312"/>
          <w:sz w:val="28"/>
          <w:szCs w:val="28"/>
          <w:lang w:eastAsia="zh-CN"/>
        </w:rPr>
        <w:t>7,869,396.</w:t>
      </w:r>
      <w:r>
        <w:rPr>
          <w:rFonts w:ascii="仿宋_GB2312" w:eastAsia="仿宋_GB2312"/>
          <w:sz w:val="28"/>
          <w:szCs w:val="28"/>
        </w:rPr>
        <w:t>75</w:t>
      </w:r>
      <w:r>
        <w:rPr>
          <w:rFonts w:hint="eastAsia" w:ascii="仿宋_GB2312" w:eastAsia="仿宋_GB2312"/>
          <w:sz w:val="28"/>
          <w:szCs w:val="28"/>
        </w:rPr>
        <w:t>元，占支出合计的83.5%</w:t>
      </w:r>
      <w:r>
        <w:rPr>
          <w:rFonts w:hint="eastAsia" w:ascii="仿宋_GB2312" w:eastAsia="仿宋_GB2312"/>
          <w:sz w:val="28"/>
          <w:szCs w:val="28"/>
          <w:lang w:eastAsia="zh-CN"/>
        </w:rPr>
        <w:t>；</w:t>
      </w:r>
      <w:r>
        <w:rPr>
          <w:rFonts w:hint="eastAsia" w:ascii="仿宋_GB2312" w:eastAsia="仿宋_GB2312"/>
          <w:sz w:val="28"/>
          <w:szCs w:val="28"/>
        </w:rPr>
        <w:t>上缴上级支出</w:t>
      </w:r>
      <w:r>
        <w:rPr>
          <w:rFonts w:ascii="仿宋_GB2312" w:eastAsia="仿宋_GB2312"/>
          <w:sz w:val="28"/>
          <w:szCs w:val="28"/>
        </w:rPr>
        <w:t>0</w:t>
      </w:r>
      <w:r>
        <w:rPr>
          <w:rFonts w:hint="eastAsia" w:ascii="仿宋_GB2312" w:eastAsia="仿宋_GB2312"/>
          <w:sz w:val="28"/>
          <w:szCs w:val="28"/>
          <w:lang w:val="en-US" w:eastAsia="zh-CN"/>
        </w:rPr>
        <w:t>.00</w:t>
      </w:r>
      <w:r>
        <w:rPr>
          <w:rFonts w:hint="eastAsia" w:ascii="仿宋_GB2312" w:eastAsia="仿宋_GB2312"/>
          <w:sz w:val="28"/>
          <w:szCs w:val="28"/>
        </w:rPr>
        <w:t>元，占支出合计的0</w:t>
      </w:r>
      <w:r>
        <w:rPr>
          <w:rFonts w:hint="eastAsia" w:ascii="仿宋_GB2312" w:eastAsia="仿宋_GB2312"/>
          <w:sz w:val="28"/>
          <w:szCs w:val="28"/>
          <w:lang w:val="en-US" w:eastAsia="zh-CN"/>
        </w:rPr>
        <w:t>.0</w:t>
      </w:r>
      <w:r>
        <w:rPr>
          <w:rFonts w:hint="eastAsia" w:ascii="仿宋_GB2312" w:eastAsia="仿宋_GB2312"/>
          <w:sz w:val="28"/>
          <w:szCs w:val="28"/>
        </w:rPr>
        <w:t>%；经营支出</w:t>
      </w:r>
      <w:r>
        <w:rPr>
          <w:rFonts w:ascii="仿宋_GB2312" w:eastAsia="仿宋_GB2312"/>
          <w:sz w:val="28"/>
          <w:szCs w:val="28"/>
        </w:rPr>
        <w:t>0</w:t>
      </w:r>
      <w:r>
        <w:rPr>
          <w:rFonts w:hint="eastAsia" w:ascii="仿宋_GB2312" w:eastAsia="仿宋_GB2312"/>
          <w:sz w:val="28"/>
          <w:szCs w:val="28"/>
          <w:lang w:val="en-US" w:eastAsia="zh-CN"/>
        </w:rPr>
        <w:t>.00</w:t>
      </w:r>
      <w:r>
        <w:rPr>
          <w:rFonts w:hint="eastAsia" w:ascii="仿宋_GB2312" w:eastAsia="仿宋_GB2312"/>
          <w:sz w:val="28"/>
          <w:szCs w:val="28"/>
        </w:rPr>
        <w:t>元，占支出合计的0</w:t>
      </w:r>
      <w:r>
        <w:rPr>
          <w:rFonts w:hint="eastAsia" w:ascii="仿宋_GB2312" w:eastAsia="仿宋_GB2312"/>
          <w:sz w:val="28"/>
          <w:szCs w:val="28"/>
          <w:lang w:val="en-US" w:eastAsia="zh-CN"/>
        </w:rPr>
        <w:t>.0</w:t>
      </w:r>
      <w:r>
        <w:rPr>
          <w:rFonts w:hint="eastAsia" w:ascii="仿宋_GB2312" w:eastAsia="仿宋_GB2312"/>
          <w:sz w:val="28"/>
          <w:szCs w:val="28"/>
        </w:rPr>
        <w:t>%；对附属单位补助支出</w:t>
      </w:r>
      <w:r>
        <w:rPr>
          <w:rFonts w:ascii="仿宋_GB2312" w:eastAsia="仿宋_GB2312"/>
          <w:sz w:val="28"/>
          <w:szCs w:val="28"/>
        </w:rPr>
        <w:t>0</w:t>
      </w:r>
      <w:r>
        <w:rPr>
          <w:rFonts w:hint="eastAsia" w:ascii="仿宋_GB2312" w:eastAsia="仿宋_GB2312"/>
          <w:sz w:val="28"/>
          <w:szCs w:val="28"/>
          <w:lang w:val="en-US" w:eastAsia="zh-CN"/>
        </w:rPr>
        <w:t>.00</w:t>
      </w:r>
      <w:r>
        <w:rPr>
          <w:rFonts w:hint="eastAsia" w:ascii="仿宋_GB2312" w:eastAsia="仿宋_GB2312"/>
          <w:sz w:val="28"/>
          <w:szCs w:val="28"/>
        </w:rPr>
        <w:t>元，占支出合计的0</w:t>
      </w:r>
      <w:r>
        <w:rPr>
          <w:rFonts w:hint="eastAsia" w:ascii="仿宋_GB2312" w:eastAsia="仿宋_GB2312"/>
          <w:sz w:val="28"/>
          <w:szCs w:val="28"/>
          <w:lang w:val="en-US" w:eastAsia="zh-CN"/>
        </w:rPr>
        <w:t>.0</w:t>
      </w:r>
      <w:r>
        <w:rPr>
          <w:rFonts w:hint="eastAsia" w:ascii="仿宋_GB2312" w:eastAsia="仿宋_GB2312"/>
          <w:sz w:val="28"/>
          <w:szCs w:val="28"/>
        </w:rPr>
        <w:t>%。</w:t>
      </w:r>
    </w:p>
    <w:p w14:paraId="259F3208">
      <w:pPr>
        <w:pStyle w:val="2"/>
        <w:ind w:firstLine="5772" w:firstLineChars="1804"/>
        <w:rPr>
          <w:rFonts w:ascii="仿宋_GB2312" w:eastAsia="仿宋_GB2312"/>
          <w:color w:val="000000"/>
          <w:sz w:val="32"/>
        </w:rPr>
      </w:pPr>
      <w:r>
        <w:rPr>
          <w:rFonts w:hint="eastAsia" w:ascii="仿宋_GB2312" w:eastAsia="仿宋_GB2312"/>
          <w:color w:val="000000"/>
          <w:sz w:val="32"/>
        </w:rPr>
        <w:t>图2：支出决算</w:t>
      </w:r>
    </w:p>
    <w:p w14:paraId="50020BE3">
      <w:pPr>
        <w:jc w:val="center"/>
        <w:rPr>
          <w:rFonts w:ascii="黑体" w:eastAsia="黑体"/>
          <w:b/>
          <w:sz w:val="28"/>
          <w:szCs w:val="28"/>
        </w:rPr>
      </w:pPr>
      <w:r>
        <w:drawing>
          <wp:inline distT="0" distB="0" distL="114300" distR="114300">
            <wp:extent cx="4572000" cy="2743200"/>
            <wp:effectExtent l="4445" t="4445" r="14605" b="14605"/>
            <wp:docPr id="1" name="图表 3" title="{{pieChart2}}"/>
            <wp:cNvGraphicFramePr>
              <a:graphicFrameLocks xmlns:a="http://schemas.openxmlformats.org/drawingml/2006/main" noChangeAspect="1"/>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inline>
        </w:drawing>
      </w:r>
    </w:p>
    <w:p w14:paraId="72CC6BF1">
      <w:pPr>
        <w:tabs>
          <w:tab w:val="center" w:pos="6979"/>
        </w:tabs>
        <w:spacing w:line="580" w:lineRule="exact"/>
        <w:ind w:firstLine="548" w:firstLineChars="196"/>
        <w:rPr>
          <w:rFonts w:ascii="黑体" w:eastAsia="黑体"/>
          <w:b/>
          <w:sz w:val="28"/>
          <w:szCs w:val="28"/>
        </w:rPr>
      </w:pPr>
      <w:r>
        <w:rPr>
          <w:rFonts w:hint="eastAsia" w:ascii="黑体" w:eastAsia="黑体"/>
          <w:b/>
          <w:sz w:val="28"/>
          <w:szCs w:val="28"/>
        </w:rPr>
        <w:t>三</w:t>
      </w:r>
      <w:r>
        <w:rPr>
          <w:rFonts w:ascii="黑体" w:eastAsia="黑体"/>
          <w:b/>
          <w:sz w:val="28"/>
          <w:szCs w:val="28"/>
        </w:rPr>
        <w:t>、财政拨款</w:t>
      </w:r>
      <w:r>
        <w:rPr>
          <w:rFonts w:hint="eastAsia" w:ascii="黑体" w:eastAsia="黑体"/>
          <w:b/>
          <w:sz w:val="28"/>
          <w:szCs w:val="28"/>
        </w:rPr>
        <w:t>收入支出决算</w:t>
      </w:r>
      <w:r>
        <w:rPr>
          <w:rFonts w:ascii="黑体" w:eastAsia="黑体"/>
          <w:b/>
          <w:sz w:val="28"/>
          <w:szCs w:val="28"/>
        </w:rPr>
        <w:t>总体情况说明</w:t>
      </w:r>
    </w:p>
    <w:p w14:paraId="525C553A">
      <w:pPr>
        <w:tabs>
          <w:tab w:val="center" w:pos="6979"/>
        </w:tabs>
        <w:spacing w:line="580" w:lineRule="exact"/>
        <w:ind w:firstLine="570"/>
        <w:rPr>
          <w:rFonts w:ascii="仿宋_GB2312" w:eastAsia="仿宋_GB2312"/>
          <w:sz w:val="28"/>
          <w:szCs w:val="28"/>
        </w:rPr>
      </w:pPr>
      <w:r>
        <w:rPr>
          <w:rFonts w:hint="eastAsia" w:ascii="仿宋_GB2312" w:eastAsia="仿宋_GB2312"/>
          <w:sz w:val="28"/>
          <w:szCs w:val="28"/>
          <w:lang w:eastAsia="zh-CN"/>
        </w:rPr>
        <w:t>2025年</w:t>
      </w:r>
      <w:r>
        <w:rPr>
          <w:rFonts w:hint="eastAsia" w:ascii="仿宋_GB2312" w:eastAsia="仿宋_GB2312"/>
          <w:sz w:val="28"/>
          <w:szCs w:val="28"/>
        </w:rPr>
        <w:t>度财政拨款收、</w:t>
      </w:r>
      <w:r>
        <w:rPr>
          <w:rFonts w:ascii="仿宋_GB2312" w:eastAsia="仿宋_GB2312"/>
          <w:sz w:val="28"/>
          <w:szCs w:val="28"/>
        </w:rPr>
        <w:t>支</w:t>
      </w:r>
      <w:r>
        <w:rPr>
          <w:rFonts w:hint="eastAsia" w:ascii="仿宋_GB2312" w:eastAsia="仿宋_GB2312"/>
          <w:sz w:val="28"/>
          <w:szCs w:val="28"/>
        </w:rPr>
        <w:t>总计</w:t>
      </w:r>
      <w:r>
        <w:rPr>
          <w:rFonts w:ascii="仿宋_GB2312" w:eastAsia="仿宋_GB2312"/>
          <w:sz w:val="28"/>
          <w:szCs w:val="28"/>
        </w:rPr>
        <w:t>9</w:t>
      </w:r>
      <w:r>
        <w:rPr>
          <w:rFonts w:hint="eastAsia" w:ascii="仿宋_GB2312" w:eastAsia="仿宋_GB2312"/>
          <w:sz w:val="28"/>
          <w:szCs w:val="28"/>
          <w:lang w:eastAsia="zh-CN"/>
        </w:rPr>
        <w:t>8,492,858.</w:t>
      </w:r>
      <w:r>
        <w:rPr>
          <w:rFonts w:ascii="仿宋_GB2312" w:eastAsia="仿宋_GB2312"/>
          <w:sz w:val="28"/>
          <w:szCs w:val="28"/>
        </w:rPr>
        <w:t>84</w:t>
      </w:r>
      <w:r>
        <w:rPr>
          <w:rFonts w:hint="eastAsia" w:ascii="仿宋_GB2312" w:eastAsia="仿宋_GB2312"/>
          <w:sz w:val="28"/>
          <w:szCs w:val="28"/>
        </w:rPr>
        <w:t>元，比上年</w:t>
      </w:r>
      <w:r>
        <w:rPr>
          <w:rFonts w:ascii="仿宋_GB2312" w:eastAsia="仿宋_GB2312"/>
          <w:sz w:val="28"/>
          <w:szCs w:val="28"/>
        </w:rPr>
        <w:t>增加</w:t>
      </w:r>
      <w:r>
        <w:rPr>
          <w:rFonts w:hint="eastAsia" w:ascii="仿宋_GB2312" w:eastAsia="仿宋_GB2312"/>
          <w:sz w:val="28"/>
          <w:szCs w:val="28"/>
        </w:rPr>
        <w:t>33,892,418.21元，增长</w:t>
      </w:r>
      <w:r>
        <w:rPr>
          <w:rFonts w:hint="eastAsia" w:ascii="仿宋_GB2312" w:eastAsia="仿宋_GB2312"/>
          <w:sz w:val="28"/>
          <w:szCs w:val="28"/>
          <w:lang w:val="en-US" w:eastAsia="zh-CN"/>
        </w:rPr>
        <w:t>52.5</w:t>
      </w:r>
      <w:r>
        <w:rPr>
          <w:rFonts w:hint="eastAsia" w:ascii="仿宋_GB2312" w:eastAsia="仿宋_GB2312"/>
          <w:sz w:val="28"/>
          <w:szCs w:val="28"/>
        </w:rPr>
        <w:t>%。主要原因：开展矿工自建房解危工作，城乡社区支出增加。</w:t>
      </w:r>
    </w:p>
    <w:p w14:paraId="5D2A3AB1">
      <w:pPr>
        <w:tabs>
          <w:tab w:val="center" w:pos="6979"/>
        </w:tabs>
        <w:spacing w:line="580" w:lineRule="exact"/>
        <w:ind w:firstLine="548" w:firstLineChars="196"/>
        <w:rPr>
          <w:rFonts w:ascii="黑体" w:eastAsia="黑体"/>
          <w:b/>
          <w:sz w:val="28"/>
          <w:szCs w:val="28"/>
        </w:rPr>
      </w:pPr>
      <w:r>
        <w:rPr>
          <w:rFonts w:hint="eastAsia" w:ascii="黑体" w:eastAsia="黑体"/>
          <w:b/>
          <w:sz w:val="28"/>
          <w:szCs w:val="28"/>
        </w:rPr>
        <w:t>四、一般公共预算财政拨款支出决算情况说明</w:t>
      </w:r>
    </w:p>
    <w:p w14:paraId="58F0F6BC">
      <w:pPr>
        <w:autoSpaceDE w:val="0"/>
        <w:autoSpaceDN w:val="0"/>
        <w:adjustRightInd w:val="0"/>
        <w:spacing w:line="580" w:lineRule="exact"/>
        <w:ind w:firstLine="560" w:firstLineChars="200"/>
        <w:jc w:val="left"/>
        <w:rPr>
          <w:rFonts w:ascii="仿宋_GB2312" w:eastAsia="仿宋_GB2312"/>
          <w:sz w:val="28"/>
          <w:szCs w:val="28"/>
        </w:rPr>
      </w:pPr>
      <w:r>
        <w:rPr>
          <w:rFonts w:hint="eastAsia" w:ascii="仿宋_GB2312" w:eastAsia="仿宋_GB2312"/>
          <w:sz w:val="28"/>
          <w:szCs w:val="28"/>
        </w:rPr>
        <w:t>（一）一般公共预算财政拨款支出决算总体情况</w:t>
      </w:r>
    </w:p>
    <w:p w14:paraId="65D4A143">
      <w:pPr>
        <w:tabs>
          <w:tab w:val="center" w:pos="6979"/>
        </w:tabs>
        <w:spacing w:line="580" w:lineRule="exact"/>
        <w:ind w:firstLine="560" w:firstLineChars="200"/>
        <w:rPr>
          <w:rFonts w:ascii="仿宋_GB2312" w:eastAsia="仿宋_GB2312"/>
          <w:sz w:val="28"/>
          <w:szCs w:val="28"/>
        </w:rPr>
      </w:pPr>
      <w:r>
        <w:rPr>
          <w:rFonts w:hint="eastAsia" w:ascii="仿宋_GB2312" w:eastAsia="仿宋_GB2312"/>
          <w:sz w:val="28"/>
          <w:szCs w:val="28"/>
          <w:lang w:eastAsia="zh-CN"/>
        </w:rPr>
        <w:t>2025年</w:t>
      </w:r>
      <w:r>
        <w:rPr>
          <w:rFonts w:hint="eastAsia" w:ascii="仿宋_GB2312" w:eastAsia="仿宋_GB2312"/>
          <w:sz w:val="28"/>
          <w:szCs w:val="28"/>
        </w:rPr>
        <w:t>度一般公共预算财政拨款支出</w:t>
      </w:r>
      <w:r>
        <w:rPr>
          <w:rFonts w:ascii="仿宋_GB2312" w:eastAsia="仿宋_GB2312"/>
          <w:sz w:val="28"/>
          <w:szCs w:val="28"/>
        </w:rPr>
        <w:t>9</w:t>
      </w:r>
      <w:r>
        <w:rPr>
          <w:rFonts w:hint="eastAsia" w:ascii="仿宋_GB2312" w:eastAsia="仿宋_GB2312"/>
          <w:sz w:val="28"/>
          <w:szCs w:val="28"/>
          <w:lang w:eastAsia="zh-CN"/>
        </w:rPr>
        <w:t>8,242,790.</w:t>
      </w:r>
      <w:r>
        <w:rPr>
          <w:rFonts w:ascii="仿宋_GB2312" w:eastAsia="仿宋_GB2312"/>
          <w:sz w:val="28"/>
          <w:szCs w:val="28"/>
        </w:rPr>
        <w:t>35</w:t>
      </w:r>
      <w:r>
        <w:rPr>
          <w:rFonts w:hint="eastAsia" w:ascii="仿宋_GB2312" w:eastAsia="仿宋_GB2312"/>
          <w:sz w:val="28"/>
          <w:szCs w:val="28"/>
        </w:rPr>
        <w:t>元，主要用于以下方面（按大类）：一般公共服务支出43,315,118.27元，占本年财政拨款支出4</w:t>
      </w:r>
      <w:r>
        <w:rPr>
          <w:rFonts w:hint="eastAsia" w:ascii="仿宋_GB2312" w:eastAsia="仿宋_GB2312"/>
          <w:sz w:val="28"/>
          <w:szCs w:val="28"/>
          <w:lang w:val="en-US" w:eastAsia="zh-CN"/>
        </w:rPr>
        <w:t>4.0</w:t>
      </w:r>
      <w:r>
        <w:rPr>
          <w:rFonts w:hint="eastAsia" w:ascii="仿宋_GB2312" w:eastAsia="仿宋_GB2312"/>
          <w:sz w:val="28"/>
          <w:szCs w:val="28"/>
        </w:rPr>
        <w:t>%；国防支出26,387.38元，占本年财政拨款支出0.</w:t>
      </w:r>
      <w:r>
        <w:rPr>
          <w:rFonts w:hint="eastAsia" w:ascii="仿宋_GB2312" w:eastAsia="仿宋_GB2312"/>
          <w:sz w:val="28"/>
          <w:szCs w:val="28"/>
          <w:lang w:val="en-US" w:eastAsia="zh-CN"/>
        </w:rPr>
        <w:t>0</w:t>
      </w:r>
      <w:r>
        <w:rPr>
          <w:rFonts w:hint="eastAsia" w:ascii="仿宋_GB2312" w:eastAsia="仿宋_GB2312"/>
          <w:sz w:val="28"/>
          <w:szCs w:val="28"/>
        </w:rPr>
        <w:t>%；文化旅游体育与传媒支出968,512.32元，占本年财政拨款支出</w:t>
      </w:r>
      <w:r>
        <w:rPr>
          <w:rFonts w:hint="eastAsia" w:ascii="仿宋_GB2312" w:eastAsia="仿宋_GB2312"/>
          <w:sz w:val="28"/>
          <w:szCs w:val="28"/>
          <w:lang w:val="en-US" w:eastAsia="zh-CN"/>
        </w:rPr>
        <w:t>1.0</w:t>
      </w:r>
      <w:r>
        <w:rPr>
          <w:rFonts w:hint="eastAsia" w:ascii="仿宋_GB2312" w:eastAsia="仿宋_GB2312"/>
          <w:sz w:val="28"/>
          <w:szCs w:val="28"/>
        </w:rPr>
        <w:t>%；社会保障和就业支出1,105,560.82元，占本年财政拨款支出1.</w:t>
      </w:r>
      <w:r>
        <w:rPr>
          <w:rFonts w:hint="eastAsia" w:ascii="仿宋_GB2312" w:eastAsia="仿宋_GB2312"/>
          <w:sz w:val="28"/>
          <w:szCs w:val="28"/>
          <w:lang w:val="en-US" w:eastAsia="zh-CN"/>
        </w:rPr>
        <w:t>1</w:t>
      </w:r>
      <w:r>
        <w:rPr>
          <w:rFonts w:hint="eastAsia" w:ascii="仿宋_GB2312" w:eastAsia="仿宋_GB2312"/>
          <w:sz w:val="28"/>
          <w:szCs w:val="28"/>
        </w:rPr>
        <w:t>%；卫生健康支出293,346.00元，占本年财政拨款支出0.3%；节能环保支出6,127,000.00元，占本年财政拨款支出6.2%；城乡社区支出38,641,119.62元，占本年财政拨款支出39.2%；农林水支出4,391,534.37元，占本年财政拨款支出4.</w:t>
      </w:r>
      <w:r>
        <w:rPr>
          <w:rFonts w:hint="eastAsia" w:ascii="仿宋_GB2312" w:eastAsia="仿宋_GB2312"/>
          <w:sz w:val="28"/>
          <w:szCs w:val="28"/>
          <w:lang w:val="en-US" w:eastAsia="zh-CN"/>
        </w:rPr>
        <w:t>5</w:t>
      </w:r>
      <w:r>
        <w:rPr>
          <w:rFonts w:hint="eastAsia" w:ascii="仿宋_GB2312" w:eastAsia="仿宋_GB2312"/>
          <w:sz w:val="28"/>
          <w:szCs w:val="28"/>
        </w:rPr>
        <w:t>%；交通运输支出225,243.60元，占本年财政拨款支出0.2%；资源勘探工业信息等支出支出7,986.60元，占本年财政拨款支出0.</w:t>
      </w:r>
      <w:r>
        <w:rPr>
          <w:rFonts w:hint="eastAsia" w:ascii="仿宋_GB2312" w:eastAsia="仿宋_GB2312"/>
          <w:sz w:val="28"/>
          <w:szCs w:val="28"/>
          <w:lang w:val="en-US" w:eastAsia="zh-CN"/>
        </w:rPr>
        <w:t>0</w:t>
      </w:r>
      <w:r>
        <w:rPr>
          <w:rFonts w:hint="eastAsia" w:ascii="仿宋_GB2312" w:eastAsia="仿宋_GB2312"/>
          <w:sz w:val="28"/>
          <w:szCs w:val="28"/>
        </w:rPr>
        <w:t>%；灾害防治及应急管理支出3,140,981.37元，占本年财政拨款支出3.</w:t>
      </w:r>
      <w:r>
        <w:rPr>
          <w:rFonts w:hint="eastAsia" w:ascii="仿宋_GB2312" w:eastAsia="仿宋_GB2312"/>
          <w:sz w:val="28"/>
          <w:szCs w:val="28"/>
          <w:lang w:val="en-US" w:eastAsia="zh-CN"/>
        </w:rPr>
        <w:t>2</w:t>
      </w:r>
      <w:r>
        <w:rPr>
          <w:rFonts w:hint="eastAsia" w:ascii="仿宋_GB2312" w:eastAsia="仿宋_GB2312"/>
          <w:sz w:val="28"/>
          <w:szCs w:val="28"/>
        </w:rPr>
        <w:t>%。</w:t>
      </w:r>
    </w:p>
    <w:p w14:paraId="3140538E">
      <w:pPr>
        <w:autoSpaceDE w:val="0"/>
        <w:autoSpaceDN w:val="0"/>
        <w:adjustRightInd w:val="0"/>
        <w:spacing w:line="580" w:lineRule="exact"/>
        <w:ind w:firstLine="560" w:firstLineChars="200"/>
        <w:jc w:val="left"/>
        <w:rPr>
          <w:rFonts w:ascii="仿宋_GB2312" w:eastAsia="仿宋_GB2312"/>
          <w:sz w:val="28"/>
          <w:szCs w:val="28"/>
        </w:rPr>
      </w:pPr>
      <w:r>
        <w:rPr>
          <w:rFonts w:hint="eastAsia" w:ascii="仿宋_GB2312" w:eastAsia="仿宋_GB2312"/>
          <w:sz w:val="28"/>
          <w:szCs w:val="28"/>
        </w:rPr>
        <w:t>（二）一般公共预算财政拨款支出决算具体情况</w:t>
      </w:r>
    </w:p>
    <w:p w14:paraId="73087441">
      <w:pPr>
        <w:autoSpaceDE w:val="0"/>
        <w:autoSpaceDN w:val="0"/>
        <w:adjustRightInd w:val="0"/>
        <w:spacing w:line="580" w:lineRule="exact"/>
        <w:ind w:firstLine="560" w:firstLineChars="200"/>
        <w:jc w:val="left"/>
        <w:rPr>
          <w:rFonts w:ascii="仿宋_GB2312" w:eastAsia="仿宋_GB2312"/>
          <w:sz w:val="28"/>
          <w:szCs w:val="28"/>
        </w:rPr>
      </w:pPr>
      <w:r>
        <w:rPr>
          <w:rFonts w:hint="eastAsia" w:ascii="仿宋_GB2312" w:eastAsia="仿宋_GB2312"/>
          <w:sz w:val="28"/>
          <w:szCs w:val="28"/>
        </w:rPr>
        <w:t>1</w:t>
      </w:r>
      <w:r>
        <w:rPr>
          <w:rFonts w:hint="eastAsia" w:ascii="仿宋_GB2312" w:eastAsia="仿宋_GB2312"/>
          <w:sz w:val="28"/>
          <w:szCs w:val="28"/>
          <w:lang w:val="en-US" w:eastAsia="zh-CN"/>
        </w:rPr>
        <w:t>.</w:t>
      </w:r>
      <w:r>
        <w:rPr>
          <w:rFonts w:hint="eastAsia" w:ascii="仿宋_GB2312" w:eastAsia="仿宋_GB2312"/>
          <w:sz w:val="28"/>
          <w:szCs w:val="28"/>
        </w:rPr>
        <w:t>“一般公共服务支出”（类）</w:t>
      </w:r>
      <w:r>
        <w:rPr>
          <w:rFonts w:hint="eastAsia" w:ascii="仿宋_GB2312" w:eastAsia="仿宋_GB2312"/>
          <w:sz w:val="28"/>
          <w:szCs w:val="28"/>
          <w:lang w:eastAsia="zh-CN"/>
        </w:rPr>
        <w:t>2025年</w:t>
      </w:r>
      <w:r>
        <w:rPr>
          <w:rFonts w:hint="eastAsia" w:ascii="仿宋_GB2312" w:eastAsia="仿宋_GB2312"/>
          <w:sz w:val="28"/>
          <w:szCs w:val="28"/>
        </w:rPr>
        <w:t>度年初预算31,313,376.47元，</w:t>
      </w:r>
      <w:r>
        <w:rPr>
          <w:rFonts w:hint="eastAsia" w:ascii="仿宋_GB2312" w:eastAsia="仿宋_GB2312"/>
          <w:sz w:val="28"/>
          <w:szCs w:val="28"/>
          <w:lang w:eastAsia="zh-CN"/>
        </w:rPr>
        <w:t>2025年</w:t>
      </w:r>
      <w:r>
        <w:rPr>
          <w:rFonts w:hint="eastAsia" w:ascii="仿宋_GB2312" w:eastAsia="仿宋_GB2312"/>
          <w:sz w:val="28"/>
          <w:szCs w:val="28"/>
        </w:rPr>
        <w:t>度决算44,142,111.04元，完成年初预算的14</w:t>
      </w:r>
      <w:r>
        <w:rPr>
          <w:rFonts w:hint="eastAsia" w:ascii="仿宋_GB2312" w:eastAsia="仿宋_GB2312"/>
          <w:sz w:val="28"/>
          <w:szCs w:val="28"/>
          <w:lang w:val="en-US" w:eastAsia="zh-CN"/>
        </w:rPr>
        <w:t>1.0</w:t>
      </w:r>
      <w:r>
        <w:rPr>
          <w:rFonts w:hint="eastAsia" w:ascii="仿宋_GB2312" w:eastAsia="仿宋_GB2312"/>
          <w:sz w:val="28"/>
          <w:szCs w:val="28"/>
        </w:rPr>
        <w:t>%。</w:t>
      </w:r>
    </w:p>
    <w:p w14:paraId="6A394057">
      <w:pPr>
        <w:autoSpaceDE w:val="0"/>
        <w:autoSpaceDN w:val="0"/>
        <w:adjustRightInd w:val="0"/>
        <w:spacing w:line="580" w:lineRule="exact"/>
        <w:jc w:val="left"/>
        <w:rPr>
          <w:rFonts w:ascii="仿宋_GB2312" w:eastAsia="仿宋_GB2312"/>
          <w:sz w:val="28"/>
          <w:szCs w:val="28"/>
        </w:rPr>
      </w:pPr>
      <w:r>
        <w:rPr>
          <w:rFonts w:hint="eastAsia" w:ascii="仿宋_GB2312" w:eastAsia="仿宋_GB2312"/>
          <w:sz w:val="28"/>
          <w:szCs w:val="28"/>
        </w:rPr>
        <w:t>其中：</w:t>
      </w:r>
    </w:p>
    <w:p w14:paraId="32DAF1E4">
      <w:pPr>
        <w:spacing w:line="580" w:lineRule="exact"/>
        <w:ind w:firstLine="560" w:firstLineChars="200"/>
        <w:rPr>
          <w:rFonts w:hint="eastAsia" w:ascii="仿宋_GB2312" w:eastAsia="仿宋_GB2312"/>
          <w:sz w:val="28"/>
          <w:szCs w:val="28"/>
        </w:rPr>
      </w:pPr>
      <w:r>
        <w:rPr>
          <w:rFonts w:hint="eastAsia" w:ascii="仿宋_GB2312" w:eastAsia="仿宋_GB2312"/>
          <w:sz w:val="28"/>
          <w:szCs w:val="28"/>
        </w:rPr>
        <w:t>“政府办公厅（室）及相关机构事务”（款）2025年度年初预算22,384,806.61元，2025年度决算22,787,411.96元，完成年初预算的100.</w:t>
      </w:r>
      <w:r>
        <w:rPr>
          <w:rFonts w:hint="eastAsia" w:ascii="仿宋_GB2312" w:eastAsia="仿宋_GB2312"/>
          <w:sz w:val="28"/>
          <w:szCs w:val="28"/>
          <w:lang w:val="en-US" w:eastAsia="zh-CN"/>
        </w:rPr>
        <w:t>9</w:t>
      </w:r>
      <w:r>
        <w:rPr>
          <w:rFonts w:hint="eastAsia" w:ascii="仿宋_GB2312" w:eastAsia="仿宋_GB2312"/>
          <w:sz w:val="28"/>
          <w:szCs w:val="28"/>
        </w:rPr>
        <w:t>%。主要原因：追加防汛抢险救灾</w:t>
      </w:r>
      <w:r>
        <w:rPr>
          <w:rFonts w:hint="eastAsia" w:ascii="仿宋_GB2312" w:eastAsia="仿宋_GB2312"/>
          <w:sz w:val="28"/>
          <w:szCs w:val="28"/>
          <w:lang w:eastAsia="zh-CN"/>
        </w:rPr>
        <w:t>－</w:t>
      </w:r>
      <w:r>
        <w:rPr>
          <w:rFonts w:hint="eastAsia" w:ascii="仿宋_GB2312" w:eastAsia="仿宋_GB2312"/>
          <w:sz w:val="28"/>
          <w:szCs w:val="28"/>
        </w:rPr>
        <w:t>专项工作经费。</w:t>
      </w:r>
    </w:p>
    <w:p w14:paraId="4081BA4F">
      <w:pPr>
        <w:spacing w:line="580" w:lineRule="exact"/>
        <w:ind w:firstLine="560" w:firstLineChars="200"/>
        <w:rPr>
          <w:rFonts w:hint="eastAsia" w:ascii="仿宋_GB2312" w:eastAsia="仿宋_GB2312"/>
          <w:sz w:val="28"/>
          <w:szCs w:val="28"/>
        </w:rPr>
      </w:pPr>
      <w:r>
        <w:rPr>
          <w:rFonts w:hint="eastAsia" w:ascii="仿宋_GB2312" w:eastAsia="仿宋_GB2312"/>
          <w:sz w:val="28"/>
          <w:szCs w:val="28"/>
        </w:rPr>
        <w:t>“发展与改革事务”（款）2025年度年初预算0.00元，2025年度决算5,926,033.75元。主要原因：追加人口调控资金。</w:t>
      </w:r>
    </w:p>
    <w:p w14:paraId="58A05AB3">
      <w:pPr>
        <w:spacing w:line="580" w:lineRule="exact"/>
        <w:ind w:firstLine="560" w:firstLineChars="200"/>
        <w:rPr>
          <w:rFonts w:hint="eastAsia" w:ascii="仿宋_GB2312" w:eastAsia="仿宋_GB2312"/>
          <w:sz w:val="28"/>
          <w:szCs w:val="28"/>
        </w:rPr>
      </w:pPr>
      <w:r>
        <w:rPr>
          <w:rFonts w:hint="eastAsia" w:ascii="仿宋_GB2312" w:eastAsia="仿宋_GB2312"/>
          <w:sz w:val="28"/>
          <w:szCs w:val="28"/>
        </w:rPr>
        <w:t>“财政事务”（款）2025年度年初预算0.00元，2025年度决算20,000.00元。主要原因：新增成本预算绩效分析服务预算。</w:t>
      </w:r>
    </w:p>
    <w:p w14:paraId="1E567772">
      <w:pPr>
        <w:spacing w:line="580" w:lineRule="exact"/>
        <w:ind w:firstLine="560" w:firstLineChars="200"/>
        <w:rPr>
          <w:rFonts w:hint="eastAsia" w:ascii="仿宋_GB2312" w:eastAsia="仿宋_GB2312"/>
          <w:sz w:val="28"/>
          <w:szCs w:val="28"/>
        </w:rPr>
      </w:pPr>
      <w:r>
        <w:rPr>
          <w:rFonts w:hint="eastAsia" w:ascii="仿宋_GB2312" w:eastAsia="仿宋_GB2312"/>
          <w:sz w:val="28"/>
          <w:szCs w:val="28"/>
        </w:rPr>
        <w:t>“纪检监察事务”（款）2025年度年初预算4</w:t>
      </w:r>
      <w:r>
        <w:rPr>
          <w:rFonts w:hint="eastAsia" w:ascii="仿宋_GB2312" w:eastAsia="仿宋_GB2312"/>
          <w:sz w:val="28"/>
          <w:szCs w:val="28"/>
          <w:lang w:val="en-US" w:eastAsia="zh-CN"/>
        </w:rPr>
        <w:t>5</w:t>
      </w:r>
      <w:r>
        <w:rPr>
          <w:rFonts w:hint="eastAsia" w:ascii="仿宋_GB2312" w:eastAsia="仿宋_GB2312"/>
          <w:sz w:val="28"/>
          <w:szCs w:val="28"/>
        </w:rPr>
        <w:t>,</w:t>
      </w:r>
      <w:r>
        <w:rPr>
          <w:rFonts w:hint="eastAsia" w:ascii="仿宋_GB2312" w:eastAsia="仿宋_GB2312"/>
          <w:sz w:val="28"/>
          <w:szCs w:val="28"/>
          <w:lang w:val="en-US" w:eastAsia="zh-CN"/>
        </w:rPr>
        <w:t>00</w:t>
      </w:r>
      <w:r>
        <w:rPr>
          <w:rFonts w:hint="eastAsia" w:ascii="仿宋_GB2312" w:eastAsia="仿宋_GB2312"/>
          <w:sz w:val="28"/>
          <w:szCs w:val="28"/>
        </w:rPr>
        <w:t>0.00元，2025年度决算44,690.00元，完成年初预算的99.3%。主要原因：预算净结余。</w:t>
      </w:r>
    </w:p>
    <w:p w14:paraId="4F747ACD">
      <w:pPr>
        <w:spacing w:line="580" w:lineRule="exact"/>
        <w:ind w:firstLine="560" w:firstLineChars="200"/>
        <w:rPr>
          <w:rFonts w:hint="eastAsia" w:ascii="仿宋_GB2312" w:eastAsia="仿宋_GB2312"/>
          <w:sz w:val="28"/>
          <w:szCs w:val="28"/>
        </w:rPr>
      </w:pPr>
      <w:r>
        <w:rPr>
          <w:rFonts w:hint="eastAsia" w:ascii="仿宋_GB2312" w:eastAsia="仿宋_GB2312"/>
          <w:sz w:val="28"/>
          <w:szCs w:val="28"/>
        </w:rPr>
        <w:t>“组织事务”（款）2025年度年初预算1,963,840.00元，2025年度决算3,919,302.11元，完成年初预算的199.</w:t>
      </w:r>
      <w:r>
        <w:rPr>
          <w:rFonts w:hint="eastAsia" w:ascii="仿宋_GB2312" w:eastAsia="仿宋_GB2312"/>
          <w:sz w:val="28"/>
          <w:szCs w:val="28"/>
          <w:lang w:val="en-US" w:eastAsia="zh-CN"/>
        </w:rPr>
        <w:t>6</w:t>
      </w:r>
      <w:r>
        <w:rPr>
          <w:rFonts w:hint="eastAsia" w:ascii="仿宋_GB2312" w:eastAsia="仿宋_GB2312"/>
          <w:sz w:val="28"/>
          <w:szCs w:val="28"/>
        </w:rPr>
        <w:t>%。主要原因：追加城乡基层党组织服务群众经费。</w:t>
      </w:r>
    </w:p>
    <w:p w14:paraId="7E05C155">
      <w:pPr>
        <w:spacing w:line="580" w:lineRule="exact"/>
        <w:ind w:firstLine="560" w:firstLineChars="200"/>
        <w:rPr>
          <w:rFonts w:ascii="仿宋_GB2312" w:eastAsia="仿宋_GB2312"/>
          <w:sz w:val="28"/>
          <w:szCs w:val="28"/>
        </w:rPr>
      </w:pPr>
      <w:r>
        <w:rPr>
          <w:rFonts w:hint="eastAsia" w:ascii="仿宋_GB2312" w:eastAsia="仿宋_GB2312"/>
          <w:sz w:val="28"/>
          <w:szCs w:val="28"/>
        </w:rPr>
        <w:t>“社会工作事务”（款）2025年度年初预算6,919,729.86元，2025年度决算11,444,673.22元，完成年初预算的156.</w:t>
      </w:r>
      <w:r>
        <w:rPr>
          <w:rFonts w:hint="eastAsia" w:ascii="仿宋_GB2312" w:eastAsia="仿宋_GB2312"/>
          <w:sz w:val="28"/>
          <w:szCs w:val="28"/>
          <w:lang w:val="en-US" w:eastAsia="zh-CN"/>
        </w:rPr>
        <w:t>4</w:t>
      </w:r>
      <w:r>
        <w:rPr>
          <w:rFonts w:hint="eastAsia" w:ascii="仿宋_GB2312" w:eastAsia="仿宋_GB2312"/>
          <w:sz w:val="28"/>
          <w:szCs w:val="28"/>
        </w:rPr>
        <w:t>%。主要原因：追加社区工作者待遇保障经费。</w:t>
      </w:r>
    </w:p>
    <w:p w14:paraId="5BF829F6">
      <w:pPr>
        <w:spacing w:line="580" w:lineRule="exact"/>
        <w:ind w:firstLine="560" w:firstLineChars="200"/>
        <w:rPr>
          <w:rFonts w:hint="eastAsia" w:ascii="仿宋_GB2312" w:eastAsia="仿宋_GB2312"/>
          <w:sz w:val="28"/>
          <w:szCs w:val="28"/>
        </w:rPr>
      </w:pPr>
      <w:r>
        <w:rPr>
          <w:rFonts w:hint="eastAsia" w:ascii="仿宋_GB2312" w:eastAsia="仿宋_GB2312"/>
          <w:sz w:val="28"/>
          <w:szCs w:val="28"/>
        </w:rPr>
        <w:t>2.“国防支出”（类）2025年度年初预算0.00元，2025年度决算26,387.38元。其中：</w:t>
      </w:r>
    </w:p>
    <w:p w14:paraId="1F0316D9">
      <w:pPr>
        <w:spacing w:line="580" w:lineRule="exact"/>
        <w:ind w:firstLine="560" w:firstLineChars="200"/>
        <w:rPr>
          <w:rFonts w:hint="eastAsia" w:ascii="仿宋_GB2312" w:eastAsia="仿宋_GB2312"/>
          <w:sz w:val="28"/>
          <w:szCs w:val="28"/>
        </w:rPr>
      </w:pPr>
      <w:r>
        <w:rPr>
          <w:rFonts w:hint="eastAsia" w:ascii="仿宋_GB2312" w:eastAsia="仿宋_GB2312"/>
          <w:sz w:val="28"/>
          <w:szCs w:val="28"/>
        </w:rPr>
        <w:t>“国防动员”（款）2025年度年初预算0.00元，2025年度决算26,387.38元。主要原因：追加门头沟区大台街道指挥所灾后重建预算。</w:t>
      </w:r>
    </w:p>
    <w:p w14:paraId="0AD0A739">
      <w:pPr>
        <w:spacing w:line="580" w:lineRule="exact"/>
        <w:ind w:firstLine="560" w:firstLineChars="200"/>
        <w:rPr>
          <w:rFonts w:hint="eastAsia" w:ascii="仿宋_GB2312" w:eastAsia="仿宋_GB2312"/>
          <w:sz w:val="28"/>
          <w:szCs w:val="28"/>
        </w:rPr>
      </w:pPr>
      <w:r>
        <w:rPr>
          <w:rFonts w:hint="eastAsia" w:ascii="仿宋_GB2312" w:eastAsia="仿宋_GB2312"/>
          <w:sz w:val="28"/>
          <w:szCs w:val="28"/>
        </w:rPr>
        <w:t>3.“文化旅游体育与传媒支出”（类）2025年度年初预算765,280.00元，2025年度决算968,512.32元，完成年初预算的126.</w:t>
      </w:r>
      <w:r>
        <w:rPr>
          <w:rFonts w:hint="eastAsia" w:ascii="仿宋_GB2312" w:eastAsia="仿宋_GB2312"/>
          <w:sz w:val="28"/>
          <w:szCs w:val="28"/>
          <w:lang w:val="en-US" w:eastAsia="zh-CN"/>
        </w:rPr>
        <w:t>6</w:t>
      </w:r>
      <w:r>
        <w:rPr>
          <w:rFonts w:hint="eastAsia" w:ascii="仿宋_GB2312" w:eastAsia="仿宋_GB2312"/>
          <w:sz w:val="28"/>
          <w:szCs w:val="28"/>
        </w:rPr>
        <w:t>%。</w:t>
      </w:r>
    </w:p>
    <w:p w14:paraId="2D6EEE53">
      <w:pPr>
        <w:spacing w:line="580" w:lineRule="exact"/>
        <w:ind w:firstLine="560" w:firstLineChars="200"/>
        <w:rPr>
          <w:rFonts w:hint="eastAsia" w:ascii="仿宋_GB2312" w:eastAsia="仿宋_GB2312"/>
          <w:sz w:val="28"/>
          <w:szCs w:val="28"/>
        </w:rPr>
      </w:pPr>
      <w:r>
        <w:rPr>
          <w:rFonts w:hint="eastAsia" w:ascii="仿宋_GB2312" w:eastAsia="仿宋_GB2312"/>
          <w:sz w:val="28"/>
          <w:szCs w:val="28"/>
        </w:rPr>
        <w:t>其中：</w:t>
      </w:r>
    </w:p>
    <w:p w14:paraId="7F5494F3">
      <w:pPr>
        <w:spacing w:line="580" w:lineRule="exact"/>
        <w:ind w:firstLine="560" w:firstLineChars="200"/>
        <w:rPr>
          <w:rFonts w:hint="eastAsia" w:ascii="仿宋_GB2312" w:eastAsia="仿宋_GB2312"/>
          <w:sz w:val="28"/>
          <w:szCs w:val="28"/>
        </w:rPr>
      </w:pPr>
      <w:r>
        <w:rPr>
          <w:rFonts w:hint="eastAsia" w:ascii="仿宋_GB2312" w:eastAsia="仿宋_GB2312"/>
          <w:sz w:val="28"/>
          <w:szCs w:val="28"/>
        </w:rPr>
        <w:t>“文化和旅游”（款）2025年度年初预算765,280.00元，2025年度决算965,440.07</w:t>
      </w:r>
      <w:r>
        <w:rPr>
          <w:rFonts w:hint="eastAsia" w:ascii="仿宋_GB2312" w:eastAsia="仿宋_GB2312"/>
          <w:sz w:val="28"/>
          <w:szCs w:val="28"/>
          <w:lang w:val="en-US" w:eastAsia="zh-CN"/>
        </w:rPr>
        <w:t>元</w:t>
      </w:r>
      <w:r>
        <w:rPr>
          <w:rFonts w:hint="eastAsia" w:ascii="仿宋_GB2312" w:eastAsia="仿宋_GB2312"/>
          <w:sz w:val="28"/>
          <w:szCs w:val="28"/>
        </w:rPr>
        <w:t>，完成年初预算的126.</w:t>
      </w:r>
      <w:r>
        <w:rPr>
          <w:rFonts w:hint="eastAsia" w:ascii="仿宋_GB2312" w:eastAsia="仿宋_GB2312"/>
          <w:sz w:val="28"/>
          <w:szCs w:val="28"/>
          <w:lang w:val="en-US" w:eastAsia="zh-CN"/>
        </w:rPr>
        <w:t>2</w:t>
      </w:r>
      <w:r>
        <w:rPr>
          <w:rFonts w:hint="eastAsia" w:ascii="仿宋_GB2312" w:eastAsia="仿宋_GB2312"/>
          <w:sz w:val="28"/>
          <w:szCs w:val="28"/>
        </w:rPr>
        <w:t>%。主要原因：追加三馆一站免费开放预算。</w:t>
      </w:r>
    </w:p>
    <w:p w14:paraId="399AA1E6">
      <w:pPr>
        <w:spacing w:line="580" w:lineRule="exact"/>
        <w:ind w:firstLine="560" w:firstLineChars="200"/>
        <w:rPr>
          <w:rFonts w:hint="eastAsia" w:ascii="仿宋_GB2312" w:eastAsia="仿宋_GB2312"/>
          <w:sz w:val="28"/>
          <w:szCs w:val="28"/>
        </w:rPr>
      </w:pPr>
      <w:r>
        <w:rPr>
          <w:rFonts w:hint="eastAsia" w:ascii="仿宋_GB2312" w:eastAsia="仿宋_GB2312"/>
          <w:sz w:val="28"/>
          <w:szCs w:val="28"/>
        </w:rPr>
        <w:t>“体育”（款）2025年度年初预算0.00元，2025年度决算3,072.25元。主要原因：上年质保金预算下达。</w:t>
      </w:r>
    </w:p>
    <w:p w14:paraId="5043ECA0">
      <w:pPr>
        <w:spacing w:line="580" w:lineRule="exact"/>
        <w:ind w:firstLine="560" w:firstLineChars="200"/>
        <w:rPr>
          <w:rFonts w:hint="eastAsia" w:ascii="仿宋_GB2312" w:eastAsia="仿宋_GB2312"/>
          <w:sz w:val="28"/>
          <w:szCs w:val="28"/>
        </w:rPr>
      </w:pPr>
      <w:r>
        <w:rPr>
          <w:rFonts w:hint="eastAsia" w:ascii="仿宋_GB2312" w:eastAsia="仿宋_GB2312"/>
          <w:sz w:val="28"/>
          <w:szCs w:val="28"/>
        </w:rPr>
        <w:t>4.“社会保障和就业支出”（类）2025年度年初预算487,961.00元，2025年度决算1,135,141.22元，完成年初预算的226.</w:t>
      </w:r>
      <w:r>
        <w:rPr>
          <w:rFonts w:hint="eastAsia" w:ascii="仿宋_GB2312" w:eastAsia="仿宋_GB2312"/>
          <w:sz w:val="28"/>
          <w:szCs w:val="28"/>
          <w:lang w:val="en-US" w:eastAsia="zh-CN"/>
        </w:rPr>
        <w:t>6</w:t>
      </w:r>
      <w:r>
        <w:rPr>
          <w:rFonts w:hint="eastAsia" w:ascii="仿宋_GB2312" w:eastAsia="仿宋_GB2312"/>
          <w:sz w:val="28"/>
          <w:szCs w:val="28"/>
        </w:rPr>
        <w:t>%。</w:t>
      </w:r>
    </w:p>
    <w:p w14:paraId="380B4129">
      <w:pPr>
        <w:spacing w:line="580" w:lineRule="exact"/>
        <w:ind w:firstLine="560" w:firstLineChars="200"/>
        <w:rPr>
          <w:rFonts w:hint="eastAsia" w:ascii="仿宋_GB2312" w:eastAsia="仿宋_GB2312"/>
          <w:sz w:val="28"/>
          <w:szCs w:val="28"/>
        </w:rPr>
      </w:pPr>
      <w:r>
        <w:rPr>
          <w:rFonts w:hint="eastAsia" w:ascii="仿宋_GB2312" w:eastAsia="仿宋_GB2312"/>
          <w:sz w:val="28"/>
          <w:szCs w:val="28"/>
        </w:rPr>
        <w:t>其中：</w:t>
      </w:r>
    </w:p>
    <w:p w14:paraId="4634F68C">
      <w:pPr>
        <w:spacing w:line="580" w:lineRule="exact"/>
        <w:ind w:firstLine="560" w:firstLineChars="200"/>
        <w:rPr>
          <w:rFonts w:hint="eastAsia" w:ascii="仿宋_GB2312" w:eastAsia="仿宋_GB2312"/>
          <w:sz w:val="28"/>
          <w:szCs w:val="28"/>
        </w:rPr>
      </w:pPr>
      <w:r>
        <w:rPr>
          <w:rFonts w:hint="eastAsia" w:ascii="仿宋_GB2312" w:eastAsia="仿宋_GB2312"/>
          <w:sz w:val="28"/>
          <w:szCs w:val="28"/>
        </w:rPr>
        <w:t>“人力资源和社会保障管理事务”（款）2025年度年初预算0.00元，2025年度决算93,417.75元。主要原因：新增社区管理企业退休人员自采暖补贴预算。</w:t>
      </w:r>
    </w:p>
    <w:p w14:paraId="26306C2D">
      <w:pPr>
        <w:spacing w:line="580" w:lineRule="exact"/>
        <w:ind w:firstLine="560" w:firstLineChars="200"/>
        <w:rPr>
          <w:rFonts w:hint="eastAsia" w:ascii="仿宋_GB2312" w:eastAsia="仿宋_GB2312"/>
          <w:sz w:val="28"/>
          <w:szCs w:val="28"/>
        </w:rPr>
      </w:pPr>
      <w:r>
        <w:rPr>
          <w:rFonts w:hint="eastAsia" w:ascii="仿宋_GB2312" w:eastAsia="仿宋_GB2312"/>
          <w:sz w:val="28"/>
          <w:szCs w:val="28"/>
        </w:rPr>
        <w:t>“民政管理事务”（款）2025年度年初预算6,500.00元，2025年度决算5,500.00元，完成年初预算的84.</w:t>
      </w:r>
      <w:r>
        <w:rPr>
          <w:rFonts w:hint="eastAsia" w:ascii="仿宋_GB2312" w:eastAsia="仿宋_GB2312"/>
          <w:sz w:val="28"/>
          <w:szCs w:val="28"/>
          <w:lang w:val="en-US" w:eastAsia="zh-CN"/>
        </w:rPr>
        <w:t>6</w:t>
      </w:r>
      <w:r>
        <w:rPr>
          <w:rFonts w:hint="eastAsia" w:ascii="仿宋_GB2312" w:eastAsia="仿宋_GB2312"/>
          <w:sz w:val="28"/>
          <w:szCs w:val="28"/>
        </w:rPr>
        <w:t>%。主要原因：预算净结余。</w:t>
      </w:r>
    </w:p>
    <w:p w14:paraId="65B78B49">
      <w:pPr>
        <w:spacing w:line="580" w:lineRule="exact"/>
        <w:ind w:firstLine="560" w:firstLineChars="200"/>
        <w:rPr>
          <w:rFonts w:hint="eastAsia" w:ascii="仿宋_GB2312" w:eastAsia="仿宋_GB2312"/>
          <w:sz w:val="28"/>
          <w:szCs w:val="28"/>
        </w:rPr>
      </w:pPr>
      <w:r>
        <w:rPr>
          <w:rFonts w:hint="eastAsia" w:ascii="仿宋_GB2312" w:eastAsia="仿宋_GB2312"/>
          <w:sz w:val="28"/>
          <w:szCs w:val="28"/>
        </w:rPr>
        <w:t>“行政事业单位养老支出”（款）2025年度年初预算57,680.00元，2025年度决算64,377.00元，完成年初预算的111.</w:t>
      </w:r>
      <w:r>
        <w:rPr>
          <w:rFonts w:hint="eastAsia" w:ascii="仿宋_GB2312" w:eastAsia="仿宋_GB2312"/>
          <w:sz w:val="28"/>
          <w:szCs w:val="28"/>
          <w:lang w:val="en-US" w:eastAsia="zh-CN"/>
        </w:rPr>
        <w:t>7</w:t>
      </w:r>
      <w:r>
        <w:rPr>
          <w:rFonts w:hint="eastAsia" w:ascii="仿宋_GB2312" w:eastAsia="仿宋_GB2312"/>
          <w:sz w:val="28"/>
          <w:szCs w:val="28"/>
        </w:rPr>
        <w:t>%。主要原因：新增事业退休人员。</w:t>
      </w:r>
    </w:p>
    <w:p w14:paraId="64A20259">
      <w:pPr>
        <w:spacing w:line="580" w:lineRule="exact"/>
        <w:ind w:firstLine="560" w:firstLineChars="200"/>
        <w:rPr>
          <w:rFonts w:hint="eastAsia" w:ascii="仿宋_GB2312" w:eastAsia="仿宋_GB2312"/>
          <w:sz w:val="28"/>
          <w:szCs w:val="28"/>
        </w:rPr>
      </w:pPr>
      <w:r>
        <w:rPr>
          <w:rFonts w:hint="eastAsia" w:ascii="仿宋_GB2312" w:eastAsia="仿宋_GB2312"/>
          <w:sz w:val="28"/>
          <w:szCs w:val="28"/>
        </w:rPr>
        <w:t>“就业补助”（款）2025年度年初预算423,781.00元，2025年度决算915,266.07元，完成年初预算的21</w:t>
      </w:r>
      <w:r>
        <w:rPr>
          <w:rFonts w:hint="eastAsia" w:ascii="仿宋_GB2312" w:eastAsia="仿宋_GB2312"/>
          <w:sz w:val="28"/>
          <w:szCs w:val="28"/>
          <w:lang w:val="en-US" w:eastAsia="zh-CN"/>
        </w:rPr>
        <w:t>6.0</w:t>
      </w:r>
      <w:r>
        <w:rPr>
          <w:rFonts w:hint="eastAsia" w:ascii="仿宋_GB2312" w:eastAsia="仿宋_GB2312"/>
          <w:sz w:val="28"/>
          <w:szCs w:val="28"/>
        </w:rPr>
        <w:t>%。主要原因：追加</w:t>
      </w:r>
      <w:r>
        <w:rPr>
          <w:rFonts w:hint="eastAsia" w:ascii="仿宋_GB2312" w:eastAsia="仿宋_GB2312"/>
          <w:sz w:val="28"/>
          <w:szCs w:val="28"/>
          <w:lang w:val="en-US" w:eastAsia="zh-CN"/>
        </w:rPr>
        <w:t>下</w:t>
      </w:r>
      <w:r>
        <w:rPr>
          <w:rFonts w:hint="eastAsia" w:ascii="仿宋_GB2312" w:eastAsia="仿宋_GB2312"/>
          <w:sz w:val="28"/>
          <w:szCs w:val="28"/>
        </w:rPr>
        <w:t>沉镇街协管员队伍经费（公益性岗位）。</w:t>
      </w:r>
    </w:p>
    <w:p w14:paraId="2B8D54C0">
      <w:pPr>
        <w:spacing w:line="580" w:lineRule="exact"/>
        <w:ind w:firstLine="560" w:firstLineChars="200"/>
        <w:rPr>
          <w:rFonts w:hint="eastAsia" w:ascii="仿宋_GB2312" w:eastAsia="仿宋_GB2312"/>
          <w:sz w:val="28"/>
          <w:szCs w:val="28"/>
        </w:rPr>
      </w:pPr>
      <w:r>
        <w:rPr>
          <w:rFonts w:hint="eastAsia" w:ascii="仿宋_GB2312" w:eastAsia="仿宋_GB2312"/>
          <w:sz w:val="28"/>
          <w:szCs w:val="28"/>
        </w:rPr>
        <w:t>“社会福利”（款）2025年度年初预算0.00元，2025年度决算15,000.00元。主要原因：追加城乡无丧葬补助居民丧葬补贴项目预算。</w:t>
      </w:r>
    </w:p>
    <w:p w14:paraId="2828DECC">
      <w:pPr>
        <w:spacing w:line="580" w:lineRule="exact"/>
        <w:ind w:firstLine="560" w:firstLineChars="200"/>
        <w:rPr>
          <w:rFonts w:hint="eastAsia" w:ascii="仿宋_GB2312" w:eastAsia="仿宋_GB2312"/>
          <w:sz w:val="28"/>
          <w:szCs w:val="28"/>
        </w:rPr>
      </w:pPr>
      <w:r>
        <w:rPr>
          <w:rFonts w:hint="eastAsia" w:ascii="仿宋_GB2312" w:eastAsia="仿宋_GB2312"/>
          <w:sz w:val="28"/>
          <w:szCs w:val="28"/>
        </w:rPr>
        <w:t>“临时救助”（款）2025年度年初预算0.00元，2025年度决算12,000.00元。主要原因：追加临时救助预算。</w:t>
      </w:r>
    </w:p>
    <w:p w14:paraId="7FC06EEF">
      <w:pPr>
        <w:spacing w:line="580" w:lineRule="exact"/>
        <w:ind w:firstLine="560" w:firstLineChars="200"/>
        <w:rPr>
          <w:rFonts w:hint="eastAsia" w:ascii="仿宋_GB2312" w:eastAsia="仿宋_GB2312"/>
          <w:sz w:val="28"/>
          <w:szCs w:val="28"/>
        </w:rPr>
      </w:pPr>
      <w:r>
        <w:rPr>
          <w:rFonts w:hint="eastAsia" w:ascii="仿宋_GB2312" w:eastAsia="仿宋_GB2312"/>
          <w:sz w:val="28"/>
          <w:szCs w:val="28"/>
        </w:rPr>
        <w:t>5.“卫生健康支出”（类）2025年度年初预算128,600.00元，2025年度决算293,346.00元，完成年初预算的228.</w:t>
      </w:r>
      <w:r>
        <w:rPr>
          <w:rFonts w:hint="eastAsia" w:ascii="仿宋_GB2312" w:eastAsia="仿宋_GB2312"/>
          <w:sz w:val="28"/>
          <w:szCs w:val="28"/>
          <w:lang w:val="en-US" w:eastAsia="zh-CN"/>
        </w:rPr>
        <w:t>1</w:t>
      </w:r>
      <w:r>
        <w:rPr>
          <w:rFonts w:hint="eastAsia" w:ascii="仿宋_GB2312" w:eastAsia="仿宋_GB2312"/>
          <w:sz w:val="28"/>
          <w:szCs w:val="28"/>
        </w:rPr>
        <w:t>%。</w:t>
      </w:r>
    </w:p>
    <w:p w14:paraId="55535C1A">
      <w:pPr>
        <w:spacing w:line="580" w:lineRule="exact"/>
        <w:ind w:firstLine="560" w:firstLineChars="200"/>
        <w:rPr>
          <w:rFonts w:hint="eastAsia" w:ascii="仿宋_GB2312" w:eastAsia="仿宋_GB2312"/>
          <w:sz w:val="28"/>
          <w:szCs w:val="28"/>
        </w:rPr>
      </w:pPr>
      <w:r>
        <w:rPr>
          <w:rFonts w:hint="eastAsia" w:ascii="仿宋_GB2312" w:eastAsia="仿宋_GB2312"/>
          <w:sz w:val="28"/>
          <w:szCs w:val="28"/>
        </w:rPr>
        <w:t>其中：</w:t>
      </w:r>
    </w:p>
    <w:p w14:paraId="01FB81A6">
      <w:pPr>
        <w:spacing w:line="580" w:lineRule="exact"/>
        <w:ind w:firstLine="560" w:firstLineChars="200"/>
        <w:rPr>
          <w:rFonts w:hint="eastAsia" w:ascii="仿宋_GB2312" w:eastAsia="仿宋_GB2312"/>
          <w:sz w:val="28"/>
          <w:szCs w:val="28"/>
        </w:rPr>
      </w:pPr>
      <w:r>
        <w:rPr>
          <w:rFonts w:hint="eastAsia" w:ascii="仿宋_GB2312" w:eastAsia="仿宋_GB2312"/>
          <w:sz w:val="28"/>
          <w:szCs w:val="28"/>
        </w:rPr>
        <w:t>“公共卫生”（款）2025年度年初预算30,000.00元，2025年度决算28,400.00元，完成年初预算的94.7%。主要原因：预算净结余。</w:t>
      </w:r>
    </w:p>
    <w:p w14:paraId="6E5853A9">
      <w:pPr>
        <w:spacing w:line="580" w:lineRule="exact"/>
        <w:ind w:firstLine="560" w:firstLineChars="200"/>
        <w:rPr>
          <w:rFonts w:hint="eastAsia" w:ascii="仿宋_GB2312" w:eastAsia="仿宋_GB2312"/>
          <w:sz w:val="28"/>
          <w:szCs w:val="28"/>
        </w:rPr>
      </w:pPr>
      <w:r>
        <w:rPr>
          <w:rFonts w:hint="eastAsia" w:ascii="仿宋_GB2312" w:eastAsia="仿宋_GB2312"/>
          <w:sz w:val="28"/>
          <w:szCs w:val="28"/>
        </w:rPr>
        <w:t>“计划生育事务”（款）2025年度年初预算98,600.00元，2025年度决算65,000.00元，完成年初预算的65.9%。主要原因：预算事项需结转至次年支付。</w:t>
      </w:r>
    </w:p>
    <w:p w14:paraId="41CF63B8">
      <w:pPr>
        <w:spacing w:line="580" w:lineRule="exact"/>
        <w:ind w:firstLine="560" w:firstLineChars="200"/>
        <w:rPr>
          <w:rFonts w:hint="eastAsia" w:ascii="仿宋_GB2312" w:eastAsia="仿宋_GB2312"/>
          <w:sz w:val="28"/>
          <w:szCs w:val="28"/>
        </w:rPr>
      </w:pPr>
      <w:r>
        <w:rPr>
          <w:rFonts w:hint="eastAsia" w:ascii="仿宋_GB2312" w:eastAsia="仿宋_GB2312"/>
          <w:sz w:val="28"/>
          <w:szCs w:val="28"/>
        </w:rPr>
        <w:t>“医疗救助”（款）2025年度年初预算0.00元，2025年度决算199,946.00元。主要原因：追加退养人员医疗费项目预算。</w:t>
      </w:r>
    </w:p>
    <w:p w14:paraId="6C94A972">
      <w:pPr>
        <w:spacing w:line="580" w:lineRule="exact"/>
        <w:ind w:firstLine="560" w:firstLineChars="200"/>
        <w:rPr>
          <w:rFonts w:hint="eastAsia" w:ascii="仿宋_GB2312" w:eastAsia="仿宋_GB2312"/>
          <w:sz w:val="28"/>
          <w:szCs w:val="28"/>
        </w:rPr>
      </w:pPr>
      <w:r>
        <w:rPr>
          <w:rFonts w:hint="eastAsia" w:ascii="仿宋_GB2312" w:eastAsia="仿宋_GB2312"/>
          <w:sz w:val="28"/>
          <w:szCs w:val="28"/>
        </w:rPr>
        <w:t>6.“节能环保支出”（类）2025年度年初预算190,000.00元，2025年度决算6,127,000.00元，完成年初预算的3224.7%。</w:t>
      </w:r>
    </w:p>
    <w:p w14:paraId="403AE7D1">
      <w:pPr>
        <w:spacing w:line="580" w:lineRule="exact"/>
        <w:ind w:firstLine="560" w:firstLineChars="200"/>
        <w:rPr>
          <w:rFonts w:hint="eastAsia" w:ascii="仿宋_GB2312" w:eastAsia="仿宋_GB2312"/>
          <w:sz w:val="28"/>
          <w:szCs w:val="28"/>
        </w:rPr>
      </w:pPr>
      <w:r>
        <w:rPr>
          <w:rFonts w:hint="eastAsia" w:ascii="仿宋_GB2312" w:eastAsia="仿宋_GB2312"/>
          <w:sz w:val="28"/>
          <w:szCs w:val="28"/>
        </w:rPr>
        <w:t>其中：</w:t>
      </w:r>
    </w:p>
    <w:p w14:paraId="789A1E70">
      <w:pPr>
        <w:spacing w:line="580" w:lineRule="exact"/>
        <w:ind w:firstLine="560" w:firstLineChars="200"/>
        <w:rPr>
          <w:rFonts w:hint="eastAsia" w:ascii="仿宋_GB2312" w:eastAsia="仿宋_GB2312"/>
          <w:sz w:val="28"/>
          <w:szCs w:val="28"/>
        </w:rPr>
      </w:pPr>
      <w:r>
        <w:rPr>
          <w:rFonts w:hint="eastAsia" w:ascii="仿宋_GB2312" w:eastAsia="仿宋_GB2312"/>
          <w:sz w:val="28"/>
          <w:szCs w:val="28"/>
        </w:rPr>
        <w:t>“污染防治”（款）2025年度年初预算190,000.00元，2025年度决算6,127,000.00元，完成年初预算的3224.7%。主要原因：新增2024年度煤改清洁能源设备奖补资金。</w:t>
      </w:r>
    </w:p>
    <w:p w14:paraId="007C56B7">
      <w:pPr>
        <w:spacing w:line="580" w:lineRule="exact"/>
        <w:ind w:firstLine="560" w:firstLineChars="200"/>
        <w:rPr>
          <w:rFonts w:hint="eastAsia" w:ascii="仿宋_GB2312" w:eastAsia="仿宋_GB2312"/>
          <w:sz w:val="28"/>
          <w:szCs w:val="28"/>
        </w:rPr>
      </w:pPr>
      <w:r>
        <w:rPr>
          <w:rFonts w:hint="eastAsia" w:ascii="仿宋_GB2312" w:eastAsia="仿宋_GB2312"/>
          <w:sz w:val="28"/>
          <w:szCs w:val="28"/>
        </w:rPr>
        <w:t>7.“城乡社区支出”（类）2025年度年初预算1,852,209.74元，2025年度决算38,641,119.62元，完成年初预算的2086.2%。</w:t>
      </w:r>
    </w:p>
    <w:p w14:paraId="433867FC">
      <w:pPr>
        <w:spacing w:line="580" w:lineRule="exact"/>
        <w:ind w:firstLine="560" w:firstLineChars="200"/>
        <w:rPr>
          <w:rFonts w:hint="eastAsia" w:ascii="仿宋_GB2312" w:eastAsia="仿宋_GB2312"/>
          <w:sz w:val="28"/>
          <w:szCs w:val="28"/>
        </w:rPr>
      </w:pPr>
      <w:r>
        <w:rPr>
          <w:rFonts w:hint="eastAsia" w:ascii="仿宋_GB2312" w:eastAsia="仿宋_GB2312"/>
          <w:sz w:val="28"/>
          <w:szCs w:val="28"/>
        </w:rPr>
        <w:t>其中：</w:t>
      </w:r>
    </w:p>
    <w:p w14:paraId="1CFE3284">
      <w:pPr>
        <w:spacing w:line="580" w:lineRule="exact"/>
        <w:ind w:firstLine="560" w:firstLineChars="200"/>
        <w:rPr>
          <w:rFonts w:hint="eastAsia" w:ascii="仿宋_GB2312" w:eastAsia="仿宋_GB2312"/>
          <w:sz w:val="28"/>
          <w:szCs w:val="28"/>
        </w:rPr>
      </w:pPr>
      <w:r>
        <w:rPr>
          <w:rFonts w:hint="eastAsia" w:ascii="仿宋_GB2312" w:eastAsia="仿宋_GB2312"/>
          <w:sz w:val="28"/>
          <w:szCs w:val="28"/>
        </w:rPr>
        <w:t>“城乡社区管理事务”（款）2025年度年初预算397,400.00元，2025年度决算26,243,036.33元，完成年初预算的6603.7%。主要原因：新增大台街道矿工自建房解危工作及申请首批所需资金预算。</w:t>
      </w:r>
    </w:p>
    <w:p w14:paraId="12977852">
      <w:pPr>
        <w:spacing w:line="580" w:lineRule="exact"/>
        <w:ind w:firstLine="560" w:firstLineChars="200"/>
        <w:rPr>
          <w:rFonts w:hint="eastAsia" w:ascii="仿宋_GB2312" w:eastAsia="仿宋_GB2312"/>
          <w:sz w:val="28"/>
          <w:szCs w:val="28"/>
        </w:rPr>
      </w:pPr>
      <w:r>
        <w:rPr>
          <w:rFonts w:hint="eastAsia" w:ascii="仿宋_GB2312" w:eastAsia="仿宋_GB2312"/>
          <w:sz w:val="28"/>
          <w:szCs w:val="28"/>
        </w:rPr>
        <w:t>“城乡社区公共设施”（款）2025年度年初预算0.00元，2025年度决算776,229.90元。主要原因：追加门头沟区大台街道桃园社区、庄户村、玉皇庙社区等六村地质灾害治理项目预算。</w:t>
      </w:r>
    </w:p>
    <w:p w14:paraId="1FDB4AE7">
      <w:pPr>
        <w:spacing w:line="580" w:lineRule="exact"/>
        <w:ind w:firstLine="560" w:firstLineChars="200"/>
        <w:rPr>
          <w:rFonts w:hint="eastAsia" w:ascii="仿宋_GB2312" w:eastAsia="仿宋_GB2312"/>
          <w:sz w:val="28"/>
          <w:szCs w:val="28"/>
        </w:rPr>
      </w:pPr>
      <w:r>
        <w:rPr>
          <w:rFonts w:hint="eastAsia" w:ascii="仿宋_GB2312" w:eastAsia="仿宋_GB2312"/>
          <w:sz w:val="28"/>
          <w:szCs w:val="28"/>
        </w:rPr>
        <w:t>“城乡社区环境卫生”（款）2025年度年初预算174,809.74元，2025年度决算2,216,509.69元，完成年初预算的126</w:t>
      </w:r>
      <w:r>
        <w:rPr>
          <w:rFonts w:hint="eastAsia" w:ascii="仿宋_GB2312" w:eastAsia="仿宋_GB2312"/>
          <w:sz w:val="28"/>
          <w:szCs w:val="28"/>
          <w:lang w:val="en-US" w:eastAsia="zh-CN"/>
        </w:rPr>
        <w:t>8.0</w:t>
      </w:r>
      <w:r>
        <w:rPr>
          <w:rFonts w:hint="eastAsia" w:ascii="仿宋_GB2312" w:eastAsia="仿宋_GB2312"/>
          <w:sz w:val="28"/>
          <w:szCs w:val="28"/>
        </w:rPr>
        <w:t>%。主要原因：追加2025年购买垃圾分类指导员专业运营服务相关费用，新增大台街道公厕管护服务预算。</w:t>
      </w:r>
    </w:p>
    <w:p w14:paraId="628F5E55">
      <w:pPr>
        <w:spacing w:line="580" w:lineRule="exact"/>
        <w:ind w:firstLine="560" w:firstLineChars="200"/>
        <w:rPr>
          <w:rFonts w:hint="eastAsia" w:ascii="仿宋_GB2312" w:eastAsia="仿宋_GB2312"/>
          <w:sz w:val="28"/>
          <w:szCs w:val="28"/>
        </w:rPr>
      </w:pPr>
      <w:r>
        <w:rPr>
          <w:rFonts w:hint="eastAsia" w:ascii="仿宋_GB2312" w:eastAsia="仿宋_GB2312"/>
          <w:sz w:val="28"/>
          <w:szCs w:val="28"/>
        </w:rPr>
        <w:t>“其他城乡社区支出”（款）2025年度年初预算1,280,000.00元，2025年度决算9,405,343.70元，完成年初预算的734.</w:t>
      </w:r>
      <w:r>
        <w:rPr>
          <w:rFonts w:hint="eastAsia" w:ascii="仿宋_GB2312" w:eastAsia="仿宋_GB2312"/>
          <w:sz w:val="28"/>
          <w:szCs w:val="28"/>
          <w:lang w:val="en-US" w:eastAsia="zh-CN"/>
        </w:rPr>
        <w:t>8</w:t>
      </w:r>
      <w:r>
        <w:rPr>
          <w:rFonts w:hint="eastAsia" w:ascii="仿宋_GB2312" w:eastAsia="仿宋_GB2312"/>
          <w:sz w:val="28"/>
          <w:szCs w:val="28"/>
        </w:rPr>
        <w:t>%。主要原因：追加引导性财力补助（一般）和接诉即办奖励资金。</w:t>
      </w:r>
    </w:p>
    <w:p w14:paraId="404A5E5E">
      <w:pPr>
        <w:spacing w:line="580" w:lineRule="exact"/>
        <w:ind w:firstLine="560" w:firstLineChars="200"/>
        <w:rPr>
          <w:rFonts w:hint="eastAsia" w:ascii="仿宋_GB2312" w:eastAsia="仿宋_GB2312"/>
          <w:sz w:val="28"/>
          <w:szCs w:val="28"/>
        </w:rPr>
      </w:pPr>
      <w:r>
        <w:rPr>
          <w:rFonts w:hint="eastAsia" w:ascii="仿宋_GB2312" w:eastAsia="仿宋_GB2312"/>
          <w:sz w:val="28"/>
          <w:szCs w:val="28"/>
        </w:rPr>
        <w:t>8.“农林水支出”（类）2025年度年初预算34,480.00元，2025年度决算4,391,534.37元，完成年初预算的12736.</w:t>
      </w:r>
      <w:r>
        <w:rPr>
          <w:rFonts w:hint="eastAsia" w:ascii="仿宋_GB2312" w:eastAsia="仿宋_GB2312"/>
          <w:sz w:val="28"/>
          <w:szCs w:val="28"/>
          <w:lang w:val="en-US" w:eastAsia="zh-CN"/>
        </w:rPr>
        <w:t>4</w:t>
      </w:r>
      <w:r>
        <w:rPr>
          <w:rFonts w:hint="eastAsia" w:ascii="仿宋_GB2312" w:eastAsia="仿宋_GB2312"/>
          <w:sz w:val="28"/>
          <w:szCs w:val="28"/>
        </w:rPr>
        <w:t>%。</w:t>
      </w:r>
    </w:p>
    <w:p w14:paraId="27B4D4D3">
      <w:pPr>
        <w:spacing w:line="580" w:lineRule="exact"/>
        <w:ind w:firstLine="560" w:firstLineChars="200"/>
        <w:rPr>
          <w:rFonts w:hint="eastAsia" w:ascii="仿宋_GB2312" w:eastAsia="仿宋_GB2312"/>
          <w:sz w:val="28"/>
          <w:szCs w:val="28"/>
        </w:rPr>
      </w:pPr>
      <w:r>
        <w:rPr>
          <w:rFonts w:hint="eastAsia" w:ascii="仿宋_GB2312" w:eastAsia="仿宋_GB2312"/>
          <w:sz w:val="28"/>
          <w:szCs w:val="28"/>
        </w:rPr>
        <w:t>其中：</w:t>
      </w:r>
    </w:p>
    <w:p w14:paraId="315A4543">
      <w:pPr>
        <w:spacing w:line="580" w:lineRule="exact"/>
        <w:ind w:firstLine="560" w:firstLineChars="200"/>
        <w:rPr>
          <w:rFonts w:hint="eastAsia" w:ascii="仿宋_GB2312" w:eastAsia="仿宋_GB2312"/>
          <w:sz w:val="28"/>
          <w:szCs w:val="28"/>
        </w:rPr>
      </w:pPr>
      <w:r>
        <w:rPr>
          <w:rFonts w:hint="eastAsia" w:ascii="仿宋_GB2312" w:eastAsia="仿宋_GB2312"/>
          <w:sz w:val="28"/>
          <w:szCs w:val="28"/>
        </w:rPr>
        <w:t>“水利”（款）2025年度年初预算34,480.00元，2025年度决算4,391,534.37元，完成年初预算的12736.</w:t>
      </w:r>
      <w:r>
        <w:rPr>
          <w:rFonts w:hint="eastAsia" w:ascii="仿宋_GB2312" w:eastAsia="仿宋_GB2312"/>
          <w:sz w:val="28"/>
          <w:szCs w:val="28"/>
          <w:lang w:val="en-US" w:eastAsia="zh-CN"/>
        </w:rPr>
        <w:t>4</w:t>
      </w:r>
      <w:r>
        <w:rPr>
          <w:rFonts w:hint="eastAsia" w:ascii="仿宋_GB2312" w:eastAsia="仿宋_GB2312"/>
          <w:sz w:val="28"/>
          <w:szCs w:val="28"/>
        </w:rPr>
        <w:t>%。主要原因：新增支沟毛渠疏浚项目预算。</w:t>
      </w:r>
    </w:p>
    <w:p w14:paraId="613D6C89">
      <w:pPr>
        <w:spacing w:line="580" w:lineRule="exact"/>
        <w:ind w:firstLine="560" w:firstLineChars="200"/>
        <w:rPr>
          <w:rFonts w:hint="eastAsia" w:ascii="仿宋_GB2312" w:eastAsia="仿宋_GB2312"/>
          <w:sz w:val="28"/>
          <w:szCs w:val="28"/>
        </w:rPr>
      </w:pPr>
      <w:r>
        <w:rPr>
          <w:rFonts w:hint="eastAsia" w:ascii="仿宋_GB2312" w:eastAsia="仿宋_GB2312"/>
          <w:sz w:val="28"/>
          <w:szCs w:val="28"/>
        </w:rPr>
        <w:t>9.“交通运输支出”（类）2025年度年初预算225,243.60元，2025年度决算225,243.60元，完成年初预算的</w:t>
      </w:r>
      <w:r>
        <w:rPr>
          <w:rFonts w:hint="eastAsia" w:ascii="仿宋_GB2312" w:eastAsia="仿宋_GB2312"/>
          <w:sz w:val="28"/>
          <w:szCs w:val="28"/>
          <w:lang w:val="en-US" w:eastAsia="zh-CN"/>
        </w:rPr>
        <w:t>100.0</w:t>
      </w:r>
      <w:r>
        <w:rPr>
          <w:rFonts w:hint="eastAsia" w:ascii="仿宋_GB2312" w:eastAsia="仿宋_GB2312"/>
          <w:sz w:val="28"/>
          <w:szCs w:val="28"/>
        </w:rPr>
        <w:t>%。</w:t>
      </w:r>
    </w:p>
    <w:p w14:paraId="0B354F3E">
      <w:pPr>
        <w:spacing w:line="580" w:lineRule="exact"/>
        <w:ind w:firstLine="560" w:firstLineChars="200"/>
        <w:rPr>
          <w:rFonts w:hint="eastAsia" w:ascii="仿宋_GB2312" w:eastAsia="仿宋_GB2312"/>
          <w:sz w:val="28"/>
          <w:szCs w:val="28"/>
        </w:rPr>
      </w:pPr>
      <w:r>
        <w:rPr>
          <w:rFonts w:hint="eastAsia" w:ascii="仿宋_GB2312" w:eastAsia="仿宋_GB2312"/>
          <w:sz w:val="28"/>
          <w:szCs w:val="28"/>
        </w:rPr>
        <w:t>其中：</w:t>
      </w:r>
    </w:p>
    <w:p w14:paraId="37F80450">
      <w:pPr>
        <w:spacing w:line="580" w:lineRule="exact"/>
        <w:ind w:firstLine="560" w:firstLineChars="200"/>
        <w:rPr>
          <w:rFonts w:hint="eastAsia" w:ascii="仿宋_GB2312" w:eastAsia="仿宋_GB2312"/>
          <w:sz w:val="28"/>
          <w:szCs w:val="28"/>
        </w:rPr>
      </w:pPr>
      <w:r>
        <w:rPr>
          <w:rFonts w:hint="eastAsia" w:ascii="仿宋_GB2312" w:eastAsia="仿宋_GB2312"/>
          <w:sz w:val="28"/>
          <w:szCs w:val="28"/>
        </w:rPr>
        <w:t>“铁路运输”（款）2025年度年初预算25,243.60元，2025年度决算225,243.60元，完成年初预算的</w:t>
      </w:r>
      <w:r>
        <w:rPr>
          <w:rFonts w:hint="eastAsia" w:ascii="仿宋_GB2312" w:eastAsia="仿宋_GB2312"/>
          <w:sz w:val="28"/>
          <w:szCs w:val="28"/>
          <w:lang w:val="en-US" w:eastAsia="zh-CN"/>
        </w:rPr>
        <w:t>100.0</w:t>
      </w:r>
      <w:r>
        <w:rPr>
          <w:rFonts w:hint="eastAsia" w:ascii="仿宋_GB2312" w:eastAsia="仿宋_GB2312"/>
          <w:sz w:val="28"/>
          <w:szCs w:val="28"/>
        </w:rPr>
        <w:t>%。主要原因：</w:t>
      </w:r>
      <w:r>
        <w:rPr>
          <w:rFonts w:hint="eastAsia" w:ascii="仿宋_GB2312" w:eastAsia="仿宋_GB2312"/>
          <w:sz w:val="28"/>
          <w:szCs w:val="28"/>
          <w:lang w:val="en-US" w:eastAsia="zh-CN"/>
        </w:rPr>
        <w:t>无</w:t>
      </w:r>
      <w:r>
        <w:rPr>
          <w:rFonts w:hint="eastAsia" w:ascii="仿宋_GB2312" w:eastAsia="仿宋_GB2312"/>
          <w:sz w:val="28"/>
          <w:szCs w:val="28"/>
        </w:rPr>
        <w:t>。</w:t>
      </w:r>
    </w:p>
    <w:p w14:paraId="59FCB9FE">
      <w:pPr>
        <w:spacing w:line="580" w:lineRule="exact"/>
        <w:ind w:firstLine="560" w:firstLineChars="200"/>
        <w:rPr>
          <w:rFonts w:hint="eastAsia" w:ascii="仿宋_GB2312" w:eastAsia="仿宋_GB2312"/>
          <w:sz w:val="28"/>
          <w:szCs w:val="28"/>
        </w:rPr>
      </w:pPr>
      <w:r>
        <w:rPr>
          <w:rFonts w:hint="eastAsia" w:ascii="仿宋_GB2312" w:eastAsia="仿宋_GB2312"/>
          <w:sz w:val="28"/>
          <w:szCs w:val="28"/>
        </w:rPr>
        <w:t>1</w:t>
      </w:r>
      <w:r>
        <w:rPr>
          <w:rFonts w:hint="eastAsia" w:ascii="仿宋_GB2312" w:eastAsia="仿宋_GB2312"/>
          <w:sz w:val="28"/>
          <w:szCs w:val="28"/>
          <w:lang w:val="en-US" w:eastAsia="zh-CN"/>
        </w:rPr>
        <w:t>0</w:t>
      </w:r>
      <w:r>
        <w:rPr>
          <w:rFonts w:hint="eastAsia" w:ascii="仿宋_GB2312" w:eastAsia="仿宋_GB2312"/>
          <w:sz w:val="28"/>
          <w:szCs w:val="28"/>
        </w:rPr>
        <w:t>.“资源勘探工业信息等支出”（类）2025年度年初预算0.00元，2025年度决算7,986.60元。</w:t>
      </w:r>
    </w:p>
    <w:p w14:paraId="554F3FDE">
      <w:pPr>
        <w:spacing w:line="580" w:lineRule="exact"/>
        <w:ind w:firstLine="560" w:firstLineChars="200"/>
        <w:rPr>
          <w:rFonts w:hint="eastAsia" w:ascii="仿宋_GB2312" w:eastAsia="仿宋_GB2312"/>
          <w:sz w:val="28"/>
          <w:szCs w:val="28"/>
        </w:rPr>
      </w:pPr>
      <w:r>
        <w:rPr>
          <w:rFonts w:hint="eastAsia" w:ascii="仿宋_GB2312" w:eastAsia="仿宋_GB2312"/>
          <w:sz w:val="28"/>
          <w:szCs w:val="28"/>
        </w:rPr>
        <w:t>其中：</w:t>
      </w:r>
    </w:p>
    <w:p w14:paraId="4025DFFF">
      <w:pPr>
        <w:spacing w:line="580" w:lineRule="exact"/>
        <w:ind w:firstLine="560" w:firstLineChars="200"/>
        <w:rPr>
          <w:rFonts w:hint="eastAsia" w:ascii="仿宋_GB2312" w:eastAsia="仿宋_GB2312"/>
          <w:sz w:val="28"/>
          <w:szCs w:val="28"/>
        </w:rPr>
      </w:pPr>
      <w:r>
        <w:rPr>
          <w:rFonts w:hint="eastAsia" w:ascii="仿宋_GB2312" w:eastAsia="仿宋_GB2312"/>
          <w:sz w:val="28"/>
          <w:szCs w:val="28"/>
        </w:rPr>
        <w:t>“制造业”（款）2025年度年初预算0.00元，2025年度决算7,986.60元。主要原因：新增设备采购预算事项。</w:t>
      </w:r>
    </w:p>
    <w:p w14:paraId="3398E771">
      <w:pPr>
        <w:spacing w:line="580" w:lineRule="exact"/>
        <w:ind w:firstLine="560" w:firstLineChars="200"/>
        <w:rPr>
          <w:rFonts w:hint="eastAsia" w:ascii="仿宋_GB2312" w:eastAsia="仿宋_GB2312"/>
          <w:sz w:val="28"/>
          <w:szCs w:val="28"/>
        </w:rPr>
      </w:pPr>
      <w:r>
        <w:rPr>
          <w:rFonts w:hint="eastAsia" w:ascii="仿宋_GB2312" w:eastAsia="仿宋_GB2312"/>
          <w:sz w:val="28"/>
          <w:szCs w:val="28"/>
        </w:rPr>
        <w:t>1</w:t>
      </w:r>
      <w:r>
        <w:rPr>
          <w:rFonts w:hint="eastAsia" w:ascii="仿宋_GB2312" w:eastAsia="仿宋_GB2312"/>
          <w:sz w:val="28"/>
          <w:szCs w:val="28"/>
          <w:lang w:val="en-US" w:eastAsia="zh-CN"/>
        </w:rPr>
        <w:t>1</w:t>
      </w:r>
      <w:r>
        <w:rPr>
          <w:rFonts w:hint="eastAsia" w:ascii="仿宋_GB2312" w:eastAsia="仿宋_GB2312"/>
          <w:sz w:val="28"/>
          <w:szCs w:val="28"/>
        </w:rPr>
        <w:t>.“灾害防治及应急管理支出”（类）2025年度年初预算0.00元，2025年度决算3,140,981.37元。</w:t>
      </w:r>
    </w:p>
    <w:p w14:paraId="78E6905A">
      <w:pPr>
        <w:spacing w:line="580" w:lineRule="exact"/>
        <w:ind w:firstLine="560" w:firstLineChars="200"/>
        <w:rPr>
          <w:rFonts w:hint="eastAsia" w:ascii="仿宋_GB2312" w:eastAsia="仿宋_GB2312"/>
          <w:sz w:val="28"/>
          <w:szCs w:val="28"/>
        </w:rPr>
      </w:pPr>
      <w:r>
        <w:rPr>
          <w:rFonts w:hint="eastAsia" w:ascii="仿宋_GB2312" w:eastAsia="仿宋_GB2312"/>
          <w:sz w:val="28"/>
          <w:szCs w:val="28"/>
        </w:rPr>
        <w:t>其中：</w:t>
      </w:r>
    </w:p>
    <w:p w14:paraId="7CC70D48">
      <w:pPr>
        <w:spacing w:line="580" w:lineRule="exact"/>
        <w:ind w:firstLine="560" w:firstLineChars="200"/>
        <w:rPr>
          <w:rFonts w:ascii="仿宋_GB2312" w:eastAsia="仿宋_GB2312"/>
          <w:sz w:val="28"/>
          <w:szCs w:val="28"/>
        </w:rPr>
      </w:pPr>
      <w:r>
        <w:rPr>
          <w:rFonts w:hint="eastAsia" w:ascii="仿宋_GB2312" w:eastAsia="仿宋_GB2312"/>
          <w:sz w:val="28"/>
          <w:szCs w:val="28"/>
        </w:rPr>
        <w:t>“自然灾害防治”（款）2025年度年初预算0.00元，2025年度决算3,140,981.37元。主要原因：追加大台街道千军台社区地灾治理项目、大台街道桃园社区等两社区三处地灾治理项目预算。</w:t>
      </w:r>
    </w:p>
    <w:p w14:paraId="33ADCFC5">
      <w:pPr>
        <w:spacing w:line="580" w:lineRule="exact"/>
        <w:ind w:firstLine="560" w:firstLineChars="200"/>
        <w:rPr>
          <w:rFonts w:ascii="仿宋_GB2312" w:eastAsia="仿宋_GB2312"/>
          <w:sz w:val="28"/>
          <w:szCs w:val="28"/>
          <w:highlight w:val="none"/>
        </w:rPr>
      </w:pPr>
      <w:r>
        <w:rPr>
          <w:rFonts w:hint="eastAsia" w:ascii="黑体" w:eastAsia="黑体"/>
          <w:b/>
          <w:sz w:val="28"/>
          <w:szCs w:val="28"/>
          <w:highlight w:val="none"/>
        </w:rPr>
        <w:t>五、政府性基金预算财政拨款支出决算情况说明</w:t>
      </w:r>
    </w:p>
    <w:p w14:paraId="7BD77C48">
      <w:pPr>
        <w:autoSpaceDE w:val="0"/>
        <w:autoSpaceDN w:val="0"/>
        <w:adjustRightInd w:val="0"/>
        <w:spacing w:line="580" w:lineRule="exact"/>
        <w:ind w:firstLine="560" w:firstLineChars="200"/>
        <w:jc w:val="left"/>
        <w:rPr>
          <w:rFonts w:ascii="仿宋_GB2312" w:eastAsia="仿宋_GB2312"/>
          <w:sz w:val="28"/>
          <w:szCs w:val="28"/>
        </w:rPr>
      </w:pPr>
      <w:r>
        <w:rPr>
          <w:rFonts w:hint="eastAsia" w:ascii="仿宋_GB2312" w:eastAsia="仿宋_GB2312"/>
          <w:sz w:val="28"/>
          <w:szCs w:val="28"/>
        </w:rPr>
        <w:t>（一）政府性基金预算财政拨款支出决算总体情况</w:t>
      </w:r>
    </w:p>
    <w:p w14:paraId="18B05C2B">
      <w:pPr>
        <w:tabs>
          <w:tab w:val="center" w:pos="6979"/>
        </w:tabs>
        <w:spacing w:line="580" w:lineRule="exact"/>
        <w:ind w:firstLine="560" w:firstLineChars="200"/>
        <w:rPr>
          <w:rFonts w:hint="eastAsia" w:ascii="仿宋_GB2312" w:eastAsia="仿宋_GB2312"/>
          <w:sz w:val="28"/>
          <w:szCs w:val="28"/>
          <w:lang w:eastAsia="zh-CN"/>
        </w:rPr>
      </w:pPr>
      <w:r>
        <w:rPr>
          <w:rFonts w:hint="eastAsia" w:ascii="仿宋_GB2312" w:eastAsia="仿宋_GB2312"/>
          <w:sz w:val="28"/>
          <w:szCs w:val="28"/>
          <w:lang w:eastAsia="zh-CN"/>
        </w:rPr>
        <w:t>2025年</w:t>
      </w:r>
      <w:r>
        <w:rPr>
          <w:rFonts w:hint="eastAsia" w:ascii="仿宋_GB2312" w:eastAsia="仿宋_GB2312"/>
          <w:sz w:val="28"/>
          <w:szCs w:val="28"/>
        </w:rPr>
        <w:t>度政府性基金预算财政拨款支出</w:t>
      </w:r>
      <w:r>
        <w:rPr>
          <w:rFonts w:ascii="仿宋_GB2312" w:eastAsia="仿宋_GB2312"/>
          <w:sz w:val="28"/>
          <w:szCs w:val="28"/>
        </w:rPr>
        <w:t>10</w:t>
      </w:r>
      <w:r>
        <w:rPr>
          <w:rFonts w:hint="eastAsia" w:ascii="仿宋_GB2312" w:eastAsia="仿宋_GB2312"/>
          <w:sz w:val="28"/>
          <w:szCs w:val="28"/>
          <w:lang w:eastAsia="zh-CN"/>
        </w:rPr>
        <w:t>0,000</w:t>
      </w:r>
      <w:r>
        <w:rPr>
          <w:rFonts w:hint="eastAsia" w:ascii="仿宋_GB2312" w:eastAsia="仿宋_GB2312"/>
          <w:sz w:val="28"/>
          <w:szCs w:val="28"/>
          <w:lang w:val="en-US" w:eastAsia="zh-CN"/>
        </w:rPr>
        <w:t>.00</w:t>
      </w:r>
      <w:r>
        <w:rPr>
          <w:rFonts w:hint="eastAsia" w:ascii="仿宋_GB2312" w:eastAsia="仿宋_GB2312"/>
          <w:sz w:val="28"/>
          <w:szCs w:val="28"/>
          <w:lang w:eastAsia="zh-CN"/>
        </w:rPr>
        <w:t>元</w:t>
      </w:r>
      <w:r>
        <w:rPr>
          <w:rFonts w:hint="eastAsia" w:ascii="仿宋_GB2312" w:eastAsia="仿宋_GB2312"/>
          <w:sz w:val="28"/>
          <w:szCs w:val="28"/>
        </w:rPr>
        <w:t>，主要用于以下方面（按大类）：</w:t>
      </w:r>
      <w:r>
        <w:rPr>
          <w:rFonts w:hint="eastAsia" w:ascii="仿宋_GB2312" w:eastAsia="仿宋_GB2312"/>
          <w:sz w:val="28"/>
          <w:szCs w:val="28"/>
          <w:lang w:val="en-US" w:eastAsia="zh-CN"/>
        </w:rPr>
        <w:t>其他</w:t>
      </w:r>
      <w:r>
        <w:rPr>
          <w:rFonts w:hint="eastAsia" w:ascii="仿宋_GB2312" w:eastAsia="仿宋_GB2312"/>
          <w:sz w:val="28"/>
          <w:szCs w:val="28"/>
        </w:rPr>
        <w:t>支出</w:t>
      </w:r>
      <w:r>
        <w:rPr>
          <w:rFonts w:ascii="仿宋_GB2312" w:eastAsia="仿宋_GB2312"/>
          <w:sz w:val="28"/>
          <w:szCs w:val="28"/>
        </w:rPr>
        <w:t>10</w:t>
      </w:r>
      <w:r>
        <w:rPr>
          <w:rFonts w:hint="eastAsia" w:ascii="仿宋_GB2312" w:eastAsia="仿宋_GB2312"/>
          <w:sz w:val="28"/>
          <w:szCs w:val="28"/>
          <w:lang w:eastAsia="zh-CN"/>
        </w:rPr>
        <w:t>0,000</w:t>
      </w:r>
      <w:r>
        <w:rPr>
          <w:rFonts w:hint="eastAsia" w:ascii="仿宋_GB2312" w:eastAsia="仿宋_GB2312"/>
          <w:sz w:val="28"/>
          <w:szCs w:val="28"/>
          <w:lang w:val="en-US" w:eastAsia="zh-CN"/>
        </w:rPr>
        <w:t>.00</w:t>
      </w:r>
      <w:r>
        <w:rPr>
          <w:rFonts w:hint="eastAsia" w:ascii="仿宋_GB2312" w:eastAsia="仿宋_GB2312"/>
          <w:sz w:val="28"/>
          <w:szCs w:val="28"/>
        </w:rPr>
        <w:t>元，占本年财政拨款支出</w:t>
      </w:r>
      <w:r>
        <w:rPr>
          <w:rFonts w:hint="eastAsia" w:ascii="仿宋_GB2312" w:eastAsia="仿宋_GB2312"/>
          <w:sz w:val="28"/>
          <w:szCs w:val="28"/>
          <w:lang w:val="en-US" w:eastAsia="zh-CN"/>
        </w:rPr>
        <w:t>0.1</w:t>
      </w:r>
      <w:r>
        <w:rPr>
          <w:rFonts w:hint="eastAsia" w:ascii="仿宋_GB2312" w:eastAsia="仿宋_GB2312"/>
          <w:sz w:val="28"/>
          <w:szCs w:val="28"/>
        </w:rPr>
        <w:t>%</w:t>
      </w:r>
      <w:r>
        <w:rPr>
          <w:rFonts w:hint="eastAsia" w:ascii="仿宋_GB2312" w:eastAsia="仿宋_GB2312"/>
          <w:sz w:val="28"/>
          <w:szCs w:val="28"/>
          <w:lang w:eastAsia="zh-CN"/>
        </w:rPr>
        <w:t>。</w:t>
      </w:r>
    </w:p>
    <w:p w14:paraId="3DA9C1EF">
      <w:pPr>
        <w:autoSpaceDE w:val="0"/>
        <w:autoSpaceDN w:val="0"/>
        <w:adjustRightInd w:val="0"/>
        <w:spacing w:line="580" w:lineRule="exact"/>
        <w:ind w:firstLine="560" w:firstLineChars="200"/>
        <w:jc w:val="left"/>
        <w:rPr>
          <w:rFonts w:ascii="仿宋_GB2312" w:eastAsia="仿宋_GB2312"/>
          <w:sz w:val="28"/>
          <w:szCs w:val="28"/>
        </w:rPr>
      </w:pPr>
      <w:r>
        <w:rPr>
          <w:rFonts w:hint="eastAsia" w:ascii="仿宋_GB2312" w:eastAsia="仿宋_GB2312"/>
          <w:sz w:val="28"/>
          <w:szCs w:val="28"/>
        </w:rPr>
        <w:t>（二）政府性基金预算财政拨款支出决算具体情况</w:t>
      </w:r>
    </w:p>
    <w:p w14:paraId="0E1E571C">
      <w:pPr>
        <w:autoSpaceDE w:val="0"/>
        <w:autoSpaceDN w:val="0"/>
        <w:adjustRightInd w:val="0"/>
        <w:spacing w:line="580" w:lineRule="exact"/>
        <w:ind w:firstLine="700" w:firstLineChars="250"/>
        <w:jc w:val="left"/>
        <w:rPr>
          <w:rFonts w:ascii="仿宋_GB2312" w:eastAsia="仿宋_GB2312"/>
          <w:sz w:val="28"/>
          <w:szCs w:val="28"/>
        </w:rPr>
      </w:pPr>
      <w:r>
        <w:rPr>
          <w:rFonts w:hint="eastAsia" w:ascii="仿宋_GB2312" w:eastAsia="仿宋_GB2312"/>
          <w:sz w:val="28"/>
          <w:szCs w:val="28"/>
          <w:lang w:val="en-US" w:eastAsia="zh-CN"/>
        </w:rPr>
        <w:t>1.</w:t>
      </w:r>
      <w:r>
        <w:rPr>
          <w:rFonts w:hint="eastAsia" w:ascii="仿宋_GB2312" w:eastAsia="仿宋_GB2312"/>
          <w:sz w:val="28"/>
          <w:szCs w:val="28"/>
        </w:rPr>
        <w:t>“</w:t>
      </w:r>
      <w:r>
        <w:rPr>
          <w:rFonts w:hint="eastAsia" w:ascii="仿宋_GB2312" w:eastAsia="仿宋_GB2312"/>
          <w:sz w:val="28"/>
          <w:szCs w:val="28"/>
          <w:lang w:val="en-US" w:eastAsia="zh-CN"/>
        </w:rPr>
        <w:t>其他支出</w:t>
      </w:r>
      <w:r>
        <w:rPr>
          <w:rFonts w:hint="eastAsia" w:ascii="仿宋_GB2312" w:eastAsia="仿宋_GB2312"/>
          <w:sz w:val="28"/>
          <w:szCs w:val="28"/>
        </w:rPr>
        <w:t>”（类）</w:t>
      </w:r>
      <w:r>
        <w:rPr>
          <w:rFonts w:hint="eastAsia" w:ascii="仿宋_GB2312" w:eastAsia="仿宋_GB2312"/>
          <w:sz w:val="28"/>
          <w:szCs w:val="28"/>
          <w:lang w:eastAsia="zh-CN"/>
        </w:rPr>
        <w:t>2025年</w:t>
      </w:r>
      <w:r>
        <w:rPr>
          <w:rFonts w:hint="eastAsia" w:ascii="仿宋_GB2312" w:eastAsia="仿宋_GB2312"/>
          <w:sz w:val="28"/>
          <w:szCs w:val="28"/>
        </w:rPr>
        <w:t>度年初预算</w:t>
      </w:r>
      <w:r>
        <w:rPr>
          <w:rFonts w:ascii="仿宋_GB2312" w:eastAsia="仿宋_GB2312"/>
          <w:sz w:val="28"/>
          <w:szCs w:val="28"/>
        </w:rPr>
        <w:t>10</w:t>
      </w:r>
      <w:r>
        <w:rPr>
          <w:rFonts w:hint="eastAsia" w:ascii="仿宋_GB2312" w:eastAsia="仿宋_GB2312"/>
          <w:sz w:val="28"/>
          <w:szCs w:val="28"/>
          <w:lang w:eastAsia="zh-CN"/>
        </w:rPr>
        <w:t>0,000</w:t>
      </w:r>
      <w:r>
        <w:rPr>
          <w:rFonts w:hint="eastAsia" w:ascii="仿宋_GB2312" w:eastAsia="仿宋_GB2312"/>
          <w:sz w:val="28"/>
          <w:szCs w:val="28"/>
          <w:lang w:val="en-US" w:eastAsia="zh-CN"/>
        </w:rPr>
        <w:t>.00</w:t>
      </w:r>
      <w:r>
        <w:rPr>
          <w:rFonts w:hint="eastAsia" w:ascii="仿宋_GB2312" w:eastAsia="仿宋_GB2312"/>
          <w:sz w:val="28"/>
          <w:szCs w:val="28"/>
        </w:rPr>
        <w:t>元，</w:t>
      </w:r>
      <w:r>
        <w:rPr>
          <w:rFonts w:hint="eastAsia" w:ascii="仿宋_GB2312" w:eastAsia="仿宋_GB2312"/>
          <w:sz w:val="28"/>
          <w:szCs w:val="28"/>
          <w:lang w:eastAsia="zh-CN"/>
        </w:rPr>
        <w:t>2025年</w:t>
      </w:r>
      <w:r>
        <w:rPr>
          <w:rFonts w:hint="eastAsia" w:ascii="仿宋_GB2312" w:eastAsia="仿宋_GB2312"/>
          <w:sz w:val="28"/>
          <w:szCs w:val="28"/>
        </w:rPr>
        <w:t>度决算</w:t>
      </w:r>
      <w:r>
        <w:rPr>
          <w:rFonts w:ascii="仿宋_GB2312" w:eastAsia="仿宋_GB2312"/>
          <w:sz w:val="28"/>
          <w:szCs w:val="28"/>
        </w:rPr>
        <w:t>10</w:t>
      </w:r>
      <w:r>
        <w:rPr>
          <w:rFonts w:hint="eastAsia" w:ascii="仿宋_GB2312" w:eastAsia="仿宋_GB2312"/>
          <w:sz w:val="28"/>
          <w:szCs w:val="28"/>
          <w:lang w:eastAsia="zh-CN"/>
        </w:rPr>
        <w:t>0,000</w:t>
      </w:r>
      <w:r>
        <w:rPr>
          <w:rFonts w:hint="eastAsia" w:ascii="仿宋_GB2312" w:eastAsia="仿宋_GB2312"/>
          <w:sz w:val="28"/>
          <w:szCs w:val="28"/>
          <w:lang w:val="en-US" w:eastAsia="zh-CN"/>
        </w:rPr>
        <w:t>.00</w:t>
      </w:r>
      <w:r>
        <w:rPr>
          <w:rFonts w:hint="eastAsia" w:ascii="仿宋_GB2312" w:eastAsia="仿宋_GB2312"/>
          <w:sz w:val="28"/>
          <w:szCs w:val="28"/>
        </w:rPr>
        <w:t>元，完成年初预算的</w:t>
      </w:r>
      <w:r>
        <w:rPr>
          <w:rFonts w:hint="eastAsia" w:ascii="仿宋_GB2312" w:eastAsia="仿宋_GB2312"/>
          <w:sz w:val="28"/>
          <w:szCs w:val="28"/>
          <w:lang w:val="en-US" w:eastAsia="zh-CN"/>
        </w:rPr>
        <w:t>100.0</w:t>
      </w:r>
      <w:r>
        <w:rPr>
          <w:rFonts w:hint="eastAsia" w:ascii="仿宋_GB2312" w:eastAsia="仿宋_GB2312"/>
          <w:sz w:val="28"/>
          <w:szCs w:val="28"/>
        </w:rPr>
        <w:t>%。其中：</w:t>
      </w:r>
    </w:p>
    <w:p w14:paraId="01934C95">
      <w:pPr>
        <w:spacing w:line="580" w:lineRule="exact"/>
        <w:ind w:firstLine="560" w:firstLineChars="200"/>
        <w:rPr>
          <w:rFonts w:ascii="仿宋_GB2312" w:eastAsia="仿宋_GB2312"/>
          <w:sz w:val="28"/>
          <w:szCs w:val="28"/>
        </w:rPr>
      </w:pPr>
      <w:r>
        <w:rPr>
          <w:rFonts w:hint="eastAsia" w:ascii="仿宋_GB2312" w:eastAsia="仿宋_GB2312"/>
          <w:sz w:val="28"/>
          <w:szCs w:val="28"/>
        </w:rPr>
        <w:t>“彩票公益金安排的支出”（款）2025年度年初预算</w:t>
      </w:r>
      <w:r>
        <w:rPr>
          <w:rFonts w:ascii="仿宋_GB2312" w:eastAsia="仿宋_GB2312"/>
          <w:sz w:val="28"/>
          <w:szCs w:val="28"/>
        </w:rPr>
        <w:t>10</w:t>
      </w:r>
      <w:r>
        <w:rPr>
          <w:rFonts w:hint="eastAsia" w:ascii="仿宋_GB2312" w:eastAsia="仿宋_GB2312"/>
          <w:sz w:val="28"/>
          <w:szCs w:val="28"/>
          <w:lang w:eastAsia="zh-CN"/>
        </w:rPr>
        <w:t>0,000</w:t>
      </w:r>
      <w:r>
        <w:rPr>
          <w:rFonts w:hint="eastAsia" w:ascii="仿宋_GB2312" w:eastAsia="仿宋_GB2312"/>
          <w:sz w:val="28"/>
          <w:szCs w:val="28"/>
          <w:lang w:val="en-US" w:eastAsia="zh-CN"/>
        </w:rPr>
        <w:t>.00</w:t>
      </w:r>
      <w:r>
        <w:rPr>
          <w:rFonts w:hint="eastAsia" w:ascii="仿宋_GB2312" w:eastAsia="仿宋_GB2312"/>
          <w:sz w:val="28"/>
          <w:szCs w:val="28"/>
        </w:rPr>
        <w:t>元，2025年度决算</w:t>
      </w:r>
      <w:r>
        <w:rPr>
          <w:rFonts w:ascii="仿宋_GB2312" w:eastAsia="仿宋_GB2312"/>
          <w:sz w:val="28"/>
          <w:szCs w:val="28"/>
        </w:rPr>
        <w:t>10</w:t>
      </w:r>
      <w:r>
        <w:rPr>
          <w:rFonts w:hint="eastAsia" w:ascii="仿宋_GB2312" w:eastAsia="仿宋_GB2312"/>
          <w:sz w:val="28"/>
          <w:szCs w:val="28"/>
          <w:lang w:eastAsia="zh-CN"/>
        </w:rPr>
        <w:t>0,000</w:t>
      </w:r>
      <w:r>
        <w:rPr>
          <w:rFonts w:hint="eastAsia" w:ascii="仿宋_GB2312" w:eastAsia="仿宋_GB2312"/>
          <w:sz w:val="28"/>
          <w:szCs w:val="28"/>
          <w:lang w:val="en-US" w:eastAsia="zh-CN"/>
        </w:rPr>
        <w:t>.00</w:t>
      </w:r>
      <w:r>
        <w:rPr>
          <w:rFonts w:hint="eastAsia" w:ascii="仿宋_GB2312" w:eastAsia="仿宋_GB2312"/>
          <w:sz w:val="28"/>
          <w:szCs w:val="28"/>
        </w:rPr>
        <w:t>元，完成年初预算的</w:t>
      </w:r>
      <w:r>
        <w:rPr>
          <w:rFonts w:hint="eastAsia" w:ascii="仿宋_GB2312" w:eastAsia="仿宋_GB2312"/>
          <w:sz w:val="28"/>
          <w:szCs w:val="28"/>
          <w:lang w:val="en-US" w:eastAsia="zh-CN"/>
        </w:rPr>
        <w:t>100.0</w:t>
      </w:r>
      <w:r>
        <w:rPr>
          <w:rFonts w:hint="eastAsia" w:ascii="仿宋_GB2312" w:eastAsia="仿宋_GB2312"/>
          <w:sz w:val="28"/>
          <w:szCs w:val="28"/>
        </w:rPr>
        <w:t>%。主要原因：</w:t>
      </w:r>
      <w:r>
        <w:rPr>
          <w:rFonts w:hint="eastAsia" w:ascii="仿宋_GB2312" w:eastAsia="仿宋_GB2312"/>
          <w:sz w:val="28"/>
          <w:szCs w:val="28"/>
          <w:lang w:val="en-US" w:eastAsia="zh-CN"/>
        </w:rPr>
        <w:t>当年预算事项如期完成</w:t>
      </w:r>
      <w:r>
        <w:rPr>
          <w:rFonts w:hint="eastAsia" w:ascii="仿宋_GB2312" w:eastAsia="仿宋_GB2312"/>
          <w:sz w:val="28"/>
          <w:szCs w:val="28"/>
        </w:rPr>
        <w:t>。</w:t>
      </w:r>
    </w:p>
    <w:p w14:paraId="09EFDB92">
      <w:pPr>
        <w:spacing w:line="580" w:lineRule="exact"/>
        <w:ind w:firstLine="560" w:firstLineChars="200"/>
        <w:rPr>
          <w:rFonts w:ascii="黑体" w:eastAsia="黑体"/>
          <w:b/>
          <w:sz w:val="28"/>
          <w:szCs w:val="28"/>
        </w:rPr>
      </w:pPr>
      <w:r>
        <w:rPr>
          <w:rFonts w:hint="eastAsia" w:ascii="黑体" w:eastAsia="黑体"/>
          <w:b/>
          <w:sz w:val="28"/>
          <w:szCs w:val="28"/>
        </w:rPr>
        <w:t>六、国有资本经营预算财</w:t>
      </w:r>
      <w:r>
        <w:rPr>
          <w:rFonts w:ascii="黑体" w:eastAsia="黑体"/>
          <w:b/>
          <w:sz w:val="28"/>
          <w:szCs w:val="28"/>
        </w:rPr>
        <w:t>政拨款</w:t>
      </w:r>
      <w:r>
        <w:rPr>
          <w:rFonts w:hint="eastAsia" w:ascii="黑体" w:eastAsia="黑体"/>
          <w:b/>
          <w:sz w:val="28"/>
          <w:szCs w:val="28"/>
        </w:rPr>
        <w:t>收支情况</w:t>
      </w:r>
    </w:p>
    <w:p w14:paraId="0B39E7BC">
      <w:pPr>
        <w:ind w:firstLine="537" w:firstLineChars="192"/>
        <w:rPr>
          <w:rFonts w:ascii="仿宋_GB2312" w:eastAsia="仿宋_GB2312"/>
          <w:sz w:val="28"/>
          <w:szCs w:val="28"/>
        </w:rPr>
      </w:pPr>
      <w:r>
        <w:rPr>
          <w:rFonts w:hint="eastAsia" w:ascii="仿宋_GB2312" w:eastAsia="仿宋_GB2312"/>
          <w:sz w:val="28"/>
          <w:szCs w:val="28"/>
          <w:lang w:eastAsia="zh-CN"/>
        </w:rPr>
        <w:t>2025年</w:t>
      </w:r>
      <w:r>
        <w:rPr>
          <w:rFonts w:hint="eastAsia" w:ascii="仿宋_GB2312" w:eastAsia="仿宋_GB2312"/>
          <w:sz w:val="28"/>
          <w:szCs w:val="28"/>
        </w:rPr>
        <w:t>度国有资本经营预算财政</w:t>
      </w:r>
      <w:r>
        <w:rPr>
          <w:rFonts w:ascii="仿宋_GB2312" w:eastAsia="仿宋_GB2312"/>
          <w:sz w:val="28"/>
          <w:szCs w:val="28"/>
        </w:rPr>
        <w:t>拨款</w:t>
      </w:r>
      <w:r>
        <w:rPr>
          <w:rFonts w:hint="eastAsia" w:ascii="仿宋_GB2312" w:eastAsia="仿宋_GB2312"/>
          <w:sz w:val="28"/>
          <w:szCs w:val="28"/>
        </w:rPr>
        <w:t>收入总</w:t>
      </w:r>
      <w:r>
        <w:rPr>
          <w:rFonts w:ascii="仿宋_GB2312" w:eastAsia="仿宋_GB2312"/>
          <w:sz w:val="28"/>
          <w:szCs w:val="28"/>
        </w:rPr>
        <w:t>计14</w:t>
      </w:r>
      <w:r>
        <w:rPr>
          <w:rFonts w:hint="eastAsia" w:ascii="仿宋_GB2312" w:eastAsia="仿宋_GB2312"/>
          <w:sz w:val="28"/>
          <w:szCs w:val="28"/>
          <w:lang w:eastAsia="zh-CN"/>
        </w:rPr>
        <w:t>9,310.</w:t>
      </w:r>
      <w:r>
        <w:rPr>
          <w:rFonts w:ascii="仿宋_GB2312" w:eastAsia="仿宋_GB2312"/>
          <w:sz w:val="28"/>
          <w:szCs w:val="28"/>
        </w:rPr>
        <w:t>22</w:t>
      </w:r>
      <w:r>
        <w:rPr>
          <w:rFonts w:hint="eastAsia" w:ascii="仿宋_GB2312" w:eastAsia="仿宋_GB2312"/>
          <w:sz w:val="28"/>
          <w:szCs w:val="28"/>
        </w:rPr>
        <w:t>元，国有资本经营预算财政</w:t>
      </w:r>
      <w:r>
        <w:rPr>
          <w:rFonts w:ascii="仿宋_GB2312" w:eastAsia="仿宋_GB2312"/>
          <w:sz w:val="28"/>
          <w:szCs w:val="28"/>
        </w:rPr>
        <w:t>拨款</w:t>
      </w:r>
      <w:r>
        <w:rPr>
          <w:rFonts w:hint="eastAsia" w:ascii="仿宋_GB2312" w:eastAsia="仿宋_GB2312"/>
          <w:sz w:val="28"/>
          <w:szCs w:val="28"/>
        </w:rPr>
        <w:t>支出总</w:t>
      </w:r>
      <w:r>
        <w:rPr>
          <w:rFonts w:ascii="仿宋_GB2312" w:eastAsia="仿宋_GB2312"/>
          <w:sz w:val="28"/>
          <w:szCs w:val="28"/>
        </w:rPr>
        <w:t>计</w:t>
      </w:r>
      <w:r>
        <w:rPr>
          <w:rFonts w:hint="eastAsia" w:ascii="仿宋_GB2312" w:eastAsia="仿宋_GB2312"/>
          <w:sz w:val="28"/>
          <w:szCs w:val="28"/>
        </w:rPr>
        <w:t>149,310.22元。</w:t>
      </w:r>
    </w:p>
    <w:p w14:paraId="7350E85C">
      <w:pPr>
        <w:spacing w:line="580" w:lineRule="exact"/>
        <w:ind w:firstLine="548" w:firstLineChars="196"/>
        <w:rPr>
          <w:rFonts w:ascii="黑体" w:eastAsia="黑体"/>
          <w:sz w:val="28"/>
          <w:szCs w:val="28"/>
        </w:rPr>
      </w:pPr>
      <w:r>
        <w:rPr>
          <w:rFonts w:hint="eastAsia" w:ascii="黑体" w:eastAsia="黑体"/>
          <w:b/>
          <w:sz w:val="28"/>
          <w:szCs w:val="28"/>
        </w:rPr>
        <w:t>七、财政拨款基本支出决算情况说明</w:t>
      </w:r>
    </w:p>
    <w:p w14:paraId="5141E813">
      <w:pPr>
        <w:tabs>
          <w:tab w:val="center" w:pos="6979"/>
        </w:tabs>
        <w:spacing w:line="580" w:lineRule="exact"/>
        <w:ind w:firstLine="548" w:firstLineChars="196"/>
        <w:rPr>
          <w:rFonts w:ascii="黑体" w:eastAsia="黑体"/>
          <w:b/>
          <w:sz w:val="28"/>
          <w:szCs w:val="28"/>
        </w:rPr>
      </w:pPr>
      <w:r>
        <w:rPr>
          <w:rFonts w:hint="eastAsia" w:ascii="仿宋_GB2312" w:eastAsia="仿宋_GB2312"/>
          <w:sz w:val="28"/>
          <w:szCs w:val="28"/>
          <w:lang w:eastAsia="zh-CN"/>
        </w:rPr>
        <w:t>2025年</w:t>
      </w:r>
      <w:r>
        <w:rPr>
          <w:rFonts w:hint="eastAsia" w:ascii="仿宋_GB2312" w:eastAsia="仿宋_GB2312"/>
          <w:sz w:val="28"/>
          <w:szCs w:val="28"/>
        </w:rPr>
        <w:t>度使用一般公共预算财政拨款安排基本支出</w:t>
      </w:r>
      <w:r>
        <w:rPr>
          <w:rFonts w:ascii="仿宋_GB2312" w:eastAsia="仿宋_GB2312"/>
          <w:sz w:val="28"/>
          <w:szCs w:val="28"/>
        </w:rPr>
        <w:t>1</w:t>
      </w:r>
      <w:r>
        <w:rPr>
          <w:rFonts w:hint="eastAsia" w:ascii="仿宋_GB2312" w:eastAsia="仿宋_GB2312"/>
          <w:sz w:val="28"/>
          <w:szCs w:val="28"/>
          <w:lang w:eastAsia="zh-CN"/>
        </w:rPr>
        <w:t>9,344,708.</w:t>
      </w:r>
      <w:r>
        <w:rPr>
          <w:rFonts w:ascii="仿宋_GB2312" w:eastAsia="仿宋_GB2312"/>
          <w:sz w:val="28"/>
          <w:szCs w:val="28"/>
        </w:rPr>
        <w:t>58</w:t>
      </w:r>
      <w:r>
        <w:rPr>
          <w:rFonts w:hint="eastAsia" w:ascii="仿宋_GB2312" w:eastAsia="仿宋_GB2312"/>
          <w:sz w:val="28"/>
          <w:szCs w:val="28"/>
        </w:rPr>
        <w:t>元，使用政府性基金财政拨款安排基本支出</w:t>
      </w:r>
      <w:r>
        <w:rPr>
          <w:rFonts w:ascii="仿宋_GB2312" w:eastAsia="仿宋_GB2312"/>
          <w:sz w:val="28"/>
          <w:szCs w:val="28"/>
        </w:rPr>
        <w:t>0</w:t>
      </w:r>
      <w:r>
        <w:rPr>
          <w:rFonts w:hint="eastAsia" w:ascii="仿宋_GB2312" w:eastAsia="仿宋_GB2312"/>
          <w:sz w:val="28"/>
          <w:szCs w:val="28"/>
          <w:lang w:val="en-US" w:eastAsia="zh-CN"/>
        </w:rPr>
        <w:t>.00</w:t>
      </w:r>
      <w:r>
        <w:rPr>
          <w:rFonts w:hint="eastAsia" w:ascii="仿宋_GB2312" w:eastAsia="仿宋_GB2312"/>
          <w:sz w:val="28"/>
          <w:szCs w:val="28"/>
        </w:rPr>
        <w:t>元，（1）工资福利支出包括基本工资</w:t>
      </w:r>
      <w:r>
        <w:rPr>
          <w:rFonts w:ascii="仿宋_GB2312" w:eastAsia="仿宋_GB2312"/>
          <w:sz w:val="28"/>
          <w:szCs w:val="28"/>
        </w:rPr>
        <w:t>、津贴补贴、奖金、伙食补助费、绩效工资、</w:t>
      </w:r>
      <w:r>
        <w:rPr>
          <w:rFonts w:hint="eastAsia" w:ascii="仿宋_GB2312" w:eastAsia="仿宋_GB2312"/>
          <w:sz w:val="28"/>
          <w:szCs w:val="28"/>
        </w:rPr>
        <w:t>其他</w:t>
      </w:r>
      <w:r>
        <w:rPr>
          <w:rFonts w:ascii="仿宋_GB2312" w:eastAsia="仿宋_GB2312"/>
          <w:sz w:val="28"/>
          <w:szCs w:val="28"/>
        </w:rPr>
        <w:t>社会保障缴费、其他工资福利</w:t>
      </w:r>
      <w:r>
        <w:rPr>
          <w:rFonts w:hint="eastAsia" w:ascii="仿宋_GB2312" w:eastAsia="仿宋_GB2312"/>
          <w:sz w:val="28"/>
          <w:szCs w:val="28"/>
        </w:rPr>
        <w:t>等</w:t>
      </w:r>
      <w:r>
        <w:rPr>
          <w:rFonts w:ascii="仿宋_GB2312" w:eastAsia="仿宋_GB2312"/>
          <w:sz w:val="28"/>
          <w:szCs w:val="28"/>
        </w:rPr>
        <w:t>支出</w:t>
      </w:r>
      <w:r>
        <w:rPr>
          <w:rFonts w:hint="eastAsia" w:ascii="仿宋_GB2312" w:eastAsia="仿宋_GB2312"/>
          <w:sz w:val="28"/>
          <w:szCs w:val="28"/>
        </w:rPr>
        <w:t>；（2）商品和服务支出包括</w:t>
      </w:r>
      <w:r>
        <w:rPr>
          <w:rFonts w:ascii="仿宋_GB2312" w:eastAsia="仿宋_GB2312"/>
          <w:sz w:val="28"/>
          <w:szCs w:val="28"/>
        </w:rPr>
        <w:t>办公费、印刷费、手续费、水费、电费、邮电费、取暖费、物业管理费、差旅费、因公出国（境）费、维修（护）费、租赁费、会议费、培训费、公务接待费、专用材料费、劳务费、委托业务费、工会经费、福利费、公务用车运行维护费、其他交通费</w:t>
      </w:r>
      <w:r>
        <w:rPr>
          <w:rFonts w:hint="eastAsia" w:ascii="仿宋_GB2312" w:eastAsia="仿宋_GB2312"/>
          <w:sz w:val="28"/>
          <w:szCs w:val="28"/>
        </w:rPr>
        <w:t>用</w:t>
      </w:r>
      <w:r>
        <w:rPr>
          <w:rFonts w:ascii="仿宋_GB2312" w:eastAsia="仿宋_GB2312"/>
          <w:sz w:val="28"/>
          <w:szCs w:val="28"/>
        </w:rPr>
        <w:t>、其他商品和服务</w:t>
      </w:r>
      <w:r>
        <w:rPr>
          <w:rFonts w:hint="eastAsia" w:ascii="仿宋_GB2312" w:eastAsia="仿宋_GB2312"/>
          <w:sz w:val="28"/>
          <w:szCs w:val="28"/>
        </w:rPr>
        <w:t>等</w:t>
      </w:r>
      <w:r>
        <w:rPr>
          <w:rFonts w:ascii="仿宋_GB2312" w:eastAsia="仿宋_GB2312"/>
          <w:sz w:val="28"/>
          <w:szCs w:val="28"/>
        </w:rPr>
        <w:t>支出</w:t>
      </w:r>
      <w:r>
        <w:rPr>
          <w:rFonts w:hint="eastAsia" w:ascii="仿宋_GB2312" w:eastAsia="仿宋_GB2312"/>
          <w:sz w:val="28"/>
          <w:szCs w:val="28"/>
        </w:rPr>
        <w:t>；（3）对个人和家庭补助支出包括</w:t>
      </w:r>
      <w:r>
        <w:rPr>
          <w:rFonts w:ascii="仿宋_GB2312" w:eastAsia="仿宋_GB2312"/>
          <w:sz w:val="28"/>
          <w:szCs w:val="28"/>
        </w:rPr>
        <w:t>离休费、退休费、抚恤金、生活补助、</w:t>
      </w:r>
      <w:r>
        <w:rPr>
          <w:rFonts w:hint="eastAsia" w:ascii="仿宋_GB2312" w:eastAsia="仿宋_GB2312"/>
          <w:sz w:val="28"/>
          <w:szCs w:val="28"/>
        </w:rPr>
        <w:t>救济费</w:t>
      </w:r>
      <w:r>
        <w:rPr>
          <w:rFonts w:ascii="仿宋_GB2312" w:eastAsia="仿宋_GB2312"/>
          <w:sz w:val="28"/>
          <w:szCs w:val="28"/>
        </w:rPr>
        <w:t>、医疗费</w:t>
      </w:r>
      <w:r>
        <w:rPr>
          <w:rFonts w:hint="eastAsia" w:ascii="仿宋_GB2312" w:eastAsia="仿宋_GB2312"/>
          <w:sz w:val="28"/>
          <w:szCs w:val="28"/>
        </w:rPr>
        <w:t>补助</w:t>
      </w:r>
      <w:r>
        <w:rPr>
          <w:rFonts w:ascii="仿宋_GB2312" w:eastAsia="仿宋_GB2312"/>
          <w:sz w:val="28"/>
          <w:szCs w:val="28"/>
        </w:rPr>
        <w:t>、助学金、奖励金</w:t>
      </w:r>
      <w:r>
        <w:rPr>
          <w:rFonts w:hint="eastAsia" w:ascii="仿宋_GB2312" w:eastAsia="仿宋_GB2312"/>
          <w:sz w:val="28"/>
          <w:szCs w:val="28"/>
        </w:rPr>
        <w:t>、</w:t>
      </w:r>
      <w:r>
        <w:rPr>
          <w:rFonts w:ascii="仿宋_GB2312" w:eastAsia="仿宋_GB2312"/>
          <w:sz w:val="28"/>
          <w:szCs w:val="28"/>
        </w:rPr>
        <w:t>其他对个人和家庭的补助</w:t>
      </w:r>
      <w:r>
        <w:rPr>
          <w:rFonts w:hint="eastAsia" w:ascii="仿宋_GB2312" w:eastAsia="仿宋_GB2312"/>
          <w:sz w:val="28"/>
          <w:szCs w:val="28"/>
        </w:rPr>
        <w:t>等</w:t>
      </w:r>
      <w:r>
        <w:rPr>
          <w:rFonts w:ascii="仿宋_GB2312" w:eastAsia="仿宋_GB2312"/>
          <w:sz w:val="28"/>
          <w:szCs w:val="28"/>
        </w:rPr>
        <w:t>支出</w:t>
      </w:r>
      <w:r>
        <w:rPr>
          <w:rFonts w:hint="eastAsia" w:ascii="仿宋_GB2312" w:eastAsia="仿宋_GB2312"/>
          <w:sz w:val="28"/>
          <w:szCs w:val="28"/>
        </w:rPr>
        <w:t>。（4）其他资本性支出包括</w:t>
      </w:r>
      <w:r>
        <w:rPr>
          <w:rFonts w:ascii="仿宋_GB2312" w:eastAsia="仿宋_GB2312"/>
          <w:sz w:val="28"/>
          <w:szCs w:val="28"/>
        </w:rPr>
        <w:t>办公设备购置、专用设备购置</w:t>
      </w:r>
      <w:r>
        <w:rPr>
          <w:rFonts w:hint="eastAsia" w:ascii="仿宋_GB2312" w:eastAsia="仿宋_GB2312"/>
          <w:sz w:val="28"/>
          <w:szCs w:val="28"/>
        </w:rPr>
        <w:t>等</w:t>
      </w:r>
      <w:r>
        <w:rPr>
          <w:rFonts w:ascii="仿宋_GB2312" w:eastAsia="仿宋_GB2312"/>
          <w:sz w:val="28"/>
          <w:szCs w:val="28"/>
        </w:rPr>
        <w:t>。</w:t>
      </w:r>
    </w:p>
    <w:p w14:paraId="53CE9F26">
      <w:pPr>
        <w:autoSpaceDE w:val="0"/>
        <w:autoSpaceDN w:val="0"/>
        <w:adjustRightInd w:val="0"/>
        <w:spacing w:line="580" w:lineRule="exact"/>
        <w:rPr>
          <w:rFonts w:ascii="宋体" w:hAnsi="宋体"/>
          <w:b/>
          <w:spacing w:val="40"/>
          <w:sz w:val="32"/>
          <w:szCs w:val="32"/>
        </w:rPr>
      </w:pPr>
      <w:r>
        <w:rPr>
          <w:rFonts w:ascii="仿宋_GB2312" w:eastAsia="仿宋_GB2312"/>
          <w:b/>
          <w:sz w:val="32"/>
          <w:szCs w:val="32"/>
        </w:rPr>
        <w:tab/>
      </w:r>
    </w:p>
    <w:p w14:paraId="32874089">
      <w:pPr>
        <w:tabs>
          <w:tab w:val="center" w:pos="6979"/>
        </w:tabs>
        <w:jc w:val="center"/>
        <w:rPr>
          <w:rFonts w:ascii="宋体" w:hAnsi="宋体" w:cs="宋体"/>
          <w:b/>
          <w:spacing w:val="40"/>
          <w:kern w:val="0"/>
          <w:sz w:val="32"/>
          <w:szCs w:val="32"/>
        </w:rPr>
      </w:pPr>
      <w:r>
        <w:rPr>
          <w:rFonts w:hint="eastAsia" w:ascii="宋体" w:hAnsi="宋体" w:cs="宋体"/>
          <w:b/>
          <w:bCs/>
          <w:spacing w:val="40"/>
          <w:kern w:val="0"/>
          <w:sz w:val="32"/>
          <w:szCs w:val="32"/>
        </w:rPr>
        <w:t>第三部分</w:t>
      </w:r>
      <w:r>
        <w:rPr>
          <w:rFonts w:hint="eastAsia" w:ascii="宋体" w:hAnsi="宋体"/>
          <w:b/>
          <w:spacing w:val="40"/>
          <w:sz w:val="32"/>
          <w:szCs w:val="32"/>
          <w:lang w:eastAsia="zh-CN"/>
        </w:rPr>
        <w:t>2025年</w:t>
      </w:r>
      <w:r>
        <w:rPr>
          <w:rFonts w:hint="eastAsia" w:ascii="宋体" w:hAnsi="宋体"/>
          <w:b/>
          <w:spacing w:val="40"/>
          <w:sz w:val="32"/>
          <w:szCs w:val="32"/>
        </w:rPr>
        <w:t>度</w:t>
      </w:r>
      <w:r>
        <w:rPr>
          <w:rFonts w:hint="eastAsia" w:ascii="宋体" w:hAnsi="宋体" w:cs="宋体"/>
          <w:b/>
          <w:spacing w:val="40"/>
          <w:kern w:val="0"/>
          <w:sz w:val="32"/>
          <w:szCs w:val="32"/>
        </w:rPr>
        <w:t>其他重要事项的情况说明</w:t>
      </w:r>
    </w:p>
    <w:p w14:paraId="321D0D47">
      <w:pPr>
        <w:spacing w:line="560" w:lineRule="exact"/>
        <w:ind w:firstLine="560" w:firstLineChars="200"/>
        <w:rPr>
          <w:rFonts w:ascii="黑体" w:eastAsia="黑体"/>
          <w:sz w:val="28"/>
          <w:szCs w:val="28"/>
        </w:rPr>
      </w:pPr>
      <w:r>
        <w:rPr>
          <w:rFonts w:hint="eastAsia" w:ascii="黑体" w:eastAsia="黑体"/>
          <w:sz w:val="28"/>
          <w:szCs w:val="28"/>
        </w:rPr>
        <w:t>一、“三公”经费财政拨款决算情况</w:t>
      </w:r>
    </w:p>
    <w:p w14:paraId="04554319">
      <w:pPr>
        <w:spacing w:line="560" w:lineRule="exact"/>
        <w:ind w:firstLine="600"/>
        <w:rPr>
          <w:rFonts w:ascii="仿宋_GB2312" w:eastAsia="仿宋_GB2312"/>
          <w:sz w:val="28"/>
          <w:szCs w:val="28"/>
        </w:rPr>
      </w:pPr>
      <w:r>
        <w:rPr>
          <w:rFonts w:hint="eastAsia" w:ascii="仿宋_GB2312" w:eastAsia="仿宋_GB2312"/>
          <w:sz w:val="28"/>
          <w:szCs w:val="28"/>
          <w:lang w:eastAsia="zh-CN"/>
        </w:rPr>
        <w:t>2025年</w:t>
      </w:r>
      <w:r>
        <w:rPr>
          <w:rFonts w:hint="eastAsia" w:ascii="仿宋_GB2312" w:eastAsia="仿宋_GB2312"/>
          <w:sz w:val="28"/>
          <w:szCs w:val="28"/>
        </w:rPr>
        <w:t>度“三公”经费财政拨款决算数</w:t>
      </w:r>
      <w:r>
        <w:rPr>
          <w:rFonts w:ascii="仿宋_GB2312" w:eastAsia="仿宋_GB2312"/>
          <w:sz w:val="28"/>
          <w:szCs w:val="28"/>
        </w:rPr>
        <w:t>3</w:t>
      </w:r>
      <w:r>
        <w:rPr>
          <w:rFonts w:hint="eastAsia" w:ascii="仿宋_GB2312" w:eastAsia="仿宋_GB2312"/>
          <w:sz w:val="28"/>
          <w:szCs w:val="28"/>
          <w:lang w:eastAsia="zh-CN"/>
        </w:rPr>
        <w:t>8,426.</w:t>
      </w:r>
      <w:r>
        <w:rPr>
          <w:rFonts w:ascii="仿宋_GB2312" w:eastAsia="仿宋_GB2312"/>
          <w:sz w:val="28"/>
          <w:szCs w:val="28"/>
        </w:rPr>
        <w:t>24</w:t>
      </w:r>
      <w:r>
        <w:rPr>
          <w:rFonts w:hint="eastAsia" w:ascii="仿宋_GB2312" w:eastAsia="仿宋_GB2312"/>
          <w:sz w:val="28"/>
          <w:szCs w:val="28"/>
        </w:rPr>
        <w:t>元，比</w:t>
      </w:r>
      <w:r>
        <w:rPr>
          <w:rFonts w:hint="eastAsia" w:ascii="仿宋_GB2312" w:eastAsia="仿宋_GB2312"/>
          <w:sz w:val="28"/>
          <w:szCs w:val="28"/>
          <w:lang w:eastAsia="zh-CN"/>
        </w:rPr>
        <w:t>2025年</w:t>
      </w:r>
      <w:r>
        <w:rPr>
          <w:rFonts w:hint="eastAsia" w:ascii="仿宋_GB2312" w:eastAsia="仿宋_GB2312"/>
          <w:sz w:val="28"/>
          <w:szCs w:val="28"/>
        </w:rPr>
        <w:t>度“三公”经费财政拨款年初预算</w:t>
      </w:r>
      <w:r>
        <w:rPr>
          <w:rFonts w:ascii="仿宋_GB2312" w:eastAsia="仿宋_GB2312"/>
          <w:sz w:val="28"/>
          <w:szCs w:val="28"/>
        </w:rPr>
        <w:t>18</w:t>
      </w:r>
      <w:r>
        <w:rPr>
          <w:rFonts w:hint="eastAsia" w:ascii="仿宋_GB2312" w:eastAsia="仿宋_GB2312"/>
          <w:sz w:val="28"/>
          <w:szCs w:val="28"/>
          <w:lang w:eastAsia="zh-CN"/>
        </w:rPr>
        <w:t>7,575元</w:t>
      </w:r>
      <w:r>
        <w:rPr>
          <w:rFonts w:hint="eastAsia" w:ascii="仿宋_GB2312" w:eastAsia="仿宋_GB2312"/>
          <w:sz w:val="28"/>
          <w:szCs w:val="28"/>
        </w:rPr>
        <w:t>减少</w:t>
      </w:r>
      <w:r>
        <w:rPr>
          <w:rFonts w:ascii="仿宋_GB2312" w:eastAsia="仿宋_GB2312"/>
          <w:sz w:val="28"/>
          <w:szCs w:val="28"/>
        </w:rPr>
        <w:t>14</w:t>
      </w:r>
      <w:r>
        <w:rPr>
          <w:rFonts w:hint="eastAsia" w:ascii="仿宋_GB2312" w:eastAsia="仿宋_GB2312"/>
          <w:sz w:val="28"/>
          <w:szCs w:val="28"/>
          <w:lang w:eastAsia="zh-CN"/>
        </w:rPr>
        <w:t>9,148.</w:t>
      </w:r>
      <w:r>
        <w:rPr>
          <w:rFonts w:ascii="仿宋_GB2312" w:eastAsia="仿宋_GB2312"/>
          <w:sz w:val="28"/>
          <w:szCs w:val="28"/>
        </w:rPr>
        <w:t>76</w:t>
      </w:r>
      <w:r>
        <w:rPr>
          <w:rFonts w:hint="eastAsia" w:ascii="仿宋_GB2312" w:eastAsia="仿宋_GB2312"/>
          <w:sz w:val="28"/>
          <w:szCs w:val="28"/>
        </w:rPr>
        <w:t>元。其中：</w:t>
      </w:r>
    </w:p>
    <w:p w14:paraId="0EA26522">
      <w:pPr>
        <w:spacing w:line="560" w:lineRule="exact"/>
        <w:ind w:firstLine="600"/>
        <w:rPr>
          <w:rFonts w:hint="eastAsia" w:ascii="仿宋_GB2312" w:eastAsia="仿宋_GB2312"/>
          <w:sz w:val="28"/>
          <w:szCs w:val="28"/>
        </w:rPr>
      </w:pPr>
      <w:r>
        <w:rPr>
          <w:rFonts w:hint="eastAsia" w:ascii="仿宋_GB2312" w:eastAsia="仿宋_GB2312"/>
          <w:sz w:val="28"/>
          <w:szCs w:val="28"/>
        </w:rPr>
        <w:t>1.因公出国（境）费用。</w:t>
      </w:r>
    </w:p>
    <w:p w14:paraId="7BB7AEB2">
      <w:pPr>
        <w:spacing w:line="560" w:lineRule="exact"/>
        <w:ind w:firstLine="600"/>
        <w:rPr>
          <w:rFonts w:ascii="仿宋_GB2312" w:eastAsia="仿宋_GB2312"/>
          <w:sz w:val="28"/>
          <w:szCs w:val="28"/>
        </w:rPr>
      </w:pPr>
      <w:r>
        <w:rPr>
          <w:rFonts w:hint="eastAsia" w:ascii="仿宋_GB2312" w:eastAsia="仿宋_GB2312"/>
          <w:sz w:val="28"/>
          <w:szCs w:val="28"/>
          <w:lang w:eastAsia="zh-CN"/>
        </w:rPr>
        <w:t>本单位无此项经费。</w:t>
      </w:r>
    </w:p>
    <w:p w14:paraId="3249B943">
      <w:pPr>
        <w:spacing w:line="560" w:lineRule="exact"/>
        <w:ind w:firstLine="600"/>
        <w:rPr>
          <w:rFonts w:ascii="仿宋_GB2312" w:eastAsia="仿宋_GB2312"/>
          <w:sz w:val="28"/>
          <w:szCs w:val="28"/>
        </w:rPr>
      </w:pPr>
      <w:r>
        <w:rPr>
          <w:rFonts w:hint="eastAsia" w:ascii="仿宋_GB2312" w:eastAsia="仿宋_GB2312"/>
          <w:sz w:val="28"/>
          <w:szCs w:val="28"/>
        </w:rPr>
        <w:t>2.公务接待费。</w:t>
      </w:r>
      <w:r>
        <w:rPr>
          <w:rFonts w:hint="eastAsia" w:ascii="仿宋_GB2312" w:eastAsia="仿宋_GB2312"/>
          <w:sz w:val="28"/>
          <w:szCs w:val="28"/>
          <w:lang w:eastAsia="zh-CN"/>
        </w:rPr>
        <w:t>2025年</w:t>
      </w:r>
      <w:r>
        <w:rPr>
          <w:rFonts w:hint="eastAsia" w:ascii="仿宋_GB2312" w:eastAsia="仿宋_GB2312"/>
          <w:sz w:val="28"/>
          <w:szCs w:val="28"/>
        </w:rPr>
        <w:t>度决算数</w:t>
      </w:r>
      <w:r>
        <w:rPr>
          <w:rFonts w:ascii="仿宋_GB2312" w:eastAsia="仿宋_GB2312"/>
          <w:sz w:val="28"/>
          <w:szCs w:val="28"/>
        </w:rPr>
        <w:t>0</w:t>
      </w:r>
      <w:r>
        <w:rPr>
          <w:rFonts w:hint="eastAsia" w:ascii="仿宋_GB2312" w:eastAsia="仿宋_GB2312"/>
          <w:sz w:val="28"/>
          <w:szCs w:val="28"/>
          <w:lang w:val="en-US" w:eastAsia="zh-CN"/>
        </w:rPr>
        <w:t>.00</w:t>
      </w:r>
      <w:r>
        <w:rPr>
          <w:rFonts w:hint="eastAsia" w:ascii="仿宋_GB2312" w:eastAsia="仿宋_GB2312"/>
          <w:sz w:val="28"/>
          <w:szCs w:val="28"/>
        </w:rPr>
        <w:t>元，比</w:t>
      </w:r>
      <w:r>
        <w:rPr>
          <w:rFonts w:hint="eastAsia" w:ascii="仿宋_GB2312" w:eastAsia="仿宋_GB2312"/>
          <w:sz w:val="28"/>
          <w:szCs w:val="28"/>
          <w:lang w:eastAsia="zh-CN"/>
        </w:rPr>
        <w:t>2025年</w:t>
      </w:r>
      <w:r>
        <w:rPr>
          <w:rFonts w:hint="eastAsia" w:ascii="仿宋_GB2312" w:eastAsia="仿宋_GB2312"/>
          <w:sz w:val="28"/>
          <w:szCs w:val="28"/>
        </w:rPr>
        <w:t>度年初预算数</w:t>
      </w:r>
      <w:r>
        <w:rPr>
          <w:rFonts w:ascii="仿宋_GB2312" w:eastAsia="仿宋_GB2312"/>
          <w:sz w:val="28"/>
          <w:szCs w:val="28"/>
        </w:rPr>
        <w:t>1</w:t>
      </w:r>
      <w:r>
        <w:rPr>
          <w:rFonts w:hint="eastAsia" w:ascii="仿宋_GB2312" w:eastAsia="仿宋_GB2312"/>
          <w:sz w:val="28"/>
          <w:szCs w:val="28"/>
          <w:lang w:eastAsia="zh-CN"/>
        </w:rPr>
        <w:t>1,575</w:t>
      </w:r>
      <w:r>
        <w:rPr>
          <w:rFonts w:hint="eastAsia" w:ascii="仿宋_GB2312" w:eastAsia="仿宋_GB2312"/>
          <w:sz w:val="28"/>
          <w:szCs w:val="28"/>
          <w:lang w:val="en-US" w:eastAsia="zh-CN"/>
        </w:rPr>
        <w:t>.00</w:t>
      </w:r>
      <w:r>
        <w:rPr>
          <w:rFonts w:hint="eastAsia" w:ascii="仿宋_GB2312" w:eastAsia="仿宋_GB2312"/>
          <w:sz w:val="28"/>
          <w:szCs w:val="28"/>
          <w:lang w:eastAsia="zh-CN"/>
        </w:rPr>
        <w:t>元</w:t>
      </w:r>
      <w:r>
        <w:rPr>
          <w:rFonts w:hint="eastAsia" w:ascii="仿宋_GB2312" w:eastAsia="仿宋_GB2312"/>
          <w:sz w:val="28"/>
          <w:szCs w:val="28"/>
        </w:rPr>
        <w:t>减少</w:t>
      </w:r>
      <w:r>
        <w:rPr>
          <w:rFonts w:ascii="仿宋_GB2312" w:eastAsia="仿宋_GB2312"/>
          <w:sz w:val="28"/>
          <w:szCs w:val="28"/>
        </w:rPr>
        <w:t>1</w:t>
      </w:r>
      <w:r>
        <w:rPr>
          <w:rFonts w:hint="eastAsia" w:ascii="仿宋_GB2312" w:eastAsia="仿宋_GB2312"/>
          <w:sz w:val="28"/>
          <w:szCs w:val="28"/>
          <w:lang w:eastAsia="zh-CN"/>
        </w:rPr>
        <w:t>1,575</w:t>
      </w:r>
      <w:r>
        <w:rPr>
          <w:rFonts w:hint="eastAsia" w:ascii="仿宋_GB2312" w:eastAsia="仿宋_GB2312"/>
          <w:sz w:val="28"/>
          <w:szCs w:val="28"/>
          <w:lang w:val="en-US" w:eastAsia="zh-CN"/>
        </w:rPr>
        <w:t>.00</w:t>
      </w:r>
      <w:r>
        <w:rPr>
          <w:rFonts w:hint="eastAsia" w:ascii="仿宋_GB2312" w:eastAsia="仿宋_GB2312"/>
          <w:sz w:val="28"/>
          <w:szCs w:val="28"/>
          <w:lang w:eastAsia="zh-CN"/>
        </w:rPr>
        <w:t>元</w:t>
      </w:r>
      <w:r>
        <w:rPr>
          <w:rFonts w:hint="eastAsia" w:ascii="仿宋_GB2312" w:eastAsia="仿宋_GB2312"/>
          <w:sz w:val="28"/>
          <w:szCs w:val="28"/>
        </w:rPr>
        <w:t>。主要原因：</w:t>
      </w:r>
      <w:r>
        <w:rPr>
          <w:rFonts w:hint="eastAsia" w:ascii="仿宋_GB2312" w:eastAsia="仿宋_GB2312"/>
          <w:sz w:val="28"/>
          <w:szCs w:val="28"/>
          <w:lang w:val="en-US" w:eastAsia="zh-CN"/>
        </w:rPr>
        <w:t>无此项支出</w:t>
      </w:r>
      <w:r>
        <w:rPr>
          <w:rFonts w:hint="eastAsia" w:ascii="仿宋_GB2312" w:eastAsia="仿宋_GB2312"/>
          <w:sz w:val="28"/>
          <w:szCs w:val="28"/>
        </w:rPr>
        <w:t>。</w:t>
      </w:r>
    </w:p>
    <w:p w14:paraId="1AB3B2AC">
      <w:pPr>
        <w:spacing w:line="560" w:lineRule="exact"/>
        <w:ind w:firstLine="560" w:firstLineChars="200"/>
        <w:rPr>
          <w:rFonts w:ascii="仿宋_GB2312" w:eastAsia="仿宋_GB2312"/>
          <w:sz w:val="28"/>
          <w:szCs w:val="28"/>
        </w:rPr>
      </w:pPr>
      <w:r>
        <w:rPr>
          <w:rFonts w:hint="eastAsia" w:ascii="仿宋_GB2312" w:eastAsia="仿宋_GB2312"/>
          <w:sz w:val="28"/>
          <w:szCs w:val="28"/>
        </w:rPr>
        <w:t>3.公务用车购置及运行维护费。</w:t>
      </w:r>
      <w:r>
        <w:rPr>
          <w:rFonts w:hint="eastAsia" w:ascii="仿宋_GB2312" w:eastAsia="仿宋_GB2312"/>
          <w:sz w:val="28"/>
          <w:szCs w:val="28"/>
          <w:lang w:eastAsia="zh-CN"/>
        </w:rPr>
        <w:t>2025年</w:t>
      </w:r>
      <w:r>
        <w:rPr>
          <w:rFonts w:hint="eastAsia" w:ascii="仿宋_GB2312" w:eastAsia="仿宋_GB2312"/>
          <w:sz w:val="28"/>
          <w:szCs w:val="28"/>
        </w:rPr>
        <w:t>度决算数</w:t>
      </w:r>
      <w:r>
        <w:rPr>
          <w:rFonts w:ascii="仿宋_GB2312" w:eastAsia="仿宋_GB2312"/>
          <w:sz w:val="28"/>
          <w:szCs w:val="28"/>
        </w:rPr>
        <w:t>3</w:t>
      </w:r>
      <w:r>
        <w:rPr>
          <w:rFonts w:hint="eastAsia" w:ascii="仿宋_GB2312" w:eastAsia="仿宋_GB2312"/>
          <w:sz w:val="28"/>
          <w:szCs w:val="28"/>
          <w:lang w:eastAsia="zh-CN"/>
        </w:rPr>
        <w:t>8,426.</w:t>
      </w:r>
      <w:r>
        <w:rPr>
          <w:rFonts w:ascii="仿宋_GB2312" w:eastAsia="仿宋_GB2312"/>
          <w:sz w:val="28"/>
          <w:szCs w:val="28"/>
        </w:rPr>
        <w:t>24</w:t>
      </w:r>
      <w:r>
        <w:rPr>
          <w:rFonts w:hint="eastAsia" w:ascii="仿宋_GB2312" w:eastAsia="仿宋_GB2312"/>
          <w:sz w:val="28"/>
          <w:szCs w:val="28"/>
        </w:rPr>
        <w:t>元，比</w:t>
      </w:r>
      <w:r>
        <w:rPr>
          <w:rFonts w:hint="eastAsia" w:ascii="仿宋_GB2312" w:eastAsia="仿宋_GB2312"/>
          <w:sz w:val="28"/>
          <w:szCs w:val="28"/>
          <w:lang w:eastAsia="zh-CN"/>
        </w:rPr>
        <w:t>2025年</w:t>
      </w:r>
      <w:r>
        <w:rPr>
          <w:rFonts w:hint="eastAsia" w:ascii="仿宋_GB2312" w:eastAsia="仿宋_GB2312"/>
          <w:sz w:val="28"/>
          <w:szCs w:val="28"/>
        </w:rPr>
        <w:t>度年初预算数</w:t>
      </w:r>
      <w:r>
        <w:rPr>
          <w:rFonts w:ascii="仿宋_GB2312" w:eastAsia="仿宋_GB2312"/>
          <w:sz w:val="28"/>
          <w:szCs w:val="28"/>
        </w:rPr>
        <w:t>17</w:t>
      </w:r>
      <w:r>
        <w:rPr>
          <w:rFonts w:hint="eastAsia" w:ascii="仿宋_GB2312" w:eastAsia="仿宋_GB2312"/>
          <w:sz w:val="28"/>
          <w:szCs w:val="28"/>
          <w:lang w:eastAsia="zh-CN"/>
        </w:rPr>
        <w:t>6,000元</w:t>
      </w:r>
      <w:r>
        <w:rPr>
          <w:rFonts w:hint="eastAsia" w:ascii="仿宋_GB2312" w:eastAsia="仿宋_GB2312"/>
          <w:sz w:val="28"/>
          <w:szCs w:val="28"/>
        </w:rPr>
        <w:t>减少</w:t>
      </w:r>
      <w:r>
        <w:rPr>
          <w:rFonts w:ascii="仿宋_GB2312" w:eastAsia="仿宋_GB2312"/>
          <w:sz w:val="28"/>
          <w:szCs w:val="28"/>
        </w:rPr>
        <w:t>13</w:t>
      </w:r>
      <w:r>
        <w:rPr>
          <w:rFonts w:hint="eastAsia" w:ascii="仿宋_GB2312" w:eastAsia="仿宋_GB2312"/>
          <w:sz w:val="28"/>
          <w:szCs w:val="28"/>
          <w:lang w:eastAsia="zh-CN"/>
        </w:rPr>
        <w:t>7,573.</w:t>
      </w:r>
      <w:r>
        <w:rPr>
          <w:rFonts w:ascii="仿宋_GB2312" w:eastAsia="仿宋_GB2312"/>
          <w:sz w:val="28"/>
          <w:szCs w:val="28"/>
        </w:rPr>
        <w:t>76</w:t>
      </w:r>
      <w:r>
        <w:rPr>
          <w:rFonts w:hint="eastAsia" w:ascii="仿宋_GB2312" w:eastAsia="仿宋_GB2312"/>
          <w:sz w:val="28"/>
          <w:szCs w:val="28"/>
        </w:rPr>
        <w:t>元。其中，公务用车购置费</w:t>
      </w:r>
      <w:r>
        <w:rPr>
          <w:rFonts w:hint="eastAsia" w:ascii="仿宋_GB2312" w:eastAsia="仿宋_GB2312"/>
          <w:sz w:val="28"/>
          <w:szCs w:val="28"/>
          <w:lang w:eastAsia="zh-CN"/>
        </w:rPr>
        <w:t>2025年</w:t>
      </w:r>
      <w:r>
        <w:rPr>
          <w:rFonts w:hint="eastAsia" w:ascii="仿宋_GB2312" w:eastAsia="仿宋_GB2312"/>
          <w:sz w:val="28"/>
          <w:szCs w:val="28"/>
        </w:rPr>
        <w:t>度决算数0</w:t>
      </w:r>
      <w:r>
        <w:rPr>
          <w:rFonts w:hint="eastAsia" w:ascii="仿宋_GB2312" w:eastAsia="仿宋_GB2312"/>
          <w:sz w:val="28"/>
          <w:szCs w:val="28"/>
          <w:lang w:val="en-US" w:eastAsia="zh-CN"/>
        </w:rPr>
        <w:t>.00</w:t>
      </w:r>
      <w:r>
        <w:rPr>
          <w:rFonts w:hint="eastAsia" w:ascii="仿宋_GB2312" w:eastAsia="仿宋_GB2312"/>
          <w:sz w:val="28"/>
          <w:szCs w:val="28"/>
        </w:rPr>
        <w:t>元，主要原因：</w:t>
      </w:r>
      <w:r>
        <w:rPr>
          <w:rFonts w:hint="eastAsia" w:ascii="仿宋_GB2312" w:eastAsia="仿宋_GB2312"/>
          <w:sz w:val="28"/>
          <w:szCs w:val="28"/>
          <w:lang w:val="en-US" w:eastAsia="zh-CN"/>
        </w:rPr>
        <w:t>无此项支出</w:t>
      </w:r>
      <w:r>
        <w:rPr>
          <w:rFonts w:hint="eastAsia" w:ascii="仿宋_GB2312" w:eastAsia="仿宋_GB2312"/>
          <w:sz w:val="28"/>
          <w:szCs w:val="28"/>
        </w:rPr>
        <w:t>，</w:t>
      </w:r>
      <w:r>
        <w:rPr>
          <w:rFonts w:hint="eastAsia" w:ascii="仿宋_GB2312" w:eastAsia="仿宋_GB2312"/>
          <w:sz w:val="28"/>
          <w:szCs w:val="28"/>
          <w:lang w:eastAsia="zh-CN"/>
        </w:rPr>
        <w:t>2025年</w:t>
      </w:r>
      <w:r>
        <w:rPr>
          <w:rFonts w:hint="eastAsia" w:ascii="仿宋_GB2312" w:eastAsia="仿宋_GB2312"/>
          <w:sz w:val="28"/>
          <w:szCs w:val="28"/>
        </w:rPr>
        <w:t>度购置（更新）0辆。公务用车运行维护费</w:t>
      </w:r>
      <w:r>
        <w:rPr>
          <w:rFonts w:hint="eastAsia" w:ascii="仿宋_GB2312" w:eastAsia="仿宋_GB2312"/>
          <w:sz w:val="28"/>
          <w:szCs w:val="28"/>
          <w:lang w:eastAsia="zh-CN"/>
        </w:rPr>
        <w:t>2025年</w:t>
      </w:r>
      <w:r>
        <w:rPr>
          <w:rFonts w:hint="eastAsia" w:ascii="仿宋_GB2312" w:eastAsia="仿宋_GB2312"/>
          <w:sz w:val="28"/>
          <w:szCs w:val="28"/>
        </w:rPr>
        <w:t>度决算数3</w:t>
      </w:r>
      <w:r>
        <w:rPr>
          <w:rFonts w:hint="eastAsia" w:ascii="仿宋_GB2312" w:eastAsia="仿宋_GB2312"/>
          <w:sz w:val="28"/>
          <w:szCs w:val="28"/>
          <w:lang w:eastAsia="zh-CN"/>
        </w:rPr>
        <w:t>8,426.</w:t>
      </w:r>
      <w:r>
        <w:rPr>
          <w:rFonts w:hint="eastAsia" w:ascii="仿宋_GB2312" w:eastAsia="仿宋_GB2312"/>
          <w:sz w:val="28"/>
          <w:szCs w:val="28"/>
        </w:rPr>
        <w:t>24元，主要原因：公务用车</w:t>
      </w:r>
      <w:r>
        <w:rPr>
          <w:rFonts w:hint="eastAsia" w:ascii="仿宋_GB2312" w:eastAsia="仿宋_GB2312"/>
          <w:sz w:val="28"/>
          <w:szCs w:val="28"/>
          <w:lang w:val="en-US" w:eastAsia="zh-CN"/>
        </w:rPr>
        <w:t>较新</w:t>
      </w:r>
      <w:r>
        <w:rPr>
          <w:rFonts w:hint="eastAsia" w:ascii="仿宋_GB2312" w:eastAsia="仿宋_GB2312"/>
          <w:sz w:val="28"/>
          <w:szCs w:val="28"/>
        </w:rPr>
        <w:t>，运行维护成本低。</w:t>
      </w:r>
      <w:r>
        <w:rPr>
          <w:rFonts w:hint="eastAsia" w:ascii="仿宋_GB2312" w:eastAsia="仿宋_GB2312"/>
          <w:sz w:val="28"/>
          <w:szCs w:val="28"/>
          <w:lang w:eastAsia="zh-CN"/>
        </w:rPr>
        <w:t>2025年</w:t>
      </w:r>
      <w:r>
        <w:rPr>
          <w:rFonts w:hint="eastAsia" w:ascii="仿宋_GB2312" w:eastAsia="仿宋_GB2312"/>
          <w:sz w:val="28"/>
          <w:szCs w:val="28"/>
        </w:rPr>
        <w:t>度公务用车保有量</w:t>
      </w:r>
      <w:r>
        <w:rPr>
          <w:rFonts w:ascii="仿宋_GB2312" w:eastAsia="仿宋_GB2312"/>
          <w:sz w:val="28"/>
          <w:szCs w:val="28"/>
        </w:rPr>
        <w:t>8</w:t>
      </w:r>
      <w:r>
        <w:rPr>
          <w:rFonts w:hint="eastAsia" w:ascii="仿宋_GB2312" w:eastAsia="仿宋_GB2312"/>
          <w:sz w:val="28"/>
          <w:szCs w:val="28"/>
        </w:rPr>
        <w:t>辆。</w:t>
      </w:r>
    </w:p>
    <w:p w14:paraId="5DB335EC">
      <w:pPr>
        <w:tabs>
          <w:tab w:val="center" w:pos="6979"/>
        </w:tabs>
        <w:ind w:firstLine="554" w:firstLineChars="198"/>
        <w:rPr>
          <w:rFonts w:ascii="黑体" w:eastAsia="黑体"/>
          <w:sz w:val="28"/>
          <w:szCs w:val="28"/>
        </w:rPr>
      </w:pPr>
      <w:r>
        <w:rPr>
          <w:rFonts w:hint="eastAsia" w:ascii="黑体" w:eastAsia="黑体"/>
          <w:sz w:val="28"/>
          <w:szCs w:val="28"/>
        </w:rPr>
        <w:t>二、机关运行经费支出情况</w:t>
      </w:r>
    </w:p>
    <w:p w14:paraId="69F7549C">
      <w:pPr>
        <w:ind w:firstLine="537" w:firstLineChars="192"/>
        <w:rPr>
          <w:rFonts w:ascii="仿宋_GB2312" w:eastAsia="仿宋_GB2312"/>
          <w:sz w:val="28"/>
          <w:szCs w:val="28"/>
        </w:rPr>
      </w:pPr>
      <w:r>
        <w:rPr>
          <w:rFonts w:hint="eastAsia" w:ascii="仿宋_GB2312" w:eastAsia="仿宋_GB2312"/>
          <w:sz w:val="28"/>
          <w:szCs w:val="28"/>
          <w:lang w:eastAsia="zh-CN"/>
        </w:rPr>
        <w:t>2025年</w:t>
      </w:r>
      <w:r>
        <w:rPr>
          <w:rFonts w:hint="eastAsia" w:ascii="仿宋_GB2312" w:eastAsia="仿宋_GB2312"/>
          <w:sz w:val="28"/>
          <w:szCs w:val="28"/>
        </w:rPr>
        <w:t>度机关运行经费支出合计</w:t>
      </w:r>
      <w:r>
        <w:rPr>
          <w:rFonts w:hint="eastAsia" w:ascii="仿宋_GB2312" w:eastAsia="仿宋_GB2312"/>
          <w:sz w:val="28"/>
          <w:szCs w:val="28"/>
          <w:lang w:eastAsia="zh-CN"/>
        </w:rPr>
        <w:t>1,473,334.</w:t>
      </w:r>
      <w:r>
        <w:rPr>
          <w:rFonts w:hint="eastAsia" w:ascii="仿宋_GB2312" w:eastAsia="仿宋_GB2312"/>
          <w:sz w:val="28"/>
          <w:szCs w:val="28"/>
        </w:rPr>
        <w:t>91元，比上年增加45,438.84元，增加原因：</w:t>
      </w:r>
      <w:r>
        <w:rPr>
          <w:rFonts w:hint="eastAsia" w:ascii="仿宋_GB2312" w:eastAsia="仿宋_GB2312"/>
          <w:sz w:val="28"/>
          <w:szCs w:val="28"/>
          <w:lang w:val="en-US" w:eastAsia="zh-CN"/>
        </w:rPr>
        <w:t>人员变动导致相关支出增加</w:t>
      </w:r>
      <w:r>
        <w:rPr>
          <w:rFonts w:hint="eastAsia" w:ascii="仿宋_GB2312" w:eastAsia="仿宋_GB2312"/>
          <w:sz w:val="28"/>
          <w:szCs w:val="28"/>
        </w:rPr>
        <w:t>。</w:t>
      </w:r>
    </w:p>
    <w:p w14:paraId="65DE99C4">
      <w:pPr>
        <w:ind w:left="540"/>
        <w:rPr>
          <w:rFonts w:ascii="黑体" w:eastAsia="黑体"/>
          <w:sz w:val="28"/>
          <w:szCs w:val="28"/>
        </w:rPr>
      </w:pPr>
      <w:r>
        <w:rPr>
          <w:rFonts w:hint="eastAsia" w:ascii="黑体" w:eastAsia="黑体"/>
          <w:sz w:val="28"/>
          <w:szCs w:val="28"/>
        </w:rPr>
        <w:t>三、政府采购支出情况</w:t>
      </w:r>
    </w:p>
    <w:p w14:paraId="32410A96">
      <w:pPr>
        <w:ind w:firstLine="537" w:firstLineChars="192"/>
        <w:rPr>
          <w:rFonts w:ascii="仿宋_GB2312" w:eastAsia="仿宋_GB2312"/>
          <w:sz w:val="28"/>
          <w:szCs w:val="28"/>
        </w:rPr>
      </w:pPr>
      <w:r>
        <w:rPr>
          <w:rFonts w:hint="eastAsia" w:ascii="仿宋_GB2312" w:eastAsia="仿宋_GB2312"/>
          <w:sz w:val="28"/>
          <w:szCs w:val="28"/>
          <w:lang w:eastAsia="zh-CN"/>
        </w:rPr>
        <w:t>2025年</w:t>
      </w:r>
      <w:r>
        <w:rPr>
          <w:rFonts w:hint="eastAsia" w:ascii="仿宋_GB2312" w:eastAsia="仿宋_GB2312"/>
          <w:sz w:val="28"/>
          <w:szCs w:val="28"/>
        </w:rPr>
        <w:t>度政府采购支出总额</w:t>
      </w:r>
      <w:r>
        <w:rPr>
          <w:rFonts w:ascii="仿宋_GB2312" w:eastAsia="仿宋_GB2312"/>
          <w:sz w:val="28"/>
          <w:szCs w:val="28"/>
        </w:rPr>
        <w:t>2</w:t>
      </w:r>
      <w:r>
        <w:rPr>
          <w:rFonts w:hint="eastAsia" w:ascii="仿宋_GB2312" w:eastAsia="仿宋_GB2312"/>
          <w:sz w:val="28"/>
          <w:szCs w:val="28"/>
          <w:lang w:eastAsia="zh-CN"/>
        </w:rPr>
        <w:t>3,510,490.</w:t>
      </w:r>
      <w:r>
        <w:rPr>
          <w:rFonts w:ascii="仿宋_GB2312" w:eastAsia="仿宋_GB2312"/>
          <w:sz w:val="28"/>
          <w:szCs w:val="28"/>
        </w:rPr>
        <w:t>37</w:t>
      </w:r>
      <w:r>
        <w:rPr>
          <w:rFonts w:hint="eastAsia" w:ascii="仿宋_GB2312" w:eastAsia="仿宋_GB2312"/>
          <w:sz w:val="28"/>
          <w:szCs w:val="28"/>
        </w:rPr>
        <w:t>元，其中：政府采购货物支出</w:t>
      </w:r>
      <w:r>
        <w:rPr>
          <w:rFonts w:ascii="仿宋_GB2312" w:eastAsia="仿宋_GB2312"/>
          <w:sz w:val="28"/>
          <w:szCs w:val="28"/>
        </w:rPr>
        <w:t>31</w:t>
      </w:r>
      <w:r>
        <w:rPr>
          <w:rFonts w:hint="eastAsia" w:ascii="仿宋_GB2312" w:eastAsia="仿宋_GB2312"/>
          <w:sz w:val="28"/>
          <w:szCs w:val="28"/>
          <w:lang w:eastAsia="zh-CN"/>
        </w:rPr>
        <w:t>7,922</w:t>
      </w:r>
      <w:r>
        <w:rPr>
          <w:rFonts w:hint="eastAsia" w:ascii="仿宋_GB2312" w:eastAsia="仿宋_GB2312"/>
          <w:sz w:val="28"/>
          <w:szCs w:val="28"/>
          <w:lang w:val="en-US" w:eastAsia="zh-CN"/>
        </w:rPr>
        <w:t>.00</w:t>
      </w:r>
      <w:r>
        <w:rPr>
          <w:rFonts w:hint="eastAsia" w:ascii="仿宋_GB2312" w:eastAsia="仿宋_GB2312"/>
          <w:sz w:val="28"/>
          <w:szCs w:val="28"/>
          <w:lang w:eastAsia="zh-CN"/>
        </w:rPr>
        <w:t>元</w:t>
      </w:r>
      <w:r>
        <w:rPr>
          <w:rFonts w:hint="eastAsia" w:ascii="仿宋_GB2312" w:eastAsia="仿宋_GB2312"/>
          <w:sz w:val="28"/>
          <w:szCs w:val="28"/>
        </w:rPr>
        <w:t>，政府采购工程支出</w:t>
      </w:r>
      <w:r>
        <w:rPr>
          <w:rFonts w:ascii="仿宋_GB2312" w:eastAsia="仿宋_GB2312"/>
          <w:sz w:val="28"/>
          <w:szCs w:val="28"/>
        </w:rPr>
        <w:t>1</w:t>
      </w:r>
      <w:r>
        <w:rPr>
          <w:rFonts w:hint="eastAsia" w:ascii="仿宋_GB2312" w:eastAsia="仿宋_GB2312"/>
          <w:sz w:val="28"/>
          <w:szCs w:val="28"/>
          <w:lang w:eastAsia="zh-CN"/>
        </w:rPr>
        <w:t>9,234,501.</w:t>
      </w:r>
      <w:r>
        <w:rPr>
          <w:rFonts w:ascii="仿宋_GB2312" w:eastAsia="仿宋_GB2312"/>
          <w:sz w:val="28"/>
          <w:szCs w:val="28"/>
        </w:rPr>
        <w:t>82</w:t>
      </w:r>
      <w:r>
        <w:rPr>
          <w:rFonts w:hint="eastAsia" w:ascii="仿宋_GB2312" w:eastAsia="仿宋_GB2312"/>
          <w:sz w:val="28"/>
          <w:szCs w:val="28"/>
        </w:rPr>
        <w:t>元，政府采购服务支出</w:t>
      </w:r>
      <w:r>
        <w:rPr>
          <w:rFonts w:hint="eastAsia" w:ascii="仿宋_GB2312" w:eastAsia="仿宋_GB2312"/>
          <w:sz w:val="28"/>
          <w:szCs w:val="28"/>
          <w:lang w:eastAsia="zh-CN"/>
        </w:rPr>
        <w:t>3,958,066.</w:t>
      </w:r>
      <w:r>
        <w:rPr>
          <w:rFonts w:ascii="仿宋_GB2312" w:eastAsia="仿宋_GB2312"/>
          <w:sz w:val="28"/>
          <w:szCs w:val="28"/>
        </w:rPr>
        <w:t>55</w:t>
      </w:r>
      <w:r>
        <w:rPr>
          <w:rFonts w:hint="eastAsia" w:ascii="仿宋_GB2312" w:eastAsia="仿宋_GB2312"/>
          <w:sz w:val="28"/>
          <w:szCs w:val="28"/>
        </w:rPr>
        <w:t>元。授予中小企业合同金额</w:t>
      </w:r>
      <w:r>
        <w:rPr>
          <w:rFonts w:ascii="仿宋_GB2312" w:eastAsia="仿宋_GB2312"/>
          <w:sz w:val="28"/>
          <w:szCs w:val="28"/>
        </w:rPr>
        <w:t>1</w:t>
      </w:r>
      <w:r>
        <w:rPr>
          <w:rFonts w:hint="eastAsia" w:ascii="仿宋_GB2312" w:eastAsia="仿宋_GB2312"/>
          <w:sz w:val="28"/>
          <w:szCs w:val="28"/>
          <w:lang w:eastAsia="zh-CN"/>
        </w:rPr>
        <w:t>6,214,009.</w:t>
      </w:r>
      <w:r>
        <w:rPr>
          <w:rFonts w:ascii="仿宋_GB2312" w:eastAsia="仿宋_GB2312"/>
          <w:sz w:val="28"/>
          <w:szCs w:val="28"/>
        </w:rPr>
        <w:t>56</w:t>
      </w:r>
      <w:r>
        <w:rPr>
          <w:rFonts w:hint="eastAsia" w:ascii="仿宋_GB2312" w:eastAsia="仿宋_GB2312"/>
          <w:sz w:val="28"/>
          <w:szCs w:val="28"/>
        </w:rPr>
        <w:t>元，占政府采购支出总额的6</w:t>
      </w:r>
      <w:r>
        <w:rPr>
          <w:rFonts w:hint="eastAsia" w:ascii="仿宋_GB2312" w:eastAsia="仿宋_GB2312"/>
          <w:sz w:val="28"/>
          <w:szCs w:val="28"/>
          <w:lang w:val="en-US" w:eastAsia="zh-CN"/>
        </w:rPr>
        <w:t>9.0</w:t>
      </w:r>
      <w:r>
        <w:rPr>
          <w:rFonts w:hint="eastAsia" w:ascii="仿宋_GB2312" w:eastAsia="仿宋_GB2312"/>
          <w:sz w:val="28"/>
          <w:szCs w:val="28"/>
        </w:rPr>
        <w:t>%，其中：授予小微企业合同金额</w:t>
      </w:r>
      <w:r>
        <w:rPr>
          <w:rFonts w:hint="eastAsia" w:ascii="仿宋_GB2312" w:eastAsia="仿宋_GB2312"/>
          <w:sz w:val="28"/>
          <w:szCs w:val="28"/>
          <w:lang w:eastAsia="zh-CN"/>
        </w:rPr>
        <w:t>8,978,451.</w:t>
      </w:r>
      <w:r>
        <w:rPr>
          <w:rFonts w:ascii="仿宋_GB2312" w:eastAsia="仿宋_GB2312"/>
          <w:sz w:val="28"/>
          <w:szCs w:val="28"/>
        </w:rPr>
        <w:t>23</w:t>
      </w:r>
      <w:r>
        <w:rPr>
          <w:rFonts w:hint="eastAsia" w:ascii="仿宋_GB2312" w:eastAsia="仿宋_GB2312"/>
          <w:sz w:val="28"/>
          <w:szCs w:val="28"/>
        </w:rPr>
        <w:t>元，占政府采购支出总额的</w:t>
      </w:r>
      <w:r>
        <w:rPr>
          <w:rFonts w:ascii="仿宋_GB2312" w:eastAsia="仿宋_GB2312"/>
          <w:sz w:val="28"/>
          <w:szCs w:val="28"/>
        </w:rPr>
        <w:t>38.</w:t>
      </w:r>
      <w:r>
        <w:rPr>
          <w:rFonts w:hint="eastAsia" w:ascii="仿宋_GB2312" w:eastAsia="仿宋_GB2312"/>
          <w:sz w:val="28"/>
          <w:szCs w:val="28"/>
          <w:lang w:val="en-US" w:eastAsia="zh-CN"/>
        </w:rPr>
        <w:t>2</w:t>
      </w:r>
      <w:r>
        <w:rPr>
          <w:rFonts w:hint="eastAsia" w:ascii="仿宋_GB2312" w:eastAsia="仿宋_GB2312"/>
          <w:sz w:val="28"/>
          <w:szCs w:val="28"/>
        </w:rPr>
        <w:t>%。</w:t>
      </w:r>
    </w:p>
    <w:p w14:paraId="454284E5">
      <w:pPr>
        <w:ind w:firstLine="560" w:firstLineChars="200"/>
        <w:rPr>
          <w:rFonts w:ascii="黑体" w:eastAsia="黑体"/>
          <w:sz w:val="28"/>
          <w:szCs w:val="28"/>
          <w:highlight w:val="yellow"/>
        </w:rPr>
      </w:pPr>
      <w:r>
        <w:rPr>
          <w:rFonts w:hint="eastAsia" w:ascii="黑体" w:eastAsia="黑体"/>
          <w:sz w:val="28"/>
          <w:szCs w:val="28"/>
        </w:rPr>
        <w:t>四、国有资产占用情况</w:t>
      </w:r>
    </w:p>
    <w:p w14:paraId="1240FB01">
      <w:pPr>
        <w:ind w:firstLine="560" w:firstLineChars="200"/>
        <w:rPr>
          <w:rFonts w:ascii="仿宋_GB2312" w:eastAsia="仿宋_GB2312"/>
          <w:sz w:val="32"/>
          <w:szCs w:val="32"/>
        </w:rPr>
      </w:pPr>
      <w:r>
        <w:rPr>
          <w:rFonts w:hint="eastAsia" w:ascii="仿宋_GB2312" w:eastAsia="仿宋_GB2312"/>
          <w:sz w:val="28"/>
          <w:szCs w:val="28"/>
        </w:rPr>
        <w:t>截至12月31日，北京市门头沟区人民政府大台街道办事处共有车辆8台；单位价值100</w:t>
      </w:r>
      <w:r>
        <w:rPr>
          <w:rFonts w:hint="eastAsia" w:ascii="仿宋_GB2312" w:eastAsia="仿宋_GB2312"/>
          <w:sz w:val="28"/>
          <w:szCs w:val="28"/>
          <w:lang w:val="en-US" w:eastAsia="zh-CN"/>
        </w:rPr>
        <w:t>万</w:t>
      </w:r>
      <w:r>
        <w:rPr>
          <w:rFonts w:hint="eastAsia" w:ascii="仿宋_GB2312" w:eastAsia="仿宋_GB2312"/>
          <w:sz w:val="28"/>
          <w:szCs w:val="28"/>
        </w:rPr>
        <w:t>元（含）以上的设备0台（套）。</w:t>
      </w:r>
    </w:p>
    <w:p w14:paraId="562B25AB">
      <w:pPr>
        <w:ind w:firstLine="560" w:firstLineChars="200"/>
        <w:jc w:val="left"/>
        <w:rPr>
          <w:rFonts w:ascii="仿宋_GB2312" w:eastAsia="仿宋_GB2312"/>
          <w:color w:val="000000"/>
          <w:sz w:val="32"/>
          <w:szCs w:val="32"/>
        </w:rPr>
      </w:pPr>
      <w:r>
        <w:rPr>
          <w:rFonts w:hint="eastAsia" w:ascii="黑体" w:eastAsia="黑体"/>
          <w:sz w:val="28"/>
          <w:szCs w:val="28"/>
        </w:rPr>
        <w:t>五、</w:t>
      </w:r>
      <w:r>
        <w:rPr>
          <w:rFonts w:ascii="黑体" w:eastAsia="黑体"/>
          <w:sz w:val="28"/>
          <w:szCs w:val="28"/>
        </w:rPr>
        <w:t>专业名词解释</w:t>
      </w:r>
    </w:p>
    <w:p w14:paraId="1B88687C">
      <w:pPr>
        <w:ind w:firstLine="560" w:firstLineChars="200"/>
        <w:rPr>
          <w:rFonts w:ascii="仿宋_GB2312" w:eastAsia="仿宋_GB2312"/>
          <w:sz w:val="28"/>
          <w:szCs w:val="28"/>
        </w:rPr>
      </w:pPr>
      <w:r>
        <w:rPr>
          <w:rFonts w:hint="eastAsia" w:ascii="仿宋_GB2312" w:eastAsia="仿宋_GB2312"/>
          <w:sz w:val="28"/>
          <w:szCs w:val="28"/>
        </w:rPr>
        <w:t>1.基本支出：指为保障机构正常运转、完成日常工作任务而发生的人员支出和公用支出。</w:t>
      </w:r>
    </w:p>
    <w:p w14:paraId="7A08C7C0">
      <w:pPr>
        <w:ind w:firstLine="560" w:firstLineChars="200"/>
        <w:rPr>
          <w:rFonts w:ascii="仿宋_GB2312" w:eastAsia="仿宋_GB2312"/>
          <w:sz w:val="28"/>
          <w:szCs w:val="28"/>
        </w:rPr>
      </w:pPr>
      <w:r>
        <w:rPr>
          <w:rFonts w:hint="eastAsia" w:ascii="仿宋_GB2312" w:eastAsia="仿宋_GB2312"/>
          <w:sz w:val="28"/>
          <w:szCs w:val="28"/>
        </w:rPr>
        <w:t>2.项目支出：指在基本支出之外为完成特定行政任务或事业发展目标所发生的支出。</w:t>
      </w:r>
    </w:p>
    <w:p w14:paraId="6EB5734D">
      <w:pPr>
        <w:ind w:firstLine="560" w:firstLineChars="200"/>
        <w:rPr>
          <w:rFonts w:ascii="仿宋_GB2312" w:eastAsia="仿宋_GB2312"/>
          <w:sz w:val="28"/>
          <w:szCs w:val="28"/>
        </w:rPr>
      </w:pPr>
      <w:r>
        <w:rPr>
          <w:rFonts w:hint="eastAsia" w:ascii="仿宋_GB2312" w:eastAsia="仿宋_GB2312"/>
          <w:sz w:val="28"/>
          <w:szCs w:val="28"/>
        </w:rPr>
        <w:t>3.“三公”经费：是指单位通过财政拨款资金安排的因公出国（境）费、公务用车购置及运行费和公务接待费。</w:t>
      </w:r>
    </w:p>
    <w:p w14:paraId="14B572CF">
      <w:pPr>
        <w:ind w:firstLine="560" w:firstLineChars="200"/>
      </w:pPr>
      <w:r>
        <w:rPr>
          <w:rFonts w:hint="eastAsia" w:ascii="仿宋_GB2312" w:eastAsia="仿宋_GB2312"/>
          <w:sz w:val="28"/>
          <w:szCs w:val="28"/>
        </w:rPr>
        <w:t>4.机关运行经费：反映为保障行政单位（包括参照公务员法管理的事业单位）运行用于购买货物和服务的各项资金，包括办公费、会议费、培训费、委托业务费、公务接待费、公务用车运行维护费、维修（护）费及其他费用。</w:t>
      </w:r>
    </w:p>
    <w:p w14:paraId="7A9BB0EB">
      <w:pPr>
        <w:ind w:firstLine="560" w:firstLineChars="200"/>
        <w:rPr>
          <w:rFonts w:ascii="仿宋_GB2312" w:eastAsia="仿宋_GB2312"/>
          <w:sz w:val="28"/>
          <w:szCs w:val="28"/>
        </w:rPr>
      </w:pPr>
      <w:r>
        <w:rPr>
          <w:rFonts w:hint="eastAsia" w:ascii="仿宋_GB2312" w:eastAsia="仿宋_GB2312"/>
          <w:sz w:val="28"/>
          <w:szCs w:val="28"/>
        </w:rPr>
        <w:t>5.政府采购：指各级国家机关、事业单位和团体组织，使用财政性资金采购依法制定的集中目录以内的或者采购限额标准以上的货物、工程和服务的行为，是规范财政支出管理和强化预算约束的有效措施。</w:t>
      </w:r>
    </w:p>
    <w:p w14:paraId="2985ACD4">
      <w:pPr>
        <w:ind w:firstLine="560" w:firstLineChars="200"/>
        <w:rPr>
          <w:rFonts w:hint="eastAsia" w:ascii="仿宋_GB2312" w:eastAsia="仿宋_GB2312"/>
          <w:sz w:val="28"/>
          <w:szCs w:val="28"/>
        </w:rPr>
      </w:pPr>
      <w:r>
        <w:rPr>
          <w:rFonts w:hint="eastAsia" w:ascii="仿宋_GB2312" w:eastAsia="仿宋_GB2312"/>
          <w:sz w:val="28"/>
          <w:szCs w:val="28"/>
        </w:rPr>
        <w:t>6.一般公共服务支出（类）政府办公厅（室）及相关机构事务（款）行政运行（项）：反映行政单位（包括实行公务员管理的事业单位）的基本支出。</w:t>
      </w:r>
    </w:p>
    <w:p w14:paraId="397A014B">
      <w:pPr>
        <w:ind w:firstLine="560" w:firstLineChars="200"/>
        <w:rPr>
          <w:rFonts w:hint="eastAsia" w:ascii="仿宋_GB2312" w:eastAsia="仿宋_GB2312"/>
          <w:sz w:val="28"/>
          <w:szCs w:val="28"/>
        </w:rPr>
      </w:pPr>
      <w:r>
        <w:rPr>
          <w:rFonts w:hint="eastAsia" w:ascii="仿宋_GB2312" w:eastAsia="仿宋_GB2312"/>
          <w:sz w:val="28"/>
          <w:szCs w:val="28"/>
          <w:lang w:val="en-US" w:eastAsia="zh-CN"/>
        </w:rPr>
        <w:t>7</w:t>
      </w:r>
      <w:r>
        <w:rPr>
          <w:rFonts w:hint="eastAsia" w:ascii="仿宋_GB2312" w:eastAsia="仿宋_GB2312"/>
          <w:sz w:val="28"/>
          <w:szCs w:val="28"/>
        </w:rPr>
        <w:t>.一般公共服务支出（类）政府办公厅（室）及相关机构事务（款）一般行政管理事务（项）：反映行政单位（包括实行公务员管理的事业单位）未单独设置项级科目的其他项目支出。</w:t>
      </w:r>
    </w:p>
    <w:p w14:paraId="6607BDA9">
      <w:pPr>
        <w:ind w:firstLine="560" w:firstLineChars="200"/>
        <w:rPr>
          <w:rFonts w:hint="eastAsia" w:ascii="仿宋_GB2312" w:eastAsia="仿宋_GB2312"/>
          <w:sz w:val="28"/>
          <w:szCs w:val="28"/>
        </w:rPr>
      </w:pPr>
      <w:r>
        <w:rPr>
          <w:rFonts w:hint="eastAsia" w:ascii="仿宋_GB2312" w:eastAsia="仿宋_GB2312"/>
          <w:sz w:val="28"/>
          <w:szCs w:val="28"/>
          <w:lang w:val="en-US" w:eastAsia="zh-CN"/>
        </w:rPr>
        <w:t>8</w:t>
      </w:r>
      <w:r>
        <w:rPr>
          <w:rFonts w:hint="eastAsia" w:ascii="仿宋_GB2312" w:eastAsia="仿宋_GB2312"/>
          <w:sz w:val="28"/>
          <w:szCs w:val="28"/>
        </w:rPr>
        <w:t>.一般公共服务支出（类）政府办公厅（室）及相关机构事务（款）事业运行（项）：反映事业单位的基本支出，不包括行政单位（包括实行公务员管理的事业单位）后勤服务中心、医务室等附属事业单位。</w:t>
      </w:r>
    </w:p>
    <w:p w14:paraId="6BB24218">
      <w:pPr>
        <w:ind w:firstLine="560" w:firstLineChars="200"/>
        <w:rPr>
          <w:rFonts w:hint="eastAsia" w:ascii="仿宋_GB2312" w:eastAsia="仿宋_GB2312"/>
          <w:sz w:val="28"/>
          <w:szCs w:val="28"/>
        </w:rPr>
      </w:pPr>
      <w:r>
        <w:rPr>
          <w:rFonts w:hint="eastAsia" w:ascii="仿宋_GB2312" w:eastAsia="仿宋_GB2312"/>
          <w:sz w:val="28"/>
          <w:szCs w:val="28"/>
          <w:lang w:val="en-US" w:eastAsia="zh-CN"/>
        </w:rPr>
        <w:t>9</w:t>
      </w:r>
      <w:r>
        <w:rPr>
          <w:rFonts w:hint="eastAsia" w:ascii="仿宋_GB2312" w:eastAsia="仿宋_GB2312"/>
          <w:sz w:val="28"/>
          <w:szCs w:val="28"/>
        </w:rPr>
        <w:t>.一般公共服务支出（类）政府办公厅（室）及相关机构事务（款）其他政府办公厅（室）及相关机构事务支出（项）：反映除上述项目以外的其他政府办公厅（室）及相关机构事务支出。</w:t>
      </w:r>
    </w:p>
    <w:p w14:paraId="28B54D0F">
      <w:pPr>
        <w:ind w:firstLine="560" w:firstLineChars="200"/>
        <w:rPr>
          <w:rFonts w:hint="eastAsia" w:ascii="仿宋_GB2312" w:eastAsia="仿宋_GB2312"/>
          <w:sz w:val="28"/>
          <w:szCs w:val="28"/>
        </w:rPr>
      </w:pPr>
      <w:r>
        <w:rPr>
          <w:rFonts w:hint="eastAsia" w:ascii="仿宋_GB2312" w:eastAsia="仿宋_GB2312"/>
          <w:sz w:val="28"/>
          <w:szCs w:val="28"/>
        </w:rPr>
        <w:t>1</w:t>
      </w:r>
      <w:r>
        <w:rPr>
          <w:rFonts w:hint="eastAsia" w:ascii="仿宋_GB2312" w:eastAsia="仿宋_GB2312"/>
          <w:sz w:val="28"/>
          <w:szCs w:val="28"/>
          <w:lang w:val="en-US" w:eastAsia="zh-CN"/>
        </w:rPr>
        <w:t>0</w:t>
      </w:r>
      <w:r>
        <w:rPr>
          <w:rFonts w:hint="eastAsia" w:ascii="仿宋_GB2312" w:eastAsia="仿宋_GB2312"/>
          <w:sz w:val="28"/>
          <w:szCs w:val="28"/>
        </w:rPr>
        <w:t>.一般公共服务支出（类）发展与改革事务（款）其他发展与改革事务支出（项）：反映除上述项目以外的其他发展与改革事务支出。</w:t>
      </w:r>
    </w:p>
    <w:p w14:paraId="55F9C37D">
      <w:pPr>
        <w:ind w:firstLine="560" w:firstLineChars="200"/>
        <w:rPr>
          <w:rFonts w:hint="eastAsia" w:ascii="仿宋_GB2312" w:eastAsia="仿宋_GB2312"/>
          <w:sz w:val="28"/>
          <w:szCs w:val="28"/>
        </w:rPr>
      </w:pPr>
      <w:r>
        <w:rPr>
          <w:rFonts w:hint="eastAsia" w:ascii="仿宋_GB2312" w:eastAsia="仿宋_GB2312"/>
          <w:sz w:val="28"/>
          <w:szCs w:val="28"/>
        </w:rPr>
        <w:t>1</w:t>
      </w:r>
      <w:r>
        <w:rPr>
          <w:rFonts w:hint="eastAsia" w:ascii="仿宋_GB2312" w:eastAsia="仿宋_GB2312"/>
          <w:sz w:val="28"/>
          <w:szCs w:val="28"/>
          <w:lang w:val="en-US" w:eastAsia="zh-CN"/>
        </w:rPr>
        <w:t>1</w:t>
      </w:r>
      <w:r>
        <w:rPr>
          <w:rFonts w:hint="eastAsia" w:ascii="仿宋_GB2312" w:eastAsia="仿宋_GB2312"/>
          <w:sz w:val="28"/>
          <w:szCs w:val="28"/>
        </w:rPr>
        <w:t>.一般公共服务支出（类）财政事务（款）一般行政管理事务（项）：反映行政单位（包括实行公务员管理的事业单位）未单独设置项级科目的其他项目支出。</w:t>
      </w:r>
    </w:p>
    <w:p w14:paraId="4EC3A87D">
      <w:pPr>
        <w:ind w:firstLine="560" w:firstLineChars="200"/>
        <w:rPr>
          <w:rFonts w:hint="eastAsia" w:ascii="仿宋_GB2312" w:eastAsia="仿宋_GB2312"/>
          <w:sz w:val="28"/>
          <w:szCs w:val="28"/>
        </w:rPr>
      </w:pPr>
      <w:r>
        <w:rPr>
          <w:rFonts w:hint="eastAsia" w:ascii="仿宋_GB2312" w:eastAsia="仿宋_GB2312"/>
          <w:sz w:val="28"/>
          <w:szCs w:val="28"/>
        </w:rPr>
        <w:t>1</w:t>
      </w:r>
      <w:r>
        <w:rPr>
          <w:rFonts w:hint="eastAsia" w:ascii="仿宋_GB2312" w:eastAsia="仿宋_GB2312"/>
          <w:sz w:val="28"/>
          <w:szCs w:val="28"/>
          <w:lang w:val="en-US" w:eastAsia="zh-CN"/>
        </w:rPr>
        <w:t>2</w:t>
      </w:r>
      <w:r>
        <w:rPr>
          <w:rFonts w:hint="eastAsia" w:ascii="仿宋_GB2312" w:eastAsia="仿宋_GB2312"/>
          <w:sz w:val="28"/>
          <w:szCs w:val="28"/>
        </w:rPr>
        <w:t>.一般公共服务支出（类）纪检监察事务（款）其他纪检监察事务支出（项）：反映除上述项目以外其他纪检监察事务方面的支出。</w:t>
      </w:r>
    </w:p>
    <w:p w14:paraId="5B2F904B">
      <w:pPr>
        <w:ind w:firstLine="560" w:firstLineChars="200"/>
        <w:rPr>
          <w:rFonts w:hint="eastAsia" w:ascii="仿宋_GB2312" w:eastAsia="仿宋_GB2312"/>
          <w:sz w:val="28"/>
          <w:szCs w:val="28"/>
        </w:rPr>
      </w:pPr>
      <w:r>
        <w:rPr>
          <w:rFonts w:hint="eastAsia" w:ascii="仿宋_GB2312" w:eastAsia="仿宋_GB2312"/>
          <w:sz w:val="28"/>
          <w:szCs w:val="28"/>
        </w:rPr>
        <w:t>1</w:t>
      </w:r>
      <w:r>
        <w:rPr>
          <w:rFonts w:hint="eastAsia" w:ascii="仿宋_GB2312" w:eastAsia="仿宋_GB2312"/>
          <w:sz w:val="28"/>
          <w:szCs w:val="28"/>
          <w:lang w:val="en-US" w:eastAsia="zh-CN"/>
        </w:rPr>
        <w:t>3</w:t>
      </w:r>
      <w:r>
        <w:rPr>
          <w:rFonts w:hint="eastAsia" w:ascii="仿宋_GB2312" w:eastAsia="仿宋_GB2312"/>
          <w:sz w:val="28"/>
          <w:szCs w:val="28"/>
        </w:rPr>
        <w:t>.一般公共服务支出（类）组织事务（款）一般行政管理事务（项）：反映行政单位（包括实行公务员管理的事业单位）未单独设置项级科目的其他项目支出。</w:t>
      </w:r>
    </w:p>
    <w:p w14:paraId="51CD9113">
      <w:pPr>
        <w:ind w:firstLine="560" w:firstLineChars="200"/>
        <w:rPr>
          <w:rFonts w:hint="eastAsia" w:ascii="仿宋_GB2312" w:eastAsia="仿宋_GB2312"/>
          <w:sz w:val="28"/>
          <w:szCs w:val="28"/>
        </w:rPr>
      </w:pPr>
      <w:r>
        <w:rPr>
          <w:rFonts w:hint="eastAsia" w:ascii="仿宋_GB2312" w:eastAsia="仿宋_GB2312"/>
          <w:sz w:val="28"/>
          <w:szCs w:val="28"/>
        </w:rPr>
        <w:t>1</w:t>
      </w:r>
      <w:r>
        <w:rPr>
          <w:rFonts w:hint="eastAsia" w:ascii="仿宋_GB2312" w:eastAsia="仿宋_GB2312"/>
          <w:sz w:val="28"/>
          <w:szCs w:val="28"/>
          <w:lang w:val="en-US" w:eastAsia="zh-CN"/>
        </w:rPr>
        <w:t>4</w:t>
      </w:r>
      <w:r>
        <w:rPr>
          <w:rFonts w:hint="eastAsia" w:ascii="仿宋_GB2312" w:eastAsia="仿宋_GB2312"/>
          <w:sz w:val="28"/>
          <w:szCs w:val="28"/>
        </w:rPr>
        <w:t>.一般公共服务支出（类）社会工作事务（款）一般行政管理事务（项）：反映行政单位（包括实行公务员管理的事业单位）未单独设置项级科目的其他项目支出。</w:t>
      </w:r>
    </w:p>
    <w:p w14:paraId="387232C0">
      <w:pPr>
        <w:ind w:firstLine="560" w:firstLineChars="200"/>
        <w:rPr>
          <w:rFonts w:hint="eastAsia" w:ascii="仿宋_GB2312" w:eastAsia="仿宋_GB2312"/>
          <w:sz w:val="28"/>
          <w:szCs w:val="28"/>
        </w:rPr>
      </w:pPr>
      <w:r>
        <w:rPr>
          <w:rFonts w:hint="eastAsia" w:ascii="仿宋_GB2312" w:eastAsia="仿宋_GB2312"/>
          <w:sz w:val="28"/>
          <w:szCs w:val="28"/>
        </w:rPr>
        <w:t>1</w:t>
      </w:r>
      <w:r>
        <w:rPr>
          <w:rFonts w:hint="eastAsia" w:ascii="仿宋_GB2312" w:eastAsia="仿宋_GB2312"/>
          <w:sz w:val="28"/>
          <w:szCs w:val="28"/>
          <w:lang w:val="en-US" w:eastAsia="zh-CN"/>
        </w:rPr>
        <w:t>5</w:t>
      </w:r>
      <w:r>
        <w:rPr>
          <w:rFonts w:hint="eastAsia" w:ascii="仿宋_GB2312" w:eastAsia="仿宋_GB2312"/>
          <w:sz w:val="28"/>
          <w:szCs w:val="28"/>
        </w:rPr>
        <w:t>.一般公共服务支出（类）社会工作事务（款）专项业务（项）：反映社会工作部门开展专项业务活动的支出。</w:t>
      </w:r>
    </w:p>
    <w:p w14:paraId="12AACB51">
      <w:pPr>
        <w:ind w:firstLine="560" w:firstLineChars="200"/>
        <w:rPr>
          <w:rFonts w:hint="eastAsia" w:ascii="仿宋_GB2312" w:eastAsia="仿宋_GB2312"/>
          <w:sz w:val="28"/>
          <w:szCs w:val="28"/>
        </w:rPr>
      </w:pPr>
      <w:r>
        <w:rPr>
          <w:rFonts w:hint="eastAsia" w:ascii="仿宋_GB2312" w:eastAsia="仿宋_GB2312"/>
          <w:sz w:val="28"/>
          <w:szCs w:val="28"/>
        </w:rPr>
        <w:t>1</w:t>
      </w:r>
      <w:r>
        <w:rPr>
          <w:rFonts w:hint="eastAsia" w:ascii="仿宋_GB2312" w:eastAsia="仿宋_GB2312"/>
          <w:sz w:val="28"/>
          <w:szCs w:val="28"/>
          <w:lang w:val="en-US" w:eastAsia="zh-CN"/>
        </w:rPr>
        <w:t>6</w:t>
      </w:r>
      <w:r>
        <w:rPr>
          <w:rFonts w:hint="eastAsia" w:ascii="仿宋_GB2312" w:eastAsia="仿宋_GB2312"/>
          <w:sz w:val="28"/>
          <w:szCs w:val="28"/>
        </w:rPr>
        <w:t>.国防支出（类）国防动员（款）人民防空（项）：反映用于人民防空工程建设、宣传等方面的支出。</w:t>
      </w:r>
    </w:p>
    <w:p w14:paraId="625524AE">
      <w:pPr>
        <w:ind w:firstLine="560" w:firstLineChars="200"/>
        <w:rPr>
          <w:rFonts w:hint="eastAsia" w:ascii="仿宋_GB2312" w:eastAsia="仿宋_GB2312"/>
          <w:sz w:val="28"/>
          <w:szCs w:val="28"/>
        </w:rPr>
      </w:pPr>
      <w:r>
        <w:rPr>
          <w:rFonts w:hint="eastAsia" w:ascii="仿宋_GB2312" w:eastAsia="仿宋_GB2312"/>
          <w:sz w:val="28"/>
          <w:szCs w:val="28"/>
        </w:rPr>
        <w:t>1</w:t>
      </w:r>
      <w:r>
        <w:rPr>
          <w:rFonts w:hint="eastAsia" w:ascii="仿宋_GB2312" w:eastAsia="仿宋_GB2312"/>
          <w:sz w:val="28"/>
          <w:szCs w:val="28"/>
          <w:lang w:val="en-US" w:eastAsia="zh-CN"/>
        </w:rPr>
        <w:t>7</w:t>
      </w:r>
      <w:r>
        <w:rPr>
          <w:rFonts w:hint="eastAsia" w:ascii="仿宋_GB2312" w:eastAsia="仿宋_GB2312"/>
          <w:sz w:val="28"/>
          <w:szCs w:val="28"/>
        </w:rPr>
        <w:t>.文化旅游体育与传媒支出（类）文化和旅游（款）群众文化（项）：反映群众文化方面的支出，包括基层文化馆（站）、群众艺术馆支出等。</w:t>
      </w:r>
    </w:p>
    <w:p w14:paraId="7E667EFD">
      <w:pPr>
        <w:ind w:firstLine="560" w:firstLineChars="200"/>
        <w:rPr>
          <w:rFonts w:hint="eastAsia" w:ascii="仿宋_GB2312" w:eastAsia="仿宋_GB2312"/>
          <w:sz w:val="28"/>
          <w:szCs w:val="28"/>
        </w:rPr>
      </w:pPr>
      <w:r>
        <w:rPr>
          <w:rFonts w:hint="eastAsia" w:ascii="仿宋_GB2312" w:eastAsia="仿宋_GB2312"/>
          <w:sz w:val="28"/>
          <w:szCs w:val="28"/>
        </w:rPr>
        <w:t>1</w:t>
      </w:r>
      <w:r>
        <w:rPr>
          <w:rFonts w:hint="eastAsia" w:ascii="仿宋_GB2312" w:eastAsia="仿宋_GB2312"/>
          <w:sz w:val="28"/>
          <w:szCs w:val="28"/>
          <w:lang w:val="en-US" w:eastAsia="zh-CN"/>
        </w:rPr>
        <w:t>8</w:t>
      </w:r>
      <w:r>
        <w:rPr>
          <w:rFonts w:hint="eastAsia" w:ascii="仿宋_GB2312" w:eastAsia="仿宋_GB2312"/>
          <w:sz w:val="28"/>
          <w:szCs w:val="28"/>
        </w:rPr>
        <w:t>.文化旅游体育与传媒支出（类）文化和旅游（款）其他文化和旅游支出（项）：反映除上述项目以外其他用于文化和旅游方面的支出。</w:t>
      </w:r>
    </w:p>
    <w:p w14:paraId="3F02AA37">
      <w:pPr>
        <w:ind w:firstLine="560" w:firstLineChars="200"/>
        <w:rPr>
          <w:rFonts w:hint="eastAsia" w:ascii="仿宋_GB2312" w:eastAsia="仿宋_GB2312"/>
          <w:sz w:val="28"/>
          <w:szCs w:val="28"/>
        </w:rPr>
      </w:pPr>
      <w:r>
        <w:rPr>
          <w:rFonts w:hint="eastAsia" w:ascii="仿宋_GB2312" w:eastAsia="仿宋_GB2312"/>
          <w:sz w:val="28"/>
          <w:szCs w:val="28"/>
          <w:lang w:val="en-US" w:eastAsia="zh-CN"/>
        </w:rPr>
        <w:t>19</w:t>
      </w:r>
      <w:r>
        <w:rPr>
          <w:rFonts w:hint="eastAsia" w:ascii="仿宋_GB2312" w:eastAsia="仿宋_GB2312"/>
          <w:sz w:val="28"/>
          <w:szCs w:val="28"/>
        </w:rPr>
        <w:t>.文化旅游体育与传媒支出（类）体育（款）群众体育（项）：反映业余体校和全民健身等群众体育活动方面的支出。</w:t>
      </w:r>
    </w:p>
    <w:p w14:paraId="67167ABF">
      <w:pPr>
        <w:ind w:firstLine="560" w:firstLineChars="200"/>
        <w:rPr>
          <w:rFonts w:hint="eastAsia" w:ascii="仿宋_GB2312" w:eastAsia="仿宋_GB2312"/>
          <w:sz w:val="28"/>
          <w:szCs w:val="28"/>
        </w:rPr>
      </w:pPr>
      <w:r>
        <w:rPr>
          <w:rFonts w:hint="eastAsia" w:ascii="仿宋_GB2312" w:eastAsia="仿宋_GB2312"/>
          <w:sz w:val="28"/>
          <w:szCs w:val="28"/>
        </w:rPr>
        <w:t>2</w:t>
      </w:r>
      <w:r>
        <w:rPr>
          <w:rFonts w:hint="eastAsia" w:ascii="仿宋_GB2312" w:eastAsia="仿宋_GB2312"/>
          <w:sz w:val="28"/>
          <w:szCs w:val="28"/>
          <w:lang w:val="en-US" w:eastAsia="zh-CN"/>
        </w:rPr>
        <w:t>0</w:t>
      </w:r>
      <w:r>
        <w:rPr>
          <w:rFonts w:hint="eastAsia" w:ascii="仿宋_GB2312" w:eastAsia="仿宋_GB2312"/>
          <w:sz w:val="28"/>
          <w:szCs w:val="28"/>
        </w:rPr>
        <w:t>.社会保障和就业支出（类）人力资源和社会保障管理事务（款）其他人力资源和社会保障管理事务支出（项）：反映除上述项目以外其他用于人力资源和社会保障管理事务方面的支出。</w:t>
      </w:r>
    </w:p>
    <w:p w14:paraId="7717FA71">
      <w:pPr>
        <w:ind w:firstLine="560" w:firstLineChars="200"/>
        <w:rPr>
          <w:rFonts w:hint="eastAsia" w:ascii="仿宋_GB2312" w:eastAsia="仿宋_GB2312"/>
          <w:sz w:val="28"/>
          <w:szCs w:val="28"/>
        </w:rPr>
      </w:pPr>
      <w:r>
        <w:rPr>
          <w:rFonts w:hint="eastAsia" w:ascii="仿宋_GB2312" w:eastAsia="仿宋_GB2312"/>
          <w:sz w:val="28"/>
          <w:szCs w:val="28"/>
        </w:rPr>
        <w:t>2</w:t>
      </w:r>
      <w:r>
        <w:rPr>
          <w:rFonts w:hint="eastAsia" w:ascii="仿宋_GB2312" w:eastAsia="仿宋_GB2312"/>
          <w:sz w:val="28"/>
          <w:szCs w:val="28"/>
          <w:lang w:val="en-US" w:eastAsia="zh-CN"/>
        </w:rPr>
        <w:t>1</w:t>
      </w:r>
      <w:r>
        <w:rPr>
          <w:rFonts w:hint="eastAsia" w:ascii="仿宋_GB2312" w:eastAsia="仿宋_GB2312"/>
          <w:sz w:val="28"/>
          <w:szCs w:val="28"/>
        </w:rPr>
        <w:t>.社会保障和就业支出（类）民政管理事务（款）其他民政管理事务支出（项）：反映除上述项目以外其他用于民政管理事务的支出。</w:t>
      </w:r>
    </w:p>
    <w:p w14:paraId="5B990EB4">
      <w:pPr>
        <w:ind w:firstLine="560" w:firstLineChars="200"/>
        <w:rPr>
          <w:rFonts w:hint="eastAsia" w:ascii="仿宋_GB2312" w:eastAsia="仿宋_GB2312"/>
          <w:sz w:val="28"/>
          <w:szCs w:val="28"/>
        </w:rPr>
      </w:pPr>
      <w:r>
        <w:rPr>
          <w:rFonts w:hint="eastAsia" w:ascii="仿宋_GB2312" w:eastAsia="仿宋_GB2312"/>
          <w:sz w:val="28"/>
          <w:szCs w:val="28"/>
        </w:rPr>
        <w:t>2</w:t>
      </w:r>
      <w:r>
        <w:rPr>
          <w:rFonts w:hint="eastAsia" w:ascii="仿宋_GB2312" w:eastAsia="仿宋_GB2312"/>
          <w:sz w:val="28"/>
          <w:szCs w:val="28"/>
          <w:lang w:val="en-US" w:eastAsia="zh-CN"/>
        </w:rPr>
        <w:t>2</w:t>
      </w:r>
      <w:r>
        <w:rPr>
          <w:rFonts w:hint="eastAsia" w:ascii="仿宋_GB2312" w:eastAsia="仿宋_GB2312"/>
          <w:sz w:val="28"/>
          <w:szCs w:val="28"/>
        </w:rPr>
        <w:t>.社会保障和就业支出（类）行政事业单位养老支出（款）行政单位离退休（项）：反映行政单位（包括实行公务员管理的事业单位）开支的离退休经费。</w:t>
      </w:r>
    </w:p>
    <w:p w14:paraId="0C5E1954">
      <w:pPr>
        <w:ind w:firstLine="560" w:firstLineChars="200"/>
        <w:rPr>
          <w:rFonts w:hint="eastAsia" w:ascii="仿宋_GB2312" w:eastAsia="仿宋_GB2312"/>
          <w:sz w:val="28"/>
          <w:szCs w:val="28"/>
        </w:rPr>
      </w:pPr>
      <w:r>
        <w:rPr>
          <w:rFonts w:hint="eastAsia" w:ascii="仿宋_GB2312" w:eastAsia="仿宋_GB2312"/>
          <w:sz w:val="28"/>
          <w:szCs w:val="28"/>
        </w:rPr>
        <w:t>2</w:t>
      </w:r>
      <w:r>
        <w:rPr>
          <w:rFonts w:hint="eastAsia" w:ascii="仿宋_GB2312" w:eastAsia="仿宋_GB2312"/>
          <w:sz w:val="28"/>
          <w:szCs w:val="28"/>
          <w:lang w:val="en-US" w:eastAsia="zh-CN"/>
        </w:rPr>
        <w:t>3</w:t>
      </w:r>
      <w:r>
        <w:rPr>
          <w:rFonts w:hint="eastAsia" w:ascii="仿宋_GB2312" w:eastAsia="仿宋_GB2312"/>
          <w:sz w:val="28"/>
          <w:szCs w:val="28"/>
        </w:rPr>
        <w:t>.社会保障和就业支出（类）行政事业单位养老支出（款）事业单位离退休（项）：反映事业单位开支的离退休经费。</w:t>
      </w:r>
    </w:p>
    <w:p w14:paraId="4AE320C6">
      <w:pPr>
        <w:ind w:firstLine="560" w:firstLineChars="200"/>
        <w:rPr>
          <w:rFonts w:hint="eastAsia" w:ascii="仿宋_GB2312" w:eastAsia="仿宋_GB2312"/>
          <w:sz w:val="28"/>
          <w:szCs w:val="28"/>
        </w:rPr>
      </w:pPr>
      <w:r>
        <w:rPr>
          <w:rFonts w:hint="eastAsia" w:ascii="仿宋_GB2312" w:eastAsia="仿宋_GB2312"/>
          <w:sz w:val="28"/>
          <w:szCs w:val="28"/>
        </w:rPr>
        <w:t>2</w:t>
      </w:r>
      <w:r>
        <w:rPr>
          <w:rFonts w:hint="eastAsia" w:ascii="仿宋_GB2312" w:eastAsia="仿宋_GB2312"/>
          <w:sz w:val="28"/>
          <w:szCs w:val="28"/>
          <w:lang w:val="en-US" w:eastAsia="zh-CN"/>
        </w:rPr>
        <w:t>4</w:t>
      </w:r>
      <w:r>
        <w:rPr>
          <w:rFonts w:hint="eastAsia" w:ascii="仿宋_GB2312" w:eastAsia="仿宋_GB2312"/>
          <w:sz w:val="28"/>
          <w:szCs w:val="28"/>
        </w:rPr>
        <w:t>.社会保障和就业支出（类）就业补助（款）社会保险补贴（项）：反映财政对符合条件人员就业后缴纳的社会保险费给予的补贴支出。</w:t>
      </w:r>
    </w:p>
    <w:p w14:paraId="0F796160">
      <w:pPr>
        <w:ind w:firstLine="560" w:firstLineChars="200"/>
        <w:rPr>
          <w:rFonts w:hint="eastAsia" w:ascii="仿宋_GB2312" w:eastAsia="仿宋_GB2312"/>
          <w:sz w:val="28"/>
          <w:szCs w:val="28"/>
        </w:rPr>
      </w:pPr>
      <w:r>
        <w:rPr>
          <w:rFonts w:hint="eastAsia" w:ascii="仿宋_GB2312" w:eastAsia="仿宋_GB2312"/>
          <w:sz w:val="28"/>
          <w:szCs w:val="28"/>
        </w:rPr>
        <w:t>2</w:t>
      </w:r>
      <w:r>
        <w:rPr>
          <w:rFonts w:hint="eastAsia" w:ascii="仿宋_GB2312" w:eastAsia="仿宋_GB2312"/>
          <w:sz w:val="28"/>
          <w:szCs w:val="28"/>
          <w:lang w:val="en-US" w:eastAsia="zh-CN"/>
        </w:rPr>
        <w:t>5</w:t>
      </w:r>
      <w:r>
        <w:rPr>
          <w:rFonts w:hint="eastAsia" w:ascii="仿宋_GB2312" w:eastAsia="仿宋_GB2312"/>
          <w:sz w:val="28"/>
          <w:szCs w:val="28"/>
        </w:rPr>
        <w:t>.社会保障和就业支出（类）就业补助（款）公益性岗位补贴（项）：反映财政对符合条件的就业困难人员在公益性岗位就业给予的岗位补贴支出。</w:t>
      </w:r>
    </w:p>
    <w:p w14:paraId="0C495DEC">
      <w:pPr>
        <w:ind w:firstLine="560" w:firstLineChars="200"/>
        <w:rPr>
          <w:rFonts w:hint="eastAsia" w:ascii="仿宋_GB2312" w:eastAsia="仿宋_GB2312"/>
          <w:sz w:val="28"/>
          <w:szCs w:val="28"/>
        </w:rPr>
      </w:pPr>
      <w:r>
        <w:rPr>
          <w:rFonts w:hint="eastAsia" w:ascii="仿宋_GB2312" w:eastAsia="仿宋_GB2312"/>
          <w:sz w:val="28"/>
          <w:szCs w:val="28"/>
        </w:rPr>
        <w:t>2</w:t>
      </w:r>
      <w:r>
        <w:rPr>
          <w:rFonts w:hint="eastAsia" w:ascii="仿宋_GB2312" w:eastAsia="仿宋_GB2312"/>
          <w:sz w:val="28"/>
          <w:szCs w:val="28"/>
          <w:lang w:val="en-US" w:eastAsia="zh-CN"/>
        </w:rPr>
        <w:t>6</w:t>
      </w:r>
      <w:r>
        <w:rPr>
          <w:rFonts w:hint="eastAsia" w:ascii="仿宋_GB2312" w:eastAsia="仿宋_GB2312"/>
          <w:sz w:val="28"/>
          <w:szCs w:val="28"/>
        </w:rPr>
        <w:t>.社会保障和就业支出（类）社会福利（款）其他社会福利支出（项）：反映除上述项目以外其他用于社会福利方面的支出。</w:t>
      </w:r>
    </w:p>
    <w:p w14:paraId="305EBC05">
      <w:pPr>
        <w:ind w:firstLine="560" w:firstLineChars="200"/>
        <w:rPr>
          <w:rFonts w:hint="eastAsia" w:ascii="仿宋_GB2312" w:eastAsia="仿宋_GB2312"/>
          <w:sz w:val="28"/>
          <w:szCs w:val="28"/>
        </w:rPr>
      </w:pPr>
      <w:r>
        <w:rPr>
          <w:rFonts w:hint="eastAsia" w:ascii="仿宋_GB2312" w:eastAsia="仿宋_GB2312"/>
          <w:sz w:val="28"/>
          <w:szCs w:val="28"/>
        </w:rPr>
        <w:t>2</w:t>
      </w:r>
      <w:r>
        <w:rPr>
          <w:rFonts w:hint="eastAsia" w:ascii="仿宋_GB2312" w:eastAsia="仿宋_GB2312"/>
          <w:sz w:val="28"/>
          <w:szCs w:val="28"/>
          <w:lang w:val="en-US" w:eastAsia="zh-CN"/>
        </w:rPr>
        <w:t>7</w:t>
      </w:r>
      <w:r>
        <w:rPr>
          <w:rFonts w:hint="eastAsia" w:ascii="仿宋_GB2312" w:eastAsia="仿宋_GB2312"/>
          <w:sz w:val="28"/>
          <w:szCs w:val="28"/>
        </w:rPr>
        <w:t>.社会保障和就业支出（类）残疾人事业（款）其他残疾人事业支出（项）：反映除上述项目以外其他用于残疾人事业方面的支出。</w:t>
      </w:r>
    </w:p>
    <w:p w14:paraId="580E9E95">
      <w:pPr>
        <w:ind w:firstLine="560" w:firstLineChars="200"/>
        <w:rPr>
          <w:rFonts w:hint="eastAsia" w:ascii="仿宋_GB2312" w:eastAsia="仿宋_GB2312"/>
          <w:sz w:val="28"/>
          <w:szCs w:val="28"/>
        </w:rPr>
      </w:pPr>
      <w:r>
        <w:rPr>
          <w:rFonts w:hint="eastAsia" w:ascii="仿宋_GB2312" w:eastAsia="仿宋_GB2312"/>
          <w:sz w:val="28"/>
          <w:szCs w:val="28"/>
        </w:rPr>
        <w:t>2</w:t>
      </w:r>
      <w:r>
        <w:rPr>
          <w:rFonts w:hint="eastAsia" w:ascii="仿宋_GB2312" w:eastAsia="仿宋_GB2312"/>
          <w:sz w:val="28"/>
          <w:szCs w:val="28"/>
          <w:lang w:val="en-US" w:eastAsia="zh-CN"/>
        </w:rPr>
        <w:t>8</w:t>
      </w:r>
      <w:r>
        <w:rPr>
          <w:rFonts w:hint="eastAsia" w:ascii="仿宋_GB2312" w:eastAsia="仿宋_GB2312"/>
          <w:sz w:val="28"/>
          <w:szCs w:val="28"/>
        </w:rPr>
        <w:t>.社会保障和就业支出（类）临时救助（款）临时救助支出（项）：反映用于城乡生活困难居民的临时救助支出。</w:t>
      </w:r>
    </w:p>
    <w:p w14:paraId="559EC8F2">
      <w:pPr>
        <w:ind w:firstLine="560" w:firstLineChars="200"/>
        <w:rPr>
          <w:rFonts w:hint="eastAsia" w:ascii="仿宋_GB2312" w:eastAsia="仿宋_GB2312"/>
          <w:sz w:val="28"/>
          <w:szCs w:val="28"/>
        </w:rPr>
      </w:pPr>
      <w:r>
        <w:rPr>
          <w:rFonts w:hint="eastAsia" w:ascii="仿宋_GB2312" w:eastAsia="仿宋_GB2312"/>
          <w:sz w:val="28"/>
          <w:szCs w:val="28"/>
          <w:lang w:val="en-US" w:eastAsia="zh-CN"/>
        </w:rPr>
        <w:t>29</w:t>
      </w:r>
      <w:r>
        <w:rPr>
          <w:rFonts w:hint="eastAsia" w:ascii="仿宋_GB2312" w:eastAsia="仿宋_GB2312"/>
          <w:sz w:val="28"/>
          <w:szCs w:val="28"/>
        </w:rPr>
        <w:t>.卫生健康支出（类）公共卫生（款）其他公共卫生支出（项）：反映除上述项目以外其他用于公共卫生方面的支出。</w:t>
      </w:r>
    </w:p>
    <w:p w14:paraId="6F297C61">
      <w:pPr>
        <w:ind w:firstLine="560" w:firstLineChars="200"/>
        <w:rPr>
          <w:rFonts w:hint="eastAsia" w:ascii="仿宋_GB2312" w:eastAsia="仿宋_GB2312"/>
          <w:sz w:val="28"/>
          <w:szCs w:val="28"/>
        </w:rPr>
      </w:pPr>
      <w:r>
        <w:rPr>
          <w:rFonts w:hint="eastAsia" w:ascii="仿宋_GB2312" w:eastAsia="仿宋_GB2312"/>
          <w:sz w:val="28"/>
          <w:szCs w:val="28"/>
        </w:rPr>
        <w:t>3</w:t>
      </w:r>
      <w:r>
        <w:rPr>
          <w:rFonts w:hint="eastAsia" w:ascii="仿宋_GB2312" w:eastAsia="仿宋_GB2312"/>
          <w:sz w:val="28"/>
          <w:szCs w:val="28"/>
          <w:lang w:val="en-US" w:eastAsia="zh-CN"/>
        </w:rPr>
        <w:t>0</w:t>
      </w:r>
      <w:r>
        <w:rPr>
          <w:rFonts w:hint="eastAsia" w:ascii="仿宋_GB2312" w:eastAsia="仿宋_GB2312"/>
          <w:sz w:val="28"/>
          <w:szCs w:val="28"/>
        </w:rPr>
        <w:t>.卫生健康支出（类）计划生育事务（款）其他计划生育事务支出（项）：反映除上述项目以外其他用于计划生育管理事务方面的支出。</w:t>
      </w:r>
    </w:p>
    <w:p w14:paraId="1DA8F60C">
      <w:pPr>
        <w:ind w:firstLine="560" w:firstLineChars="200"/>
        <w:rPr>
          <w:rFonts w:hint="eastAsia" w:ascii="仿宋_GB2312" w:eastAsia="仿宋_GB2312"/>
          <w:sz w:val="28"/>
          <w:szCs w:val="28"/>
        </w:rPr>
      </w:pPr>
      <w:r>
        <w:rPr>
          <w:rFonts w:hint="eastAsia" w:ascii="仿宋_GB2312" w:eastAsia="仿宋_GB2312"/>
          <w:sz w:val="28"/>
          <w:szCs w:val="28"/>
        </w:rPr>
        <w:t>3</w:t>
      </w:r>
      <w:r>
        <w:rPr>
          <w:rFonts w:hint="eastAsia" w:ascii="仿宋_GB2312" w:eastAsia="仿宋_GB2312"/>
          <w:sz w:val="28"/>
          <w:szCs w:val="28"/>
          <w:lang w:val="en-US" w:eastAsia="zh-CN"/>
        </w:rPr>
        <w:t>1</w:t>
      </w:r>
      <w:r>
        <w:rPr>
          <w:rFonts w:hint="eastAsia" w:ascii="仿宋_GB2312" w:eastAsia="仿宋_GB2312"/>
          <w:sz w:val="28"/>
          <w:szCs w:val="28"/>
        </w:rPr>
        <w:t>.卫生健康支出（类）医疗救助（款）其他医疗救助支出（项）：反映除上述项目以外其他用于医疗救助方面的支出。</w:t>
      </w:r>
    </w:p>
    <w:p w14:paraId="7887A806">
      <w:pPr>
        <w:ind w:firstLine="560" w:firstLineChars="200"/>
        <w:rPr>
          <w:rFonts w:hint="eastAsia" w:ascii="仿宋_GB2312" w:eastAsia="仿宋_GB2312"/>
          <w:sz w:val="28"/>
          <w:szCs w:val="28"/>
        </w:rPr>
      </w:pPr>
      <w:r>
        <w:rPr>
          <w:rFonts w:hint="eastAsia" w:ascii="仿宋_GB2312" w:eastAsia="仿宋_GB2312"/>
          <w:sz w:val="28"/>
          <w:szCs w:val="28"/>
        </w:rPr>
        <w:t>3</w:t>
      </w:r>
      <w:r>
        <w:rPr>
          <w:rFonts w:hint="eastAsia" w:ascii="仿宋_GB2312" w:eastAsia="仿宋_GB2312"/>
          <w:sz w:val="28"/>
          <w:szCs w:val="28"/>
          <w:lang w:val="en-US" w:eastAsia="zh-CN"/>
        </w:rPr>
        <w:t>2</w:t>
      </w:r>
      <w:r>
        <w:rPr>
          <w:rFonts w:hint="eastAsia" w:ascii="仿宋_GB2312" w:eastAsia="仿宋_GB2312"/>
          <w:sz w:val="28"/>
          <w:szCs w:val="28"/>
        </w:rPr>
        <w:t>.节能环保支出（类）污染防治（款）大气（项）：反映治理空气污染、汽车尾气、酸雨、二氧化硫、沙尘暴等方面的支出。</w:t>
      </w:r>
    </w:p>
    <w:p w14:paraId="57F6EEC2">
      <w:pPr>
        <w:ind w:firstLine="560" w:firstLineChars="200"/>
        <w:rPr>
          <w:rFonts w:hint="eastAsia" w:ascii="仿宋_GB2312" w:eastAsia="仿宋_GB2312"/>
          <w:sz w:val="28"/>
          <w:szCs w:val="28"/>
        </w:rPr>
      </w:pPr>
      <w:r>
        <w:rPr>
          <w:rFonts w:hint="eastAsia" w:ascii="仿宋_GB2312" w:eastAsia="仿宋_GB2312"/>
          <w:sz w:val="28"/>
          <w:szCs w:val="28"/>
        </w:rPr>
        <w:t>3</w:t>
      </w:r>
      <w:r>
        <w:rPr>
          <w:rFonts w:hint="eastAsia" w:ascii="仿宋_GB2312" w:eastAsia="仿宋_GB2312"/>
          <w:sz w:val="28"/>
          <w:szCs w:val="28"/>
          <w:lang w:val="en-US" w:eastAsia="zh-CN"/>
        </w:rPr>
        <w:t>3</w:t>
      </w:r>
      <w:r>
        <w:rPr>
          <w:rFonts w:hint="eastAsia" w:ascii="仿宋_GB2312" w:eastAsia="仿宋_GB2312"/>
          <w:sz w:val="28"/>
          <w:szCs w:val="28"/>
        </w:rPr>
        <w:t>.城乡社区支出（类）城乡社区管理事务（款）其他城乡社区管理事务支出（项）：反映除上述项目以外其他用于城乡社区管理事务方面的支出。</w:t>
      </w:r>
    </w:p>
    <w:p w14:paraId="4890E9C1">
      <w:pPr>
        <w:ind w:firstLine="560" w:firstLineChars="200"/>
        <w:rPr>
          <w:rFonts w:hint="eastAsia" w:ascii="仿宋_GB2312" w:eastAsia="仿宋_GB2312"/>
          <w:sz w:val="28"/>
          <w:szCs w:val="28"/>
        </w:rPr>
      </w:pPr>
      <w:r>
        <w:rPr>
          <w:rFonts w:hint="eastAsia" w:ascii="仿宋_GB2312" w:eastAsia="仿宋_GB2312"/>
          <w:sz w:val="28"/>
          <w:szCs w:val="28"/>
        </w:rPr>
        <w:t>3</w:t>
      </w:r>
      <w:r>
        <w:rPr>
          <w:rFonts w:hint="eastAsia" w:ascii="仿宋_GB2312" w:eastAsia="仿宋_GB2312"/>
          <w:sz w:val="28"/>
          <w:szCs w:val="28"/>
          <w:lang w:val="en-US" w:eastAsia="zh-CN"/>
        </w:rPr>
        <w:t>4</w:t>
      </w:r>
      <w:r>
        <w:rPr>
          <w:rFonts w:hint="eastAsia" w:ascii="仿宋_GB2312" w:eastAsia="仿宋_GB2312"/>
          <w:sz w:val="28"/>
          <w:szCs w:val="28"/>
        </w:rPr>
        <w:t>.城乡社区支出（类）城乡社区公共设施（款）其他城乡社区公共设施支出（项）：反映除上述项目以外其他用于城乡社区公共设施方面的支出。</w:t>
      </w:r>
    </w:p>
    <w:p w14:paraId="6B991381">
      <w:pPr>
        <w:ind w:firstLine="560" w:firstLineChars="200"/>
        <w:rPr>
          <w:rFonts w:hint="eastAsia" w:ascii="仿宋_GB2312" w:eastAsia="仿宋_GB2312"/>
          <w:sz w:val="28"/>
          <w:szCs w:val="28"/>
        </w:rPr>
      </w:pPr>
      <w:r>
        <w:rPr>
          <w:rFonts w:hint="eastAsia" w:ascii="仿宋_GB2312" w:eastAsia="仿宋_GB2312"/>
          <w:sz w:val="28"/>
          <w:szCs w:val="28"/>
        </w:rPr>
        <w:t>3</w:t>
      </w:r>
      <w:r>
        <w:rPr>
          <w:rFonts w:hint="eastAsia" w:ascii="仿宋_GB2312" w:eastAsia="仿宋_GB2312"/>
          <w:sz w:val="28"/>
          <w:szCs w:val="28"/>
          <w:lang w:val="en-US" w:eastAsia="zh-CN"/>
        </w:rPr>
        <w:t>5</w:t>
      </w:r>
      <w:r>
        <w:rPr>
          <w:rFonts w:hint="eastAsia" w:ascii="仿宋_GB2312" w:eastAsia="仿宋_GB2312"/>
          <w:sz w:val="28"/>
          <w:szCs w:val="28"/>
        </w:rPr>
        <w:t>.城乡社区支出（类）城乡社区环境卫生（款）城乡社区环境卫生（项）：反映城乡社区道路清扫、垃圾清运与处理、公厕建设与维护、园林绿化等方面的支出。</w:t>
      </w:r>
    </w:p>
    <w:p w14:paraId="4D28EAB4">
      <w:pPr>
        <w:ind w:firstLine="560" w:firstLineChars="200"/>
        <w:rPr>
          <w:rFonts w:hint="eastAsia" w:ascii="仿宋_GB2312" w:eastAsia="仿宋_GB2312"/>
          <w:sz w:val="28"/>
          <w:szCs w:val="28"/>
        </w:rPr>
      </w:pPr>
      <w:r>
        <w:rPr>
          <w:rFonts w:hint="eastAsia" w:ascii="仿宋_GB2312" w:eastAsia="仿宋_GB2312"/>
          <w:sz w:val="28"/>
          <w:szCs w:val="28"/>
        </w:rPr>
        <w:t>3</w:t>
      </w:r>
      <w:r>
        <w:rPr>
          <w:rFonts w:hint="eastAsia" w:ascii="仿宋_GB2312" w:eastAsia="仿宋_GB2312"/>
          <w:sz w:val="28"/>
          <w:szCs w:val="28"/>
          <w:lang w:val="en-US" w:eastAsia="zh-CN"/>
        </w:rPr>
        <w:t>6</w:t>
      </w:r>
      <w:r>
        <w:rPr>
          <w:rFonts w:hint="eastAsia" w:ascii="仿宋_GB2312" w:eastAsia="仿宋_GB2312"/>
          <w:sz w:val="28"/>
          <w:szCs w:val="28"/>
        </w:rPr>
        <w:t>.城乡社区支出（类）其他城乡社区支出（款）其他城乡社区支出（项）：反映除上述项目以外其他用于城乡社区方面的支出。</w:t>
      </w:r>
    </w:p>
    <w:p w14:paraId="1FF4D72B">
      <w:pPr>
        <w:ind w:firstLine="560" w:firstLineChars="200"/>
        <w:rPr>
          <w:rFonts w:hint="eastAsia" w:ascii="仿宋_GB2312" w:eastAsia="仿宋_GB2312"/>
          <w:sz w:val="28"/>
          <w:szCs w:val="28"/>
        </w:rPr>
      </w:pPr>
      <w:r>
        <w:rPr>
          <w:rFonts w:hint="eastAsia" w:ascii="仿宋_GB2312" w:eastAsia="仿宋_GB2312"/>
          <w:sz w:val="28"/>
          <w:szCs w:val="28"/>
        </w:rPr>
        <w:t>3</w:t>
      </w:r>
      <w:r>
        <w:rPr>
          <w:rFonts w:hint="eastAsia" w:ascii="仿宋_GB2312" w:eastAsia="仿宋_GB2312"/>
          <w:sz w:val="28"/>
          <w:szCs w:val="28"/>
          <w:lang w:val="en-US" w:eastAsia="zh-CN"/>
        </w:rPr>
        <w:t>7</w:t>
      </w:r>
      <w:r>
        <w:rPr>
          <w:rFonts w:hint="eastAsia" w:ascii="仿宋_GB2312" w:eastAsia="仿宋_GB2312"/>
          <w:sz w:val="28"/>
          <w:szCs w:val="28"/>
        </w:rPr>
        <w:t>.农林水支出（类）水利（款）水资源节约管理与保护（项）：反映水资源节约、监管、配置、调度、保护和基础管理工作的支出。</w:t>
      </w:r>
    </w:p>
    <w:p w14:paraId="4FF33403">
      <w:pPr>
        <w:ind w:firstLine="560" w:firstLineChars="200"/>
        <w:rPr>
          <w:rFonts w:hint="eastAsia" w:ascii="仿宋_GB2312" w:eastAsia="仿宋_GB2312"/>
          <w:sz w:val="28"/>
          <w:szCs w:val="28"/>
        </w:rPr>
      </w:pPr>
      <w:r>
        <w:rPr>
          <w:rFonts w:hint="eastAsia" w:ascii="仿宋_GB2312" w:eastAsia="仿宋_GB2312"/>
          <w:sz w:val="28"/>
          <w:szCs w:val="28"/>
        </w:rPr>
        <w:t>3</w:t>
      </w:r>
      <w:r>
        <w:rPr>
          <w:rFonts w:hint="eastAsia" w:ascii="仿宋_GB2312" w:eastAsia="仿宋_GB2312"/>
          <w:sz w:val="28"/>
          <w:szCs w:val="28"/>
          <w:lang w:val="en-US" w:eastAsia="zh-CN"/>
        </w:rPr>
        <w:t>8</w:t>
      </w:r>
      <w:r>
        <w:rPr>
          <w:rFonts w:hint="eastAsia" w:ascii="仿宋_GB2312" w:eastAsia="仿宋_GB2312"/>
          <w:sz w:val="28"/>
          <w:szCs w:val="28"/>
        </w:rPr>
        <w:t>.农林水支出（类）水利（款）防汛（项）：反映防汛业务支出。有关事项包括防汛物资购置管护，防汛通信设施设备、网络系统、车船设备运行维护，防汛值班、水情报讯、防汛指挥系统运行维护、水毁修复以及防汛组织（如防汛预案编制、检查、演习、宣传、会议等），汛期调用民工及劳动保护，水利设施灾后重建，退田还湖，蓄滞洪区补偿、水情、雨情、决策支持，防汛视频会商，应急度汛，山洪灾害防治等。</w:t>
      </w:r>
    </w:p>
    <w:p w14:paraId="3A7FCC2F">
      <w:pPr>
        <w:ind w:firstLine="560" w:firstLineChars="200"/>
        <w:rPr>
          <w:rFonts w:hint="eastAsia" w:ascii="仿宋_GB2312" w:eastAsia="仿宋_GB2312"/>
          <w:sz w:val="28"/>
          <w:szCs w:val="28"/>
        </w:rPr>
      </w:pPr>
      <w:r>
        <w:rPr>
          <w:rFonts w:hint="eastAsia" w:ascii="仿宋_GB2312" w:eastAsia="仿宋_GB2312"/>
          <w:sz w:val="28"/>
          <w:szCs w:val="28"/>
          <w:lang w:val="en-US" w:eastAsia="zh-CN"/>
        </w:rPr>
        <w:t>39</w:t>
      </w:r>
      <w:r>
        <w:rPr>
          <w:rFonts w:hint="eastAsia" w:ascii="仿宋_GB2312" w:eastAsia="仿宋_GB2312"/>
          <w:sz w:val="28"/>
          <w:szCs w:val="28"/>
        </w:rPr>
        <w:t>.农林水支出（类）水利（款）其他水利支出（项）：反映除上述项目以外其他用于水利方面的支出。</w:t>
      </w:r>
    </w:p>
    <w:p w14:paraId="6FADA840">
      <w:pPr>
        <w:ind w:firstLine="560" w:firstLineChars="200"/>
        <w:rPr>
          <w:rFonts w:hint="eastAsia" w:ascii="仿宋_GB2312" w:eastAsia="仿宋_GB2312"/>
          <w:sz w:val="28"/>
          <w:szCs w:val="28"/>
        </w:rPr>
      </w:pPr>
      <w:r>
        <w:rPr>
          <w:rFonts w:hint="eastAsia" w:ascii="仿宋_GB2312" w:eastAsia="仿宋_GB2312"/>
          <w:sz w:val="28"/>
          <w:szCs w:val="28"/>
        </w:rPr>
        <w:t>4</w:t>
      </w:r>
      <w:r>
        <w:rPr>
          <w:rFonts w:hint="eastAsia" w:ascii="仿宋_GB2312" w:eastAsia="仿宋_GB2312"/>
          <w:sz w:val="28"/>
          <w:szCs w:val="28"/>
          <w:lang w:val="en-US" w:eastAsia="zh-CN"/>
        </w:rPr>
        <w:t>0</w:t>
      </w:r>
      <w:r>
        <w:rPr>
          <w:rFonts w:hint="eastAsia" w:ascii="仿宋_GB2312" w:eastAsia="仿宋_GB2312"/>
          <w:sz w:val="28"/>
          <w:szCs w:val="28"/>
        </w:rPr>
        <w:t>.交通运输支出（类）铁路运输（款）铁路安全（项）：反映涉及铁路安全方面的支出。</w:t>
      </w:r>
    </w:p>
    <w:p w14:paraId="680A28FF">
      <w:pPr>
        <w:ind w:firstLine="560" w:firstLineChars="200"/>
        <w:rPr>
          <w:rFonts w:hint="eastAsia" w:ascii="仿宋_GB2312" w:eastAsia="仿宋_GB2312"/>
          <w:sz w:val="28"/>
          <w:szCs w:val="28"/>
        </w:rPr>
      </w:pPr>
      <w:r>
        <w:rPr>
          <w:rFonts w:hint="eastAsia" w:ascii="仿宋_GB2312" w:eastAsia="仿宋_GB2312"/>
          <w:sz w:val="28"/>
          <w:szCs w:val="28"/>
        </w:rPr>
        <w:t>4</w:t>
      </w:r>
      <w:r>
        <w:rPr>
          <w:rFonts w:hint="eastAsia" w:ascii="仿宋_GB2312" w:eastAsia="仿宋_GB2312"/>
          <w:sz w:val="28"/>
          <w:szCs w:val="28"/>
          <w:lang w:val="en-US" w:eastAsia="zh-CN"/>
        </w:rPr>
        <w:t>1</w:t>
      </w:r>
      <w:r>
        <w:rPr>
          <w:rFonts w:hint="eastAsia" w:ascii="仿宋_GB2312" w:eastAsia="仿宋_GB2312"/>
          <w:sz w:val="28"/>
          <w:szCs w:val="28"/>
        </w:rPr>
        <w:t>.资源勘探工业信息等支出（类）制造业（款）其他制造业支出（项）：反映除上述项目以外其他用于制造业方面的支出。</w:t>
      </w:r>
    </w:p>
    <w:p w14:paraId="23618A91">
      <w:pPr>
        <w:ind w:firstLine="560" w:firstLineChars="200"/>
        <w:rPr>
          <w:rFonts w:hint="eastAsia" w:ascii="仿宋_GB2312" w:eastAsia="仿宋_GB2312"/>
          <w:sz w:val="28"/>
          <w:szCs w:val="28"/>
        </w:rPr>
      </w:pPr>
      <w:r>
        <w:rPr>
          <w:rFonts w:hint="eastAsia" w:ascii="仿宋_GB2312" w:eastAsia="仿宋_GB2312"/>
          <w:sz w:val="28"/>
          <w:szCs w:val="28"/>
        </w:rPr>
        <w:t>4</w:t>
      </w:r>
      <w:r>
        <w:rPr>
          <w:rFonts w:hint="eastAsia" w:ascii="仿宋_GB2312" w:eastAsia="仿宋_GB2312"/>
          <w:sz w:val="28"/>
          <w:szCs w:val="28"/>
          <w:lang w:val="en-US" w:eastAsia="zh-CN"/>
        </w:rPr>
        <w:t>2</w:t>
      </w:r>
      <w:r>
        <w:rPr>
          <w:rFonts w:hint="eastAsia" w:ascii="仿宋_GB2312" w:eastAsia="仿宋_GB2312"/>
          <w:sz w:val="28"/>
          <w:szCs w:val="28"/>
        </w:rPr>
        <w:t>.国有资本经营预算支出（类）解决历史遗留问题及改革成本支出（款）国有企业退休人员社会化管理补助支出（项）：反映用国有资本经营预算收入安排的支持国有企业退休人员移交社区实现社会化管理的支出。</w:t>
      </w:r>
    </w:p>
    <w:p w14:paraId="750406A1">
      <w:pPr>
        <w:ind w:firstLine="560" w:firstLineChars="200"/>
        <w:rPr>
          <w:rFonts w:hint="eastAsia" w:ascii="仿宋_GB2312" w:eastAsia="仿宋_GB2312"/>
          <w:sz w:val="28"/>
          <w:szCs w:val="28"/>
        </w:rPr>
      </w:pPr>
      <w:r>
        <w:rPr>
          <w:rFonts w:hint="eastAsia" w:ascii="仿宋_GB2312" w:eastAsia="仿宋_GB2312"/>
          <w:sz w:val="28"/>
          <w:szCs w:val="28"/>
        </w:rPr>
        <w:t>4</w:t>
      </w:r>
      <w:r>
        <w:rPr>
          <w:rFonts w:hint="eastAsia" w:ascii="仿宋_GB2312" w:eastAsia="仿宋_GB2312"/>
          <w:sz w:val="28"/>
          <w:szCs w:val="28"/>
          <w:lang w:val="en-US" w:eastAsia="zh-CN"/>
        </w:rPr>
        <w:t>3</w:t>
      </w:r>
      <w:r>
        <w:rPr>
          <w:rFonts w:hint="eastAsia" w:ascii="仿宋_GB2312" w:eastAsia="仿宋_GB2312"/>
          <w:sz w:val="28"/>
          <w:szCs w:val="28"/>
        </w:rPr>
        <w:t>.灾害防治及应急管理支出（类）自然灾害防治（款）地质灾害防治（项）：反映防治地质灾害方面的支出。</w:t>
      </w:r>
    </w:p>
    <w:p w14:paraId="7E8E56D7">
      <w:pPr>
        <w:ind w:firstLine="560" w:firstLineChars="200"/>
        <w:rPr>
          <w:rFonts w:hint="eastAsia" w:ascii="仿宋_GB2312" w:eastAsia="仿宋_GB2312"/>
          <w:sz w:val="28"/>
          <w:szCs w:val="28"/>
        </w:rPr>
      </w:pPr>
      <w:r>
        <w:rPr>
          <w:rFonts w:hint="eastAsia" w:ascii="仿宋_GB2312" w:eastAsia="仿宋_GB2312"/>
          <w:sz w:val="28"/>
          <w:szCs w:val="28"/>
        </w:rPr>
        <w:t>4</w:t>
      </w:r>
      <w:r>
        <w:rPr>
          <w:rFonts w:hint="eastAsia" w:ascii="仿宋_GB2312" w:eastAsia="仿宋_GB2312"/>
          <w:sz w:val="28"/>
          <w:szCs w:val="28"/>
          <w:lang w:val="en-US" w:eastAsia="zh-CN"/>
        </w:rPr>
        <w:t>4</w:t>
      </w:r>
      <w:r>
        <w:rPr>
          <w:rFonts w:hint="eastAsia" w:ascii="仿宋_GB2312" w:eastAsia="仿宋_GB2312"/>
          <w:sz w:val="28"/>
          <w:szCs w:val="28"/>
        </w:rPr>
        <w:t>.灾害防治及应急管理支出（类）自然灾害救灾及恢复重建支出（款）其他自然灾害救灾及恢复重建支出（项）：反映除上述项目以外其他用于自然灾害救灾、灾后恢复重建等方面的支出。</w:t>
      </w:r>
    </w:p>
    <w:p w14:paraId="55BA3E9C">
      <w:pPr>
        <w:ind w:firstLine="560" w:firstLineChars="200"/>
        <w:rPr>
          <w:rFonts w:hint="eastAsia" w:ascii="仿宋_GB2312" w:eastAsia="仿宋_GB2312"/>
          <w:bCs/>
          <w:sz w:val="28"/>
          <w:szCs w:val="28"/>
        </w:rPr>
      </w:pPr>
      <w:r>
        <w:rPr>
          <w:rFonts w:hint="eastAsia" w:ascii="仿宋_GB2312" w:eastAsia="仿宋_GB2312"/>
          <w:sz w:val="28"/>
          <w:szCs w:val="28"/>
        </w:rPr>
        <w:t>4</w:t>
      </w:r>
      <w:r>
        <w:rPr>
          <w:rFonts w:hint="eastAsia" w:ascii="仿宋_GB2312" w:eastAsia="仿宋_GB2312"/>
          <w:sz w:val="28"/>
          <w:szCs w:val="28"/>
          <w:lang w:val="en-US" w:eastAsia="zh-CN"/>
        </w:rPr>
        <w:t>5</w:t>
      </w:r>
      <w:r>
        <w:rPr>
          <w:rFonts w:hint="eastAsia" w:ascii="仿宋_GB2312" w:eastAsia="仿宋_GB2312"/>
          <w:sz w:val="28"/>
          <w:szCs w:val="28"/>
        </w:rPr>
        <w:t>.其他支出（类）彩票公益金安排的支出（款）用于体育事业的彩票公益金支出（项）：反映用于体育事业的彩票公益金支出。</w:t>
      </w:r>
    </w:p>
    <w:p w14:paraId="13DF67D6">
      <w:pPr>
        <w:jc w:val="both"/>
        <w:rPr>
          <w:rFonts w:ascii="黑体" w:eastAsia="黑体"/>
          <w:sz w:val="32"/>
          <w:szCs w:val="32"/>
        </w:rPr>
      </w:pPr>
    </w:p>
    <w:p w14:paraId="54D6081C">
      <w:pPr>
        <w:tabs>
          <w:tab w:val="center" w:pos="6979"/>
        </w:tabs>
        <w:spacing w:line="580" w:lineRule="exact"/>
        <w:ind w:firstLine="720" w:firstLineChars="200"/>
        <w:jc w:val="center"/>
        <w:rPr>
          <w:rFonts w:asciiTheme="minorEastAsia" w:hAnsiTheme="minorEastAsia" w:eastAsiaTheme="minorEastAsia"/>
          <w:b/>
          <w:sz w:val="36"/>
          <w:szCs w:val="36"/>
        </w:rPr>
      </w:pPr>
      <w:r>
        <w:rPr>
          <w:rFonts w:hint="eastAsia" w:asciiTheme="minorEastAsia" w:hAnsiTheme="minorEastAsia" w:eastAsiaTheme="minorEastAsia"/>
          <w:b/>
          <w:sz w:val="36"/>
          <w:szCs w:val="36"/>
        </w:rPr>
        <w:t>第四部分</w:t>
      </w:r>
      <w:r>
        <w:rPr>
          <w:rFonts w:hint="eastAsia" w:asciiTheme="minorEastAsia" w:hAnsiTheme="minorEastAsia" w:eastAsiaTheme="minorEastAsia"/>
          <w:b/>
          <w:sz w:val="36"/>
          <w:szCs w:val="36"/>
          <w:lang w:eastAsia="zh-CN"/>
        </w:rPr>
        <w:t>2025年</w:t>
      </w:r>
      <w:r>
        <w:rPr>
          <w:rFonts w:hint="eastAsia" w:asciiTheme="minorEastAsia" w:hAnsiTheme="minorEastAsia" w:eastAsiaTheme="minorEastAsia"/>
          <w:b/>
          <w:sz w:val="36"/>
          <w:szCs w:val="36"/>
        </w:rPr>
        <w:t>度部门绩效评价情况</w:t>
      </w:r>
    </w:p>
    <w:p w14:paraId="08AA0F02">
      <w:pPr>
        <w:tabs>
          <w:tab w:val="center" w:pos="6979"/>
        </w:tabs>
        <w:spacing w:line="580" w:lineRule="exact"/>
        <w:ind w:firstLine="560" w:firstLineChars="200"/>
        <w:jc w:val="center"/>
        <w:rPr>
          <w:rFonts w:hint="eastAsia" w:ascii="华文中宋" w:hAnsi="华文中宋" w:eastAsia="华文中宋"/>
          <w:sz w:val="28"/>
          <w:szCs w:val="28"/>
        </w:rPr>
      </w:pPr>
    </w:p>
    <w:p w14:paraId="0B0072C1">
      <w:pPr>
        <w:spacing w:line="580" w:lineRule="exact"/>
        <w:ind w:firstLine="640" w:firstLineChars="200"/>
        <w:rPr>
          <w:rFonts w:hint="eastAsia" w:ascii="黑体" w:hAnsi="黑体" w:eastAsia="黑体"/>
          <w:sz w:val="32"/>
          <w:szCs w:val="32"/>
        </w:rPr>
      </w:pPr>
      <w:r>
        <w:rPr>
          <w:rFonts w:hint="eastAsia" w:ascii="黑体" w:eastAsia="黑体"/>
          <w:sz w:val="32"/>
          <w:szCs w:val="32"/>
        </w:rPr>
        <w:t xml:space="preserve"> </w:t>
      </w:r>
      <w:r>
        <w:rPr>
          <w:rFonts w:hint="eastAsia" w:ascii="黑体" w:hAnsi="黑体" w:eastAsia="黑体"/>
          <w:sz w:val="32"/>
          <w:szCs w:val="32"/>
        </w:rPr>
        <w:t>一、部门整体绩效评价报告</w:t>
      </w:r>
    </w:p>
    <w:p w14:paraId="3998F02C">
      <w:pPr>
        <w:spacing w:line="580" w:lineRule="exact"/>
        <w:ind w:firstLine="640"/>
        <w:rPr>
          <w:rFonts w:hint="eastAsia" w:ascii="楷体_GB2312" w:hAnsi="Calibri" w:eastAsia="楷体_GB2312"/>
          <w:b/>
          <w:sz w:val="32"/>
          <w:szCs w:val="32"/>
        </w:rPr>
      </w:pPr>
      <w:r>
        <w:rPr>
          <w:rFonts w:hint="eastAsia" w:ascii="楷体_GB2312" w:eastAsia="楷体_GB2312"/>
          <w:b/>
          <w:sz w:val="32"/>
          <w:szCs w:val="32"/>
        </w:rPr>
        <w:t>（一）部门概况</w:t>
      </w:r>
    </w:p>
    <w:p w14:paraId="29C53F50">
      <w:pPr>
        <w:spacing w:line="580" w:lineRule="exact"/>
        <w:ind w:firstLine="640"/>
        <w:rPr>
          <w:rFonts w:hint="eastAsia" w:ascii="仿宋_GB2312" w:eastAsia="仿宋_GB2312"/>
          <w:sz w:val="32"/>
          <w:szCs w:val="32"/>
        </w:rPr>
      </w:pPr>
      <w:bookmarkStart w:id="0" w:name="_Toc268005755"/>
      <w:r>
        <w:rPr>
          <w:rFonts w:hint="eastAsia" w:ascii="仿宋_GB2312" w:eastAsia="仿宋_GB2312"/>
          <w:sz w:val="32"/>
          <w:szCs w:val="32"/>
        </w:rPr>
        <w:t>1.部门职责情况</w:t>
      </w:r>
    </w:p>
    <w:p w14:paraId="4BF3F514">
      <w:pPr>
        <w:spacing w:line="580" w:lineRule="exact"/>
        <w:ind w:firstLine="640"/>
        <w:rPr>
          <w:rFonts w:hint="eastAsia" w:ascii="仿宋_GB2312" w:eastAsia="仿宋_GB2312"/>
          <w:sz w:val="32"/>
          <w:szCs w:val="32"/>
        </w:rPr>
      </w:pPr>
      <w:r>
        <w:rPr>
          <w:rFonts w:hint="eastAsia" w:ascii="仿宋_GB2312" w:eastAsia="仿宋_GB2312"/>
          <w:sz w:val="32"/>
          <w:szCs w:val="32"/>
        </w:rPr>
        <w:t>（1）贯彻执行法律、法规、规章和国务院、市政府、区政府的决定、命令，依法管理基层公共事务。</w:t>
      </w:r>
    </w:p>
    <w:p w14:paraId="27068C7B">
      <w:pPr>
        <w:spacing w:line="580" w:lineRule="exact"/>
        <w:ind w:firstLine="640"/>
        <w:rPr>
          <w:rFonts w:hint="eastAsia" w:ascii="仿宋_GB2312" w:eastAsia="仿宋_GB2312"/>
          <w:sz w:val="32"/>
          <w:szCs w:val="32"/>
        </w:rPr>
      </w:pPr>
      <w:r>
        <w:rPr>
          <w:rFonts w:hint="eastAsia" w:ascii="仿宋_GB2312" w:eastAsia="仿宋_GB2312"/>
          <w:sz w:val="32"/>
          <w:szCs w:val="32"/>
        </w:rPr>
        <w:t>（2）承担辖区市容环境卫生、绿化美化的管理工作，推进街巷长制、河长制工作，组织、协调城市管理综合执法和环境秩序综合治理工作，推进城市精细化管理。</w:t>
      </w:r>
    </w:p>
    <w:p w14:paraId="26B0E12B">
      <w:pPr>
        <w:spacing w:line="580" w:lineRule="exact"/>
        <w:ind w:firstLine="640"/>
        <w:rPr>
          <w:rFonts w:hint="eastAsia" w:ascii="仿宋_GB2312" w:eastAsia="仿宋_GB2312"/>
          <w:sz w:val="32"/>
          <w:szCs w:val="32"/>
        </w:rPr>
      </w:pPr>
      <w:r>
        <w:rPr>
          <w:rFonts w:hint="eastAsia" w:ascii="仿宋_GB2312" w:eastAsia="仿宋_GB2312"/>
          <w:sz w:val="32"/>
          <w:szCs w:val="32"/>
        </w:rPr>
        <w:t>（3）协助依法履行安全生产、消防安全、食品安全、环境保护、劳动保障、流动人口及出租房屋监督管理工作，承担辖区应急、防汛和防灾减灾工作。</w:t>
      </w:r>
    </w:p>
    <w:p w14:paraId="330A4989">
      <w:pPr>
        <w:spacing w:line="580" w:lineRule="exact"/>
        <w:ind w:firstLine="640"/>
        <w:rPr>
          <w:rFonts w:hint="eastAsia" w:ascii="仿宋_GB2312" w:eastAsia="仿宋_GB2312"/>
          <w:sz w:val="32"/>
          <w:szCs w:val="32"/>
        </w:rPr>
      </w:pPr>
      <w:r>
        <w:rPr>
          <w:rFonts w:hint="eastAsia" w:ascii="仿宋_GB2312" w:eastAsia="仿宋_GB2312"/>
          <w:sz w:val="32"/>
          <w:szCs w:val="32"/>
        </w:rPr>
        <w:t>（4）参与制定并组织实施社区建设规划和公共服务设施规划，组织辖区单位、居民和志愿者队伍为社区发展服务。</w:t>
      </w:r>
    </w:p>
    <w:p w14:paraId="04AA249C">
      <w:pPr>
        <w:spacing w:line="580" w:lineRule="exact"/>
        <w:ind w:firstLine="640"/>
        <w:rPr>
          <w:rFonts w:hint="eastAsia" w:ascii="仿宋_GB2312" w:eastAsia="仿宋_GB2312"/>
          <w:sz w:val="32"/>
          <w:szCs w:val="32"/>
        </w:rPr>
      </w:pPr>
      <w:r>
        <w:rPr>
          <w:rFonts w:hint="eastAsia" w:ascii="仿宋_GB2312" w:eastAsia="仿宋_GB2312"/>
          <w:sz w:val="32"/>
          <w:szCs w:val="32"/>
        </w:rPr>
        <w:t>（5）负责社区居民委员会建设，指导社区居民委员会工作，培育、发展社区社会组织，指导、监督社区业主委员会。</w:t>
      </w:r>
    </w:p>
    <w:p w14:paraId="4285E13E">
      <w:pPr>
        <w:spacing w:line="580" w:lineRule="exact"/>
        <w:ind w:firstLine="640"/>
        <w:rPr>
          <w:rFonts w:hint="eastAsia" w:ascii="仿宋_GB2312" w:eastAsia="仿宋_GB2312"/>
          <w:sz w:val="32"/>
          <w:szCs w:val="32"/>
        </w:rPr>
      </w:pPr>
      <w:r>
        <w:rPr>
          <w:rFonts w:hint="eastAsia" w:ascii="仿宋_GB2312" w:eastAsia="仿宋_GB2312"/>
          <w:sz w:val="32"/>
          <w:szCs w:val="32"/>
        </w:rPr>
        <w:t>（6）推进居民自治，及时处理并向上级政府反映居民的意见和要求。动员社会力量参与社区治理，推动形成社区共治合力。</w:t>
      </w:r>
    </w:p>
    <w:p w14:paraId="58BB6078">
      <w:pPr>
        <w:spacing w:line="580" w:lineRule="exact"/>
        <w:ind w:firstLine="640"/>
        <w:rPr>
          <w:rFonts w:hint="eastAsia" w:ascii="仿宋_GB2312" w:eastAsia="仿宋_GB2312"/>
          <w:sz w:val="32"/>
          <w:szCs w:val="32"/>
        </w:rPr>
      </w:pPr>
      <w:r>
        <w:rPr>
          <w:rFonts w:hint="eastAsia" w:ascii="仿宋_GB2312" w:eastAsia="仿宋_GB2312"/>
          <w:sz w:val="32"/>
          <w:szCs w:val="32"/>
        </w:rPr>
        <w:t>（7）组织开展群众性文化、体育、科普活动，开展法治宣传和社会公德教育，推动社区公益事业发展。</w:t>
      </w:r>
    </w:p>
    <w:p w14:paraId="29CD3782">
      <w:pPr>
        <w:spacing w:line="580" w:lineRule="exact"/>
        <w:ind w:firstLine="640"/>
        <w:rPr>
          <w:rFonts w:hint="eastAsia" w:ascii="仿宋_GB2312" w:eastAsia="仿宋_GB2312"/>
          <w:sz w:val="32"/>
          <w:szCs w:val="32"/>
        </w:rPr>
      </w:pPr>
      <w:r>
        <w:rPr>
          <w:rFonts w:hint="eastAsia" w:ascii="仿宋_GB2312" w:eastAsia="仿宋_GB2312"/>
          <w:sz w:val="32"/>
          <w:szCs w:val="32"/>
        </w:rPr>
        <w:t>（8）组织开展公共服务，落实人力社保、民政、卫生健康、教育、住房保障、便民服务等政策，维护老年人、妇女、未成年人、残疾人等合法权益。</w:t>
      </w:r>
    </w:p>
    <w:p w14:paraId="041A3B39">
      <w:pPr>
        <w:spacing w:line="580" w:lineRule="exact"/>
        <w:ind w:firstLine="640"/>
        <w:rPr>
          <w:rFonts w:hint="eastAsia" w:ascii="仿宋_GB2312" w:eastAsia="仿宋_GB2312"/>
          <w:sz w:val="32"/>
          <w:szCs w:val="32"/>
        </w:rPr>
      </w:pPr>
      <w:r>
        <w:rPr>
          <w:rFonts w:hint="eastAsia" w:ascii="仿宋_GB2312" w:eastAsia="仿宋_GB2312"/>
          <w:sz w:val="32"/>
          <w:szCs w:val="32"/>
        </w:rPr>
        <w:t>（9）完成区委、区政府交办的其他任务。</w:t>
      </w:r>
    </w:p>
    <w:p w14:paraId="01CF5E40">
      <w:pPr>
        <w:spacing w:line="580" w:lineRule="exact"/>
        <w:ind w:firstLine="640"/>
        <w:rPr>
          <w:rFonts w:hint="eastAsia" w:ascii="仿宋_GB2312" w:eastAsia="仿宋_GB2312"/>
          <w:sz w:val="32"/>
          <w:szCs w:val="32"/>
        </w:rPr>
      </w:pPr>
      <w:r>
        <w:rPr>
          <w:rFonts w:hint="eastAsia" w:ascii="仿宋_GB2312" w:eastAsia="仿宋_GB2312"/>
          <w:sz w:val="32"/>
          <w:szCs w:val="32"/>
        </w:rPr>
        <w:t>2.部门机构设置情况</w:t>
      </w:r>
    </w:p>
    <w:p w14:paraId="3277CA42">
      <w:pPr>
        <w:spacing w:line="580" w:lineRule="exact"/>
        <w:ind w:firstLine="640"/>
        <w:rPr>
          <w:rFonts w:hint="eastAsia" w:ascii="仿宋_GB2312" w:eastAsia="仿宋_GB2312"/>
          <w:sz w:val="32"/>
          <w:szCs w:val="32"/>
        </w:rPr>
      </w:pPr>
      <w:r>
        <w:rPr>
          <w:rFonts w:hint="eastAsia" w:ascii="仿宋_GB2312" w:eastAsia="仿宋_GB2312"/>
          <w:sz w:val="32"/>
          <w:szCs w:val="32"/>
        </w:rPr>
        <w:t>本部门共设8个内设机构，分别为：综合办公室、党群工作办公室、平安建设办公室、城市管理办公室、社区建设办公室、民生保障办公室、纪工委（监察组）、综合行政执法队；下设3个事业单位，分别为北京市门头沟区大台街道便民服务中心（北京市门头沟区大台街道退役军人服务站）、北京市门头沟区大台街道市民诉求处置中心（北京市门头沟区大台街道综治中心）、北京市门头沟区大台街道市民活动中心（北京市门头沟区大台街道党群活动中心）。</w:t>
      </w:r>
    </w:p>
    <w:p w14:paraId="517A408D">
      <w:pPr>
        <w:spacing w:line="580" w:lineRule="exact"/>
        <w:ind w:firstLine="640"/>
        <w:rPr>
          <w:rFonts w:hint="eastAsia" w:ascii="仿宋_GB2312" w:eastAsia="仿宋_GB2312"/>
          <w:sz w:val="32"/>
          <w:szCs w:val="32"/>
        </w:rPr>
      </w:pPr>
      <w:r>
        <w:rPr>
          <w:rFonts w:hint="eastAsia" w:ascii="仿宋_GB2312" w:eastAsia="仿宋_GB2312"/>
          <w:sz w:val="32"/>
          <w:szCs w:val="32"/>
        </w:rPr>
        <w:t>3.</w:t>
      </w:r>
      <w:r>
        <w:rPr>
          <w:rFonts w:hint="eastAsia" w:ascii="仿宋_GB2312" w:eastAsia="仿宋_GB2312"/>
          <w:sz w:val="32"/>
          <w:szCs w:val="32"/>
          <w:lang w:eastAsia="zh-CN"/>
        </w:rPr>
        <w:t>2025年</w:t>
      </w:r>
      <w:r>
        <w:rPr>
          <w:rFonts w:hint="eastAsia" w:ascii="仿宋_GB2312" w:eastAsia="仿宋_GB2312"/>
          <w:sz w:val="32"/>
          <w:szCs w:val="32"/>
        </w:rPr>
        <w:t>主要工作任务</w:t>
      </w:r>
    </w:p>
    <w:p w14:paraId="63E95B76">
      <w:pPr>
        <w:spacing w:line="580" w:lineRule="exact"/>
        <w:ind w:firstLine="640"/>
        <w:rPr>
          <w:rFonts w:hint="eastAsia" w:ascii="仿宋_GB2312" w:eastAsia="仿宋_GB2312"/>
          <w:sz w:val="32"/>
          <w:szCs w:val="32"/>
        </w:rPr>
      </w:pPr>
      <w:r>
        <w:rPr>
          <w:rFonts w:hint="eastAsia" w:ascii="仿宋_GB2312" w:eastAsia="仿宋_GB2312"/>
          <w:sz w:val="32"/>
          <w:szCs w:val="32"/>
        </w:rPr>
        <w:t>2025年，大台街道在区委、区政府的坚强领导下，深入贯彻党的二十大和二十届历次全会精神，坚持党建引领，以社会治理创新为核心，以“接诉即办”为牵引，围绕“京西福地门头沟”品牌发展建设，持续描绘好“京西矿谷·新生大台”美丽画卷。</w:t>
      </w:r>
    </w:p>
    <w:p w14:paraId="08B4345D">
      <w:pPr>
        <w:spacing w:line="580" w:lineRule="exact"/>
        <w:ind w:firstLine="640"/>
        <w:rPr>
          <w:rFonts w:hint="eastAsia" w:ascii="仿宋_GB2312" w:eastAsia="仿宋_GB2312"/>
          <w:sz w:val="32"/>
          <w:szCs w:val="32"/>
        </w:rPr>
      </w:pPr>
      <w:r>
        <w:rPr>
          <w:rFonts w:hint="eastAsia" w:ascii="仿宋_GB2312" w:eastAsia="仿宋_GB2312"/>
          <w:sz w:val="32"/>
          <w:szCs w:val="32"/>
        </w:rPr>
        <w:t>（1）党建引领，绘就基层治理新图景</w:t>
      </w:r>
    </w:p>
    <w:p w14:paraId="2D8D9C1F">
      <w:pPr>
        <w:spacing w:line="580" w:lineRule="exact"/>
        <w:ind w:firstLine="640"/>
        <w:rPr>
          <w:rFonts w:hint="eastAsia" w:ascii="仿宋_GB2312" w:eastAsia="仿宋_GB2312"/>
          <w:sz w:val="32"/>
          <w:szCs w:val="32"/>
        </w:rPr>
      </w:pPr>
      <w:r>
        <w:rPr>
          <w:rFonts w:hint="eastAsia" w:ascii="仿宋_GB2312" w:eastAsia="仿宋_GB2312"/>
          <w:sz w:val="32"/>
          <w:szCs w:val="32"/>
        </w:rPr>
        <w:t>一是深学细悟，学习教育优作风。二是守正创新，思想引领润人心。三是提升效能，队伍建设强筋骨。四是聚焦主业，正风肃纪强正气。</w:t>
      </w:r>
    </w:p>
    <w:p w14:paraId="7A4CCDCB">
      <w:pPr>
        <w:spacing w:line="580" w:lineRule="exact"/>
        <w:ind w:firstLine="640"/>
        <w:rPr>
          <w:rFonts w:hint="eastAsia" w:ascii="仿宋_GB2312" w:eastAsia="仿宋_GB2312"/>
          <w:sz w:val="32"/>
          <w:szCs w:val="32"/>
        </w:rPr>
      </w:pPr>
      <w:r>
        <w:rPr>
          <w:rFonts w:hint="eastAsia" w:ascii="仿宋_GB2312" w:eastAsia="仿宋_GB2312"/>
          <w:sz w:val="32"/>
          <w:szCs w:val="32"/>
        </w:rPr>
        <w:t>（2）攻坚克难，书写幸福生活新篇章</w:t>
      </w:r>
    </w:p>
    <w:p w14:paraId="57F8D6BA">
      <w:pPr>
        <w:spacing w:line="580" w:lineRule="exact"/>
        <w:ind w:firstLine="640"/>
        <w:rPr>
          <w:rFonts w:hint="eastAsia" w:ascii="仿宋_GB2312" w:eastAsia="仿宋_GB2312"/>
          <w:sz w:val="32"/>
          <w:szCs w:val="32"/>
        </w:rPr>
      </w:pPr>
      <w:r>
        <w:rPr>
          <w:rFonts w:hint="eastAsia" w:ascii="仿宋_GB2312" w:eastAsia="仿宋_GB2312"/>
          <w:sz w:val="32"/>
          <w:szCs w:val="32"/>
        </w:rPr>
        <w:t>一是上下同心聚焦民生诉求，全力以赴办好惠民实事。二是靶向破解历史遗留难题，标本兼治守护群众安居。三是统筹推进人居环境治理，奋力绘就宜居生活画卷。四是矢志不渝兜牢民生底线，倾情守护万家烟火。</w:t>
      </w:r>
    </w:p>
    <w:p w14:paraId="060242EA">
      <w:pPr>
        <w:spacing w:line="580" w:lineRule="exact"/>
        <w:ind w:firstLine="640"/>
        <w:rPr>
          <w:rFonts w:hint="eastAsia" w:ascii="仿宋_GB2312" w:eastAsia="仿宋_GB2312"/>
          <w:sz w:val="32"/>
          <w:szCs w:val="32"/>
        </w:rPr>
      </w:pPr>
      <w:r>
        <w:rPr>
          <w:rFonts w:hint="eastAsia" w:ascii="仿宋_GB2312" w:eastAsia="仿宋_GB2312"/>
          <w:sz w:val="32"/>
          <w:szCs w:val="32"/>
        </w:rPr>
        <w:t>（3）实干担当，开创转型发展新局面</w:t>
      </w:r>
    </w:p>
    <w:p w14:paraId="06896FEA">
      <w:pPr>
        <w:spacing w:line="580" w:lineRule="exact"/>
        <w:ind w:firstLine="640"/>
        <w:rPr>
          <w:rFonts w:hint="eastAsia" w:ascii="仿宋_GB2312" w:eastAsia="仿宋_GB2312"/>
          <w:sz w:val="32"/>
          <w:szCs w:val="32"/>
        </w:rPr>
      </w:pPr>
      <w:r>
        <w:rPr>
          <w:rFonts w:hint="eastAsia" w:ascii="仿宋_GB2312" w:eastAsia="仿宋_GB2312"/>
          <w:sz w:val="32"/>
          <w:szCs w:val="32"/>
        </w:rPr>
        <w:t>一是坚持深挖潜力，文旅研学取得新成果。二是坚守底线思维，安全保障取得新作为。三是立足传统文化，文化服务迈入新阶段。四是把握资源优势，招商引资实现新突破。</w:t>
      </w:r>
    </w:p>
    <w:bookmarkEnd w:id="0"/>
    <w:p w14:paraId="71770054">
      <w:pPr>
        <w:spacing w:line="580" w:lineRule="exact"/>
        <w:ind w:firstLine="640"/>
        <w:rPr>
          <w:rFonts w:hint="eastAsia" w:ascii="仿宋_GB2312" w:eastAsia="仿宋_GB2312"/>
          <w:sz w:val="32"/>
          <w:szCs w:val="32"/>
        </w:rPr>
      </w:pPr>
      <w:bookmarkStart w:id="1" w:name="_Toc268005759"/>
      <w:bookmarkStart w:id="2" w:name="_Toc263686375"/>
      <w:r>
        <w:rPr>
          <w:rFonts w:hint="eastAsia" w:ascii="仿宋_GB2312" w:eastAsia="仿宋_GB2312"/>
          <w:sz w:val="32"/>
          <w:szCs w:val="32"/>
        </w:rPr>
        <w:t>4.部门</w:t>
      </w:r>
      <w:bookmarkEnd w:id="1"/>
      <w:r>
        <w:rPr>
          <w:rFonts w:hint="eastAsia" w:ascii="仿宋_GB2312" w:eastAsia="仿宋_GB2312"/>
          <w:sz w:val="32"/>
          <w:szCs w:val="32"/>
        </w:rPr>
        <w:t>整体绩效目标设立情况</w:t>
      </w:r>
    </w:p>
    <w:tbl>
      <w:tblPr>
        <w:tblStyle w:val="10"/>
        <w:tblW w:w="5000" w:type="pct"/>
        <w:tblInd w:w="0" w:type="dxa"/>
        <w:tblLayout w:type="autofit"/>
        <w:tblCellMar>
          <w:top w:w="0" w:type="dxa"/>
          <w:left w:w="108" w:type="dxa"/>
          <w:bottom w:w="0" w:type="dxa"/>
          <w:right w:w="108" w:type="dxa"/>
        </w:tblCellMar>
      </w:tblPr>
      <w:tblGrid>
        <w:gridCol w:w="1644"/>
        <w:gridCol w:w="2416"/>
        <w:gridCol w:w="2156"/>
        <w:gridCol w:w="3856"/>
        <w:gridCol w:w="2162"/>
        <w:gridCol w:w="2552"/>
      </w:tblGrid>
      <w:tr w14:paraId="0FC5BBAC">
        <w:tblPrEx>
          <w:tblCellMar>
            <w:top w:w="0" w:type="dxa"/>
            <w:left w:w="108" w:type="dxa"/>
            <w:bottom w:w="0" w:type="dxa"/>
            <w:right w:w="108" w:type="dxa"/>
          </w:tblCellMar>
        </w:tblPrEx>
        <w:trPr>
          <w:trHeight w:val="275" w:hRule="atLeast"/>
        </w:trPr>
        <w:tc>
          <w:tcPr>
            <w:tcW w:w="680" w:type="pct"/>
            <w:tcBorders>
              <w:top w:val="single" w:color="auto" w:sz="4" w:space="0"/>
              <w:left w:val="single" w:color="auto" w:sz="4" w:space="0"/>
              <w:bottom w:val="single" w:color="auto" w:sz="4" w:space="0"/>
              <w:right w:val="single" w:color="auto" w:sz="4" w:space="0"/>
            </w:tcBorders>
            <w:noWrap/>
            <w:vAlign w:val="bottom"/>
          </w:tcPr>
          <w:p w14:paraId="7477EF8E">
            <w:pPr>
              <w:spacing w:line="520" w:lineRule="exact"/>
              <w:jc w:val="center"/>
              <w:rPr>
                <w:rFonts w:hint="eastAsia" w:ascii="仿宋_GB2312" w:eastAsia="仿宋_GB2312"/>
                <w:sz w:val="28"/>
                <w:szCs w:val="28"/>
              </w:rPr>
            </w:pPr>
            <w:r>
              <w:rPr>
                <w:rFonts w:hint="eastAsia" w:ascii="仿宋_GB2312" w:eastAsia="仿宋_GB2312"/>
                <w:sz w:val="28"/>
                <w:szCs w:val="28"/>
              </w:rPr>
              <w:t>序号</w:t>
            </w:r>
          </w:p>
        </w:tc>
        <w:tc>
          <w:tcPr>
            <w:tcW w:w="941" w:type="pct"/>
            <w:tcBorders>
              <w:top w:val="single" w:color="auto" w:sz="4" w:space="0"/>
              <w:left w:val="nil"/>
              <w:bottom w:val="single" w:color="auto" w:sz="4" w:space="0"/>
              <w:right w:val="single" w:color="auto" w:sz="4" w:space="0"/>
            </w:tcBorders>
            <w:noWrap/>
            <w:vAlign w:val="bottom"/>
          </w:tcPr>
          <w:p w14:paraId="3E23F60C">
            <w:pPr>
              <w:spacing w:line="520" w:lineRule="exact"/>
              <w:jc w:val="center"/>
              <w:rPr>
                <w:rFonts w:hint="eastAsia" w:ascii="仿宋_GB2312" w:eastAsia="仿宋_GB2312"/>
                <w:sz w:val="28"/>
                <w:szCs w:val="28"/>
              </w:rPr>
            </w:pPr>
            <w:r>
              <w:rPr>
                <w:rFonts w:hint="eastAsia" w:ascii="仿宋_GB2312" w:eastAsia="仿宋_GB2312"/>
                <w:sz w:val="28"/>
                <w:szCs w:val="28"/>
              </w:rPr>
              <w:t>三级指标</w:t>
            </w:r>
          </w:p>
        </w:tc>
        <w:tc>
          <w:tcPr>
            <w:tcW w:w="853" w:type="pct"/>
            <w:tcBorders>
              <w:top w:val="single" w:color="auto" w:sz="4" w:space="0"/>
              <w:left w:val="nil"/>
              <w:bottom w:val="single" w:color="auto" w:sz="4" w:space="0"/>
              <w:right w:val="single" w:color="auto" w:sz="4" w:space="0"/>
            </w:tcBorders>
            <w:noWrap/>
            <w:vAlign w:val="bottom"/>
          </w:tcPr>
          <w:p w14:paraId="547D9837">
            <w:pPr>
              <w:spacing w:line="520" w:lineRule="exact"/>
              <w:jc w:val="center"/>
              <w:rPr>
                <w:rFonts w:hint="eastAsia" w:ascii="仿宋_GB2312" w:eastAsia="仿宋_GB2312"/>
                <w:sz w:val="28"/>
                <w:szCs w:val="28"/>
              </w:rPr>
            </w:pPr>
            <w:r>
              <w:rPr>
                <w:rFonts w:hint="eastAsia" w:ascii="仿宋_GB2312" w:eastAsia="仿宋_GB2312"/>
                <w:sz w:val="28"/>
                <w:szCs w:val="28"/>
              </w:rPr>
              <w:t>指标性质</w:t>
            </w:r>
          </w:p>
        </w:tc>
        <w:tc>
          <w:tcPr>
            <w:tcW w:w="683" w:type="pct"/>
            <w:tcBorders>
              <w:top w:val="single" w:color="auto" w:sz="4" w:space="0"/>
              <w:left w:val="nil"/>
              <w:bottom w:val="single" w:color="auto" w:sz="4" w:space="0"/>
              <w:right w:val="single" w:color="auto" w:sz="4" w:space="0"/>
            </w:tcBorders>
            <w:noWrap/>
            <w:vAlign w:val="bottom"/>
          </w:tcPr>
          <w:p w14:paraId="3D5A552E">
            <w:pPr>
              <w:spacing w:line="520" w:lineRule="exact"/>
              <w:jc w:val="center"/>
              <w:rPr>
                <w:rFonts w:hint="eastAsia" w:ascii="仿宋_GB2312" w:eastAsia="仿宋_GB2312"/>
                <w:sz w:val="28"/>
                <w:szCs w:val="28"/>
              </w:rPr>
            </w:pPr>
            <w:r>
              <w:rPr>
                <w:rFonts w:hint="eastAsia" w:ascii="仿宋_GB2312" w:eastAsia="仿宋_GB2312"/>
                <w:sz w:val="28"/>
                <w:szCs w:val="28"/>
              </w:rPr>
              <w:t>指标值</w:t>
            </w:r>
          </w:p>
        </w:tc>
        <w:tc>
          <w:tcPr>
            <w:tcW w:w="855" w:type="pct"/>
            <w:tcBorders>
              <w:top w:val="single" w:color="auto" w:sz="4" w:space="0"/>
              <w:left w:val="nil"/>
              <w:bottom w:val="single" w:color="auto" w:sz="4" w:space="0"/>
              <w:right w:val="single" w:color="auto" w:sz="4" w:space="0"/>
            </w:tcBorders>
          </w:tcPr>
          <w:p w14:paraId="314EF3F5">
            <w:pPr>
              <w:spacing w:line="520" w:lineRule="exact"/>
              <w:jc w:val="center"/>
              <w:rPr>
                <w:rFonts w:hint="eastAsia" w:ascii="仿宋_GB2312" w:eastAsia="仿宋_GB2312"/>
                <w:sz w:val="28"/>
                <w:szCs w:val="28"/>
              </w:rPr>
            </w:pPr>
            <w:r>
              <w:rPr>
                <w:rFonts w:hint="eastAsia" w:ascii="仿宋_GB2312" w:eastAsia="仿宋_GB2312"/>
                <w:sz w:val="28"/>
                <w:szCs w:val="28"/>
              </w:rPr>
              <w:t>度量单位</w:t>
            </w:r>
          </w:p>
        </w:tc>
        <w:tc>
          <w:tcPr>
            <w:tcW w:w="987" w:type="pct"/>
            <w:tcBorders>
              <w:top w:val="single" w:color="auto" w:sz="4" w:space="0"/>
              <w:left w:val="nil"/>
              <w:bottom w:val="single" w:color="auto" w:sz="4" w:space="0"/>
              <w:right w:val="single" w:color="auto" w:sz="4" w:space="0"/>
            </w:tcBorders>
          </w:tcPr>
          <w:p w14:paraId="4D7B9A5D">
            <w:pPr>
              <w:spacing w:line="520" w:lineRule="exact"/>
              <w:jc w:val="center"/>
              <w:rPr>
                <w:rFonts w:hint="eastAsia" w:ascii="仿宋_GB2312" w:eastAsia="仿宋_GB2312"/>
                <w:sz w:val="28"/>
                <w:szCs w:val="28"/>
              </w:rPr>
            </w:pPr>
            <w:r>
              <w:rPr>
                <w:rFonts w:hint="eastAsia" w:ascii="仿宋_GB2312" w:eastAsia="仿宋_GB2312"/>
                <w:sz w:val="28"/>
                <w:szCs w:val="28"/>
              </w:rPr>
              <w:t>指标权重</w:t>
            </w:r>
          </w:p>
        </w:tc>
      </w:tr>
      <w:tr w14:paraId="6689B23B">
        <w:tblPrEx>
          <w:tblCellMar>
            <w:top w:w="0" w:type="dxa"/>
            <w:left w:w="108" w:type="dxa"/>
            <w:bottom w:w="0" w:type="dxa"/>
            <w:right w:w="108" w:type="dxa"/>
          </w:tblCellMar>
        </w:tblPrEx>
        <w:trPr>
          <w:trHeight w:val="503" w:hRule="atLeast"/>
        </w:trPr>
        <w:tc>
          <w:tcPr>
            <w:tcW w:w="680" w:type="pct"/>
            <w:tcBorders>
              <w:top w:val="nil"/>
              <w:left w:val="single" w:color="auto" w:sz="4" w:space="0"/>
              <w:bottom w:val="single" w:color="auto" w:sz="4" w:space="0"/>
              <w:right w:val="single" w:color="auto" w:sz="4" w:space="0"/>
            </w:tcBorders>
            <w:noWrap/>
            <w:vAlign w:val="center"/>
          </w:tcPr>
          <w:p w14:paraId="575F5F85">
            <w:pPr>
              <w:spacing w:line="520" w:lineRule="exact"/>
              <w:jc w:val="center"/>
              <w:rPr>
                <w:rFonts w:hint="eastAsia" w:ascii="仿宋_GB2312" w:eastAsia="仿宋_GB2312"/>
                <w:sz w:val="28"/>
                <w:szCs w:val="28"/>
              </w:rPr>
            </w:pPr>
            <w:r>
              <w:rPr>
                <w:rFonts w:hint="eastAsia" w:ascii="仿宋_GB2312" w:eastAsia="仿宋_GB2312"/>
                <w:sz w:val="28"/>
                <w:szCs w:val="28"/>
              </w:rPr>
              <w:t>1</w:t>
            </w:r>
          </w:p>
        </w:tc>
        <w:tc>
          <w:tcPr>
            <w:tcW w:w="941" w:type="pct"/>
            <w:tcBorders>
              <w:top w:val="nil"/>
              <w:left w:val="nil"/>
              <w:bottom w:val="single" w:color="auto" w:sz="4" w:space="0"/>
              <w:right w:val="single" w:color="auto" w:sz="4" w:space="0"/>
            </w:tcBorders>
            <w:noWrap/>
            <w:vAlign w:val="center"/>
          </w:tcPr>
          <w:p w14:paraId="4F446BA6">
            <w:pPr>
              <w:spacing w:line="520" w:lineRule="exact"/>
              <w:jc w:val="center"/>
              <w:rPr>
                <w:rFonts w:hint="eastAsia" w:ascii="仿宋_GB2312" w:eastAsia="仿宋_GB2312"/>
                <w:sz w:val="28"/>
                <w:szCs w:val="28"/>
              </w:rPr>
            </w:pPr>
            <w:r>
              <w:rPr>
                <w:rFonts w:hint="eastAsia" w:ascii="仿宋_GB2312" w:hAnsi="仿宋" w:eastAsia="仿宋_GB2312" w:cs="Times New Roman"/>
                <w:sz w:val="28"/>
                <w:szCs w:val="28"/>
              </w:rPr>
              <w:t>发放时效</w:t>
            </w:r>
          </w:p>
        </w:tc>
        <w:tc>
          <w:tcPr>
            <w:tcW w:w="853" w:type="pct"/>
            <w:tcBorders>
              <w:top w:val="nil"/>
              <w:left w:val="nil"/>
              <w:bottom w:val="single" w:color="auto" w:sz="4" w:space="0"/>
              <w:right w:val="single" w:color="auto" w:sz="4" w:space="0"/>
            </w:tcBorders>
            <w:noWrap/>
            <w:vAlign w:val="center"/>
          </w:tcPr>
          <w:p w14:paraId="012A7FBC">
            <w:pPr>
              <w:spacing w:line="520" w:lineRule="exact"/>
              <w:jc w:val="center"/>
              <w:rPr>
                <w:rFonts w:hint="eastAsia" w:ascii="仿宋_GB2312" w:eastAsia="仿宋_GB2312"/>
                <w:sz w:val="28"/>
                <w:szCs w:val="28"/>
                <w:lang w:val="en-US" w:eastAsia="zh-CN"/>
              </w:rPr>
            </w:pPr>
            <w:r>
              <w:rPr>
                <w:rFonts w:hint="eastAsia" w:ascii="仿宋_GB2312" w:eastAsia="仿宋_GB2312"/>
                <w:sz w:val="28"/>
                <w:szCs w:val="28"/>
                <w:lang w:val="en-US" w:eastAsia="zh-CN"/>
              </w:rPr>
              <w:t>≥</w:t>
            </w:r>
          </w:p>
        </w:tc>
        <w:tc>
          <w:tcPr>
            <w:tcW w:w="683" w:type="pct"/>
            <w:tcBorders>
              <w:top w:val="nil"/>
              <w:left w:val="nil"/>
              <w:bottom w:val="single" w:color="auto" w:sz="4" w:space="0"/>
              <w:right w:val="single" w:color="auto" w:sz="4" w:space="0"/>
            </w:tcBorders>
            <w:noWrap/>
            <w:vAlign w:val="center"/>
          </w:tcPr>
          <w:p w14:paraId="0507861D">
            <w:pPr>
              <w:spacing w:line="520" w:lineRule="exact"/>
              <w:jc w:val="center"/>
              <w:rPr>
                <w:rFonts w:hint="default" w:ascii="仿宋_GB2312" w:eastAsia="仿宋_GB2312"/>
                <w:sz w:val="28"/>
                <w:szCs w:val="28"/>
                <w:lang w:val="en-US" w:eastAsia="zh-CN"/>
              </w:rPr>
            </w:pPr>
            <w:r>
              <w:rPr>
                <w:rFonts w:hint="eastAsia" w:ascii="仿宋_GB2312" w:eastAsia="仿宋_GB2312"/>
                <w:sz w:val="28"/>
                <w:szCs w:val="28"/>
                <w:lang w:val="en-US" w:eastAsia="zh-CN"/>
              </w:rPr>
              <w:t>2025</w:t>
            </w:r>
          </w:p>
        </w:tc>
        <w:tc>
          <w:tcPr>
            <w:tcW w:w="855" w:type="pct"/>
            <w:tcBorders>
              <w:top w:val="nil"/>
              <w:left w:val="nil"/>
              <w:bottom w:val="single" w:color="auto" w:sz="4" w:space="0"/>
              <w:right w:val="single" w:color="auto" w:sz="4" w:space="0"/>
            </w:tcBorders>
            <w:vAlign w:val="center"/>
          </w:tcPr>
          <w:p w14:paraId="3AA64215">
            <w:pPr>
              <w:spacing w:line="520" w:lineRule="exact"/>
              <w:jc w:val="center"/>
              <w:rPr>
                <w:rFonts w:hint="eastAsia" w:ascii="仿宋_GB2312" w:eastAsia="仿宋_GB2312"/>
                <w:sz w:val="28"/>
                <w:szCs w:val="28"/>
                <w:lang w:val="en-US" w:eastAsia="zh-CN"/>
              </w:rPr>
            </w:pPr>
            <w:r>
              <w:rPr>
                <w:rFonts w:hint="eastAsia" w:ascii="仿宋_GB2312" w:eastAsia="仿宋_GB2312"/>
                <w:sz w:val="28"/>
                <w:szCs w:val="28"/>
                <w:lang w:val="en-US" w:eastAsia="zh-CN"/>
              </w:rPr>
              <w:t>年</w:t>
            </w:r>
          </w:p>
        </w:tc>
        <w:tc>
          <w:tcPr>
            <w:tcW w:w="987" w:type="pct"/>
            <w:tcBorders>
              <w:top w:val="nil"/>
              <w:left w:val="nil"/>
              <w:bottom w:val="single" w:color="auto" w:sz="4" w:space="0"/>
              <w:right w:val="single" w:color="auto" w:sz="4" w:space="0"/>
            </w:tcBorders>
            <w:vAlign w:val="center"/>
          </w:tcPr>
          <w:p w14:paraId="5B3829D7">
            <w:pPr>
              <w:spacing w:line="520" w:lineRule="exact"/>
              <w:jc w:val="center"/>
              <w:rPr>
                <w:rFonts w:hint="default" w:ascii="仿宋_GB2312" w:eastAsia="仿宋_GB2312"/>
                <w:sz w:val="28"/>
                <w:szCs w:val="28"/>
                <w:lang w:val="en-US" w:eastAsia="zh-CN"/>
              </w:rPr>
            </w:pPr>
            <w:r>
              <w:rPr>
                <w:rFonts w:hint="eastAsia" w:ascii="仿宋_GB2312" w:eastAsia="仿宋_GB2312"/>
                <w:sz w:val="28"/>
                <w:szCs w:val="28"/>
                <w:lang w:val="en-US" w:eastAsia="zh-CN"/>
              </w:rPr>
              <w:t>20</w:t>
            </w:r>
          </w:p>
        </w:tc>
      </w:tr>
      <w:tr w14:paraId="7549725A">
        <w:tblPrEx>
          <w:tblCellMar>
            <w:top w:w="0" w:type="dxa"/>
            <w:left w:w="108" w:type="dxa"/>
            <w:bottom w:w="0" w:type="dxa"/>
            <w:right w:w="108" w:type="dxa"/>
          </w:tblCellMar>
        </w:tblPrEx>
        <w:trPr>
          <w:trHeight w:val="275" w:hRule="atLeast"/>
        </w:trPr>
        <w:tc>
          <w:tcPr>
            <w:tcW w:w="680" w:type="pct"/>
            <w:tcBorders>
              <w:top w:val="nil"/>
              <w:left w:val="single" w:color="auto" w:sz="4" w:space="0"/>
              <w:bottom w:val="single" w:color="auto" w:sz="4" w:space="0"/>
              <w:right w:val="single" w:color="auto" w:sz="4" w:space="0"/>
            </w:tcBorders>
            <w:noWrap/>
            <w:vAlign w:val="center"/>
          </w:tcPr>
          <w:p w14:paraId="68E5F767">
            <w:pPr>
              <w:spacing w:line="520" w:lineRule="exact"/>
              <w:jc w:val="center"/>
              <w:rPr>
                <w:rFonts w:hint="eastAsia" w:ascii="仿宋_GB2312" w:eastAsia="仿宋_GB2312"/>
                <w:sz w:val="28"/>
                <w:szCs w:val="28"/>
              </w:rPr>
            </w:pPr>
            <w:r>
              <w:rPr>
                <w:rFonts w:hint="eastAsia" w:ascii="仿宋_GB2312" w:eastAsia="仿宋_GB2312"/>
                <w:sz w:val="28"/>
                <w:szCs w:val="28"/>
              </w:rPr>
              <w:t>2</w:t>
            </w:r>
          </w:p>
        </w:tc>
        <w:tc>
          <w:tcPr>
            <w:tcW w:w="941" w:type="pct"/>
            <w:tcBorders>
              <w:top w:val="nil"/>
              <w:left w:val="nil"/>
              <w:bottom w:val="single" w:color="auto" w:sz="4" w:space="0"/>
              <w:right w:val="single" w:color="auto" w:sz="4" w:space="0"/>
            </w:tcBorders>
            <w:noWrap/>
            <w:vAlign w:val="center"/>
          </w:tcPr>
          <w:p w14:paraId="7BE326AB">
            <w:pPr>
              <w:spacing w:line="520" w:lineRule="exact"/>
              <w:jc w:val="center"/>
              <w:rPr>
                <w:rFonts w:hint="eastAsia" w:ascii="仿宋_GB2312" w:eastAsia="仿宋_GB2312"/>
                <w:sz w:val="28"/>
                <w:szCs w:val="28"/>
              </w:rPr>
            </w:pPr>
            <w:r>
              <w:rPr>
                <w:rFonts w:hint="eastAsia" w:ascii="仿宋_GB2312" w:hAnsi="仿宋" w:eastAsia="仿宋_GB2312" w:cs="Times New Roman"/>
                <w:sz w:val="28"/>
                <w:szCs w:val="28"/>
                <w:lang w:val="en-US" w:eastAsia="zh-CN"/>
              </w:rPr>
              <w:t>服务社区</w:t>
            </w:r>
          </w:p>
        </w:tc>
        <w:tc>
          <w:tcPr>
            <w:tcW w:w="853" w:type="pct"/>
            <w:tcBorders>
              <w:top w:val="nil"/>
              <w:left w:val="nil"/>
              <w:bottom w:val="single" w:color="auto" w:sz="4" w:space="0"/>
              <w:right w:val="single" w:color="auto" w:sz="4" w:space="0"/>
            </w:tcBorders>
            <w:noWrap/>
            <w:vAlign w:val="center"/>
          </w:tcPr>
          <w:p w14:paraId="73DE9732">
            <w:pPr>
              <w:spacing w:line="520" w:lineRule="exact"/>
              <w:jc w:val="center"/>
              <w:rPr>
                <w:rFonts w:hint="eastAsia" w:ascii="仿宋_GB2312" w:eastAsia="仿宋_GB2312"/>
                <w:sz w:val="28"/>
                <w:szCs w:val="28"/>
              </w:rPr>
            </w:pPr>
            <w:r>
              <w:rPr>
                <w:rFonts w:hint="eastAsia" w:ascii="仿宋_GB2312" w:eastAsia="仿宋_GB2312"/>
                <w:sz w:val="28"/>
                <w:szCs w:val="28"/>
                <w:lang w:val="en-US" w:eastAsia="zh-CN"/>
              </w:rPr>
              <w:t>≥</w:t>
            </w:r>
          </w:p>
        </w:tc>
        <w:tc>
          <w:tcPr>
            <w:tcW w:w="683" w:type="pct"/>
            <w:tcBorders>
              <w:top w:val="nil"/>
              <w:left w:val="nil"/>
              <w:bottom w:val="single" w:color="auto" w:sz="4" w:space="0"/>
              <w:right w:val="single" w:color="auto" w:sz="4" w:space="0"/>
            </w:tcBorders>
            <w:noWrap/>
            <w:vAlign w:val="center"/>
          </w:tcPr>
          <w:p w14:paraId="23B25207">
            <w:pPr>
              <w:spacing w:line="520" w:lineRule="exact"/>
              <w:jc w:val="center"/>
              <w:rPr>
                <w:rFonts w:hint="default" w:ascii="仿宋_GB2312" w:eastAsia="仿宋_GB2312"/>
                <w:sz w:val="28"/>
                <w:szCs w:val="28"/>
                <w:lang w:val="en-US" w:eastAsia="zh-CN"/>
              </w:rPr>
            </w:pPr>
            <w:r>
              <w:rPr>
                <w:rFonts w:hint="eastAsia" w:ascii="仿宋_GB2312" w:eastAsia="仿宋_GB2312"/>
                <w:sz w:val="28"/>
                <w:szCs w:val="28"/>
                <w:lang w:val="en-US" w:eastAsia="zh-CN"/>
              </w:rPr>
              <w:t>9</w:t>
            </w:r>
          </w:p>
        </w:tc>
        <w:tc>
          <w:tcPr>
            <w:tcW w:w="855" w:type="pct"/>
            <w:tcBorders>
              <w:top w:val="nil"/>
              <w:left w:val="nil"/>
              <w:bottom w:val="single" w:color="auto" w:sz="4" w:space="0"/>
              <w:right w:val="single" w:color="auto" w:sz="4" w:space="0"/>
            </w:tcBorders>
            <w:vAlign w:val="center"/>
          </w:tcPr>
          <w:p w14:paraId="66F9A175">
            <w:pPr>
              <w:spacing w:line="520" w:lineRule="exact"/>
              <w:jc w:val="center"/>
              <w:rPr>
                <w:rFonts w:hint="eastAsia" w:ascii="仿宋_GB2312" w:eastAsia="仿宋_GB2312"/>
                <w:sz w:val="28"/>
                <w:szCs w:val="28"/>
                <w:lang w:val="en-US" w:eastAsia="zh-CN"/>
              </w:rPr>
            </w:pPr>
            <w:r>
              <w:rPr>
                <w:rFonts w:hint="eastAsia" w:ascii="仿宋_GB2312" w:eastAsia="仿宋_GB2312"/>
                <w:sz w:val="28"/>
                <w:szCs w:val="28"/>
                <w:lang w:val="en-US" w:eastAsia="zh-CN"/>
              </w:rPr>
              <w:t>个</w:t>
            </w:r>
          </w:p>
        </w:tc>
        <w:tc>
          <w:tcPr>
            <w:tcW w:w="987" w:type="pct"/>
            <w:tcBorders>
              <w:top w:val="nil"/>
              <w:left w:val="nil"/>
              <w:bottom w:val="single" w:color="auto" w:sz="4" w:space="0"/>
              <w:right w:val="single" w:color="auto" w:sz="4" w:space="0"/>
            </w:tcBorders>
            <w:vAlign w:val="center"/>
          </w:tcPr>
          <w:p w14:paraId="5A35F3CF">
            <w:pPr>
              <w:spacing w:line="520" w:lineRule="exact"/>
              <w:jc w:val="center"/>
              <w:rPr>
                <w:rFonts w:hint="eastAsia" w:ascii="仿宋_GB2312" w:eastAsia="仿宋_GB2312"/>
                <w:sz w:val="28"/>
                <w:szCs w:val="28"/>
              </w:rPr>
            </w:pPr>
            <w:r>
              <w:rPr>
                <w:rFonts w:hint="eastAsia" w:ascii="仿宋_GB2312" w:eastAsia="仿宋_GB2312"/>
                <w:sz w:val="28"/>
                <w:szCs w:val="28"/>
                <w:lang w:val="en-US" w:eastAsia="zh-CN"/>
              </w:rPr>
              <w:t>20</w:t>
            </w:r>
          </w:p>
        </w:tc>
      </w:tr>
      <w:tr w14:paraId="01B5E1C4">
        <w:tblPrEx>
          <w:tblCellMar>
            <w:top w:w="0" w:type="dxa"/>
            <w:left w:w="108" w:type="dxa"/>
            <w:bottom w:w="0" w:type="dxa"/>
            <w:right w:w="108" w:type="dxa"/>
          </w:tblCellMar>
        </w:tblPrEx>
        <w:trPr>
          <w:trHeight w:val="275" w:hRule="atLeast"/>
        </w:trPr>
        <w:tc>
          <w:tcPr>
            <w:tcW w:w="680" w:type="pct"/>
            <w:tcBorders>
              <w:top w:val="nil"/>
              <w:left w:val="single" w:color="auto" w:sz="4" w:space="0"/>
              <w:bottom w:val="single" w:color="auto" w:sz="4" w:space="0"/>
              <w:right w:val="single" w:color="auto" w:sz="4" w:space="0"/>
            </w:tcBorders>
            <w:noWrap/>
            <w:vAlign w:val="center"/>
          </w:tcPr>
          <w:p w14:paraId="75079661">
            <w:pPr>
              <w:spacing w:line="520" w:lineRule="exact"/>
              <w:jc w:val="center"/>
              <w:rPr>
                <w:rFonts w:hint="eastAsia" w:ascii="仿宋_GB2312" w:eastAsia="仿宋_GB2312"/>
                <w:sz w:val="28"/>
                <w:szCs w:val="28"/>
              </w:rPr>
            </w:pPr>
            <w:r>
              <w:rPr>
                <w:rFonts w:hint="eastAsia" w:ascii="仿宋_GB2312" w:eastAsia="仿宋_GB2312"/>
                <w:sz w:val="28"/>
                <w:szCs w:val="28"/>
              </w:rPr>
              <w:t>3</w:t>
            </w:r>
          </w:p>
        </w:tc>
        <w:tc>
          <w:tcPr>
            <w:tcW w:w="941" w:type="pct"/>
            <w:tcBorders>
              <w:top w:val="nil"/>
              <w:left w:val="nil"/>
              <w:bottom w:val="single" w:color="auto" w:sz="4" w:space="0"/>
              <w:right w:val="single" w:color="auto" w:sz="4" w:space="0"/>
            </w:tcBorders>
            <w:noWrap/>
            <w:vAlign w:val="center"/>
          </w:tcPr>
          <w:p w14:paraId="650A6A54">
            <w:pPr>
              <w:spacing w:line="520" w:lineRule="exact"/>
              <w:jc w:val="center"/>
              <w:rPr>
                <w:rFonts w:hint="eastAsia" w:ascii="仿宋_GB2312" w:eastAsia="仿宋_GB2312"/>
                <w:sz w:val="28"/>
                <w:szCs w:val="28"/>
              </w:rPr>
            </w:pPr>
            <w:r>
              <w:rPr>
                <w:rFonts w:hint="eastAsia" w:ascii="仿宋_GB2312" w:hAnsi="仿宋" w:eastAsia="仿宋_GB2312" w:cs="Times New Roman"/>
                <w:sz w:val="28"/>
                <w:szCs w:val="28"/>
                <w:lang w:val="en-US" w:eastAsia="zh-CN"/>
              </w:rPr>
              <w:t>居民满意度</w:t>
            </w:r>
          </w:p>
        </w:tc>
        <w:tc>
          <w:tcPr>
            <w:tcW w:w="853" w:type="pct"/>
            <w:tcBorders>
              <w:top w:val="nil"/>
              <w:left w:val="nil"/>
              <w:bottom w:val="single" w:color="auto" w:sz="4" w:space="0"/>
              <w:right w:val="single" w:color="auto" w:sz="4" w:space="0"/>
            </w:tcBorders>
            <w:noWrap/>
            <w:vAlign w:val="center"/>
          </w:tcPr>
          <w:p w14:paraId="1F7D2937">
            <w:pPr>
              <w:spacing w:line="520" w:lineRule="exact"/>
              <w:jc w:val="center"/>
              <w:rPr>
                <w:rFonts w:hint="eastAsia" w:ascii="仿宋_GB2312" w:eastAsia="仿宋_GB2312"/>
                <w:sz w:val="28"/>
                <w:szCs w:val="28"/>
              </w:rPr>
            </w:pPr>
            <w:r>
              <w:rPr>
                <w:rFonts w:hint="eastAsia" w:ascii="仿宋_GB2312" w:eastAsia="仿宋_GB2312"/>
                <w:sz w:val="28"/>
                <w:szCs w:val="28"/>
                <w:lang w:val="en-US" w:eastAsia="zh-CN"/>
              </w:rPr>
              <w:t>≥</w:t>
            </w:r>
          </w:p>
        </w:tc>
        <w:tc>
          <w:tcPr>
            <w:tcW w:w="683" w:type="pct"/>
            <w:tcBorders>
              <w:top w:val="nil"/>
              <w:left w:val="nil"/>
              <w:bottom w:val="single" w:color="auto" w:sz="4" w:space="0"/>
              <w:right w:val="single" w:color="auto" w:sz="4" w:space="0"/>
            </w:tcBorders>
            <w:noWrap/>
            <w:vAlign w:val="center"/>
          </w:tcPr>
          <w:p w14:paraId="20FAA857">
            <w:pPr>
              <w:spacing w:line="520" w:lineRule="exact"/>
              <w:jc w:val="center"/>
              <w:rPr>
                <w:rFonts w:hint="default" w:ascii="仿宋_GB2312" w:eastAsia="仿宋_GB2312"/>
                <w:sz w:val="28"/>
                <w:szCs w:val="28"/>
                <w:lang w:val="en-US" w:eastAsia="zh-CN"/>
              </w:rPr>
            </w:pPr>
            <w:r>
              <w:rPr>
                <w:rFonts w:hint="eastAsia" w:ascii="仿宋_GB2312" w:eastAsia="仿宋_GB2312"/>
                <w:sz w:val="28"/>
                <w:szCs w:val="28"/>
                <w:lang w:val="en-US" w:eastAsia="zh-CN"/>
              </w:rPr>
              <w:t>95</w:t>
            </w:r>
          </w:p>
        </w:tc>
        <w:tc>
          <w:tcPr>
            <w:tcW w:w="855" w:type="pct"/>
            <w:tcBorders>
              <w:top w:val="nil"/>
              <w:left w:val="nil"/>
              <w:bottom w:val="single" w:color="auto" w:sz="4" w:space="0"/>
              <w:right w:val="single" w:color="auto" w:sz="4" w:space="0"/>
            </w:tcBorders>
            <w:vAlign w:val="center"/>
          </w:tcPr>
          <w:p w14:paraId="4A9EB7C2">
            <w:pPr>
              <w:spacing w:line="520" w:lineRule="exact"/>
              <w:jc w:val="center"/>
              <w:rPr>
                <w:rFonts w:hint="eastAsia" w:ascii="仿宋_GB2312" w:eastAsia="仿宋_GB2312"/>
                <w:sz w:val="28"/>
                <w:szCs w:val="28"/>
                <w:lang w:val="en-US" w:eastAsia="zh-CN"/>
              </w:rPr>
            </w:pPr>
            <w:r>
              <w:rPr>
                <w:rFonts w:hint="eastAsia" w:ascii="仿宋_GB2312" w:eastAsia="仿宋_GB2312"/>
                <w:sz w:val="28"/>
                <w:szCs w:val="28"/>
                <w:lang w:val="en-US" w:eastAsia="zh-CN"/>
              </w:rPr>
              <w:t>%</w:t>
            </w:r>
          </w:p>
        </w:tc>
        <w:tc>
          <w:tcPr>
            <w:tcW w:w="987" w:type="pct"/>
            <w:tcBorders>
              <w:top w:val="nil"/>
              <w:left w:val="nil"/>
              <w:bottom w:val="single" w:color="auto" w:sz="4" w:space="0"/>
              <w:right w:val="single" w:color="auto" w:sz="4" w:space="0"/>
            </w:tcBorders>
            <w:vAlign w:val="center"/>
          </w:tcPr>
          <w:p w14:paraId="2A9C70FF">
            <w:pPr>
              <w:spacing w:line="520" w:lineRule="exact"/>
              <w:jc w:val="center"/>
              <w:rPr>
                <w:rFonts w:hint="eastAsia" w:ascii="仿宋_GB2312" w:eastAsia="仿宋_GB2312"/>
                <w:sz w:val="28"/>
                <w:szCs w:val="28"/>
              </w:rPr>
            </w:pPr>
            <w:r>
              <w:rPr>
                <w:rFonts w:hint="eastAsia" w:ascii="仿宋_GB2312" w:eastAsia="仿宋_GB2312"/>
                <w:sz w:val="28"/>
                <w:szCs w:val="28"/>
                <w:lang w:val="en-US" w:eastAsia="zh-CN"/>
              </w:rPr>
              <w:t>20</w:t>
            </w:r>
          </w:p>
        </w:tc>
      </w:tr>
      <w:tr w14:paraId="2316ED58">
        <w:tblPrEx>
          <w:tblCellMar>
            <w:top w:w="0" w:type="dxa"/>
            <w:left w:w="108" w:type="dxa"/>
            <w:bottom w:w="0" w:type="dxa"/>
            <w:right w:w="108" w:type="dxa"/>
          </w:tblCellMar>
        </w:tblPrEx>
        <w:trPr>
          <w:trHeight w:val="275" w:hRule="atLeast"/>
        </w:trPr>
        <w:tc>
          <w:tcPr>
            <w:tcW w:w="680" w:type="pct"/>
            <w:tcBorders>
              <w:top w:val="single" w:color="auto" w:sz="4" w:space="0"/>
              <w:left w:val="single" w:color="auto" w:sz="4" w:space="0"/>
              <w:bottom w:val="single" w:color="auto" w:sz="4" w:space="0"/>
              <w:right w:val="single" w:color="auto" w:sz="4" w:space="0"/>
            </w:tcBorders>
            <w:noWrap/>
            <w:vAlign w:val="center"/>
          </w:tcPr>
          <w:p w14:paraId="11160B09">
            <w:pPr>
              <w:spacing w:line="520" w:lineRule="exact"/>
              <w:jc w:val="center"/>
              <w:rPr>
                <w:rFonts w:hint="eastAsia" w:ascii="仿宋_GB2312" w:hAnsi="Times New Roman" w:eastAsia="仿宋_GB2312" w:cs="Times New Roman"/>
                <w:sz w:val="28"/>
                <w:szCs w:val="28"/>
                <w:lang w:eastAsia="zh-CN"/>
              </w:rPr>
            </w:pPr>
            <w:r>
              <w:rPr>
                <w:rFonts w:hint="eastAsia" w:ascii="仿宋_GB2312" w:hAnsi="Times New Roman" w:eastAsia="仿宋_GB2312" w:cs="Times New Roman"/>
                <w:sz w:val="28"/>
                <w:szCs w:val="28"/>
                <w:lang w:val="en-US" w:eastAsia="zh-CN"/>
              </w:rPr>
              <w:t>4</w:t>
            </w:r>
          </w:p>
        </w:tc>
        <w:tc>
          <w:tcPr>
            <w:tcW w:w="941" w:type="pct"/>
            <w:tcBorders>
              <w:top w:val="single" w:color="auto" w:sz="4" w:space="0"/>
              <w:left w:val="single" w:color="auto" w:sz="4" w:space="0"/>
              <w:bottom w:val="single" w:color="auto" w:sz="4" w:space="0"/>
              <w:right w:val="single" w:color="auto" w:sz="4" w:space="0"/>
            </w:tcBorders>
            <w:noWrap/>
            <w:vAlign w:val="center"/>
          </w:tcPr>
          <w:p w14:paraId="4AC04F0B">
            <w:pPr>
              <w:spacing w:line="520" w:lineRule="exact"/>
              <w:jc w:val="center"/>
              <w:rPr>
                <w:rFonts w:hint="eastAsia" w:ascii="仿宋_GB2312" w:hAnsi="Times New Roman" w:eastAsia="仿宋_GB2312" w:cs="Times New Roman"/>
                <w:sz w:val="28"/>
                <w:szCs w:val="28"/>
              </w:rPr>
            </w:pPr>
            <w:r>
              <w:rPr>
                <w:rFonts w:hint="eastAsia" w:ascii="仿宋_GB2312" w:hAnsi="仿宋" w:eastAsia="仿宋_GB2312" w:cs="Times New Roman"/>
                <w:sz w:val="28"/>
                <w:szCs w:val="28"/>
                <w:lang w:val="en-US" w:eastAsia="zh-CN"/>
              </w:rPr>
              <w:t>持续影响</w:t>
            </w:r>
          </w:p>
        </w:tc>
        <w:tc>
          <w:tcPr>
            <w:tcW w:w="853" w:type="pct"/>
            <w:tcBorders>
              <w:top w:val="single" w:color="auto" w:sz="4" w:space="0"/>
              <w:left w:val="single" w:color="auto" w:sz="4" w:space="0"/>
              <w:bottom w:val="single" w:color="auto" w:sz="4" w:space="0"/>
              <w:right w:val="single" w:color="auto" w:sz="4" w:space="0"/>
            </w:tcBorders>
            <w:noWrap/>
            <w:vAlign w:val="center"/>
          </w:tcPr>
          <w:p w14:paraId="1A983BF8">
            <w:pPr>
              <w:spacing w:line="520" w:lineRule="exact"/>
              <w:jc w:val="center"/>
              <w:rPr>
                <w:rFonts w:hint="eastAsia" w:ascii="仿宋_GB2312" w:hAnsi="Times New Roman" w:eastAsia="仿宋_GB2312" w:cs="Times New Roman"/>
                <w:sz w:val="28"/>
                <w:szCs w:val="28"/>
              </w:rPr>
            </w:pPr>
            <w:r>
              <w:rPr>
                <w:rFonts w:hint="eastAsia" w:ascii="仿宋_GB2312" w:eastAsia="仿宋_GB2312"/>
                <w:sz w:val="28"/>
                <w:szCs w:val="28"/>
                <w:lang w:val="en-US" w:eastAsia="zh-CN"/>
              </w:rPr>
              <w:t>≥</w:t>
            </w:r>
          </w:p>
        </w:tc>
        <w:tc>
          <w:tcPr>
            <w:tcW w:w="683" w:type="pct"/>
            <w:tcBorders>
              <w:top w:val="single" w:color="auto" w:sz="4" w:space="0"/>
              <w:left w:val="single" w:color="auto" w:sz="4" w:space="0"/>
              <w:bottom w:val="single" w:color="auto" w:sz="4" w:space="0"/>
              <w:right w:val="single" w:color="auto" w:sz="4" w:space="0"/>
            </w:tcBorders>
            <w:noWrap/>
            <w:vAlign w:val="center"/>
          </w:tcPr>
          <w:p w14:paraId="5A305592">
            <w:pPr>
              <w:spacing w:line="520" w:lineRule="exact"/>
              <w:jc w:val="center"/>
              <w:rPr>
                <w:rFonts w:hint="eastAsia" w:ascii="仿宋_GB2312" w:hAnsi="Times New Roman" w:eastAsia="仿宋_GB2312" w:cs="Times New Roman"/>
                <w:sz w:val="28"/>
                <w:szCs w:val="28"/>
                <w:lang w:val="en-US" w:eastAsia="zh-CN"/>
              </w:rPr>
            </w:pPr>
            <w:r>
              <w:rPr>
                <w:rFonts w:hint="eastAsia" w:ascii="仿宋_GB2312" w:hAnsi="Times New Roman" w:eastAsia="仿宋_GB2312" w:cs="Times New Roman"/>
                <w:sz w:val="28"/>
                <w:szCs w:val="28"/>
                <w:lang w:val="en-US" w:eastAsia="zh-CN"/>
              </w:rPr>
              <w:t>1</w:t>
            </w:r>
          </w:p>
        </w:tc>
        <w:tc>
          <w:tcPr>
            <w:tcW w:w="855" w:type="pct"/>
            <w:tcBorders>
              <w:top w:val="single" w:color="auto" w:sz="4" w:space="0"/>
              <w:left w:val="single" w:color="auto" w:sz="4" w:space="0"/>
              <w:bottom w:val="single" w:color="auto" w:sz="4" w:space="0"/>
              <w:right w:val="single" w:color="auto" w:sz="4" w:space="0"/>
            </w:tcBorders>
            <w:vAlign w:val="center"/>
          </w:tcPr>
          <w:p w14:paraId="51A10191">
            <w:pPr>
              <w:spacing w:line="520" w:lineRule="exact"/>
              <w:jc w:val="center"/>
              <w:rPr>
                <w:rFonts w:hint="default" w:ascii="仿宋_GB2312" w:hAnsi="Times New Roman" w:eastAsia="仿宋_GB2312" w:cs="Times New Roman"/>
                <w:sz w:val="28"/>
                <w:szCs w:val="28"/>
                <w:lang w:val="en-US" w:eastAsia="zh-CN"/>
              </w:rPr>
            </w:pPr>
            <w:r>
              <w:rPr>
                <w:rFonts w:hint="eastAsia" w:ascii="仿宋_GB2312" w:hAnsi="Times New Roman" w:eastAsia="仿宋_GB2312" w:cs="Times New Roman"/>
                <w:sz w:val="28"/>
                <w:szCs w:val="28"/>
                <w:lang w:val="en-US" w:eastAsia="zh-CN"/>
              </w:rPr>
              <w:t>年</w:t>
            </w:r>
          </w:p>
        </w:tc>
        <w:tc>
          <w:tcPr>
            <w:tcW w:w="987" w:type="pct"/>
            <w:tcBorders>
              <w:top w:val="single" w:color="auto" w:sz="4" w:space="0"/>
              <w:left w:val="single" w:color="auto" w:sz="4" w:space="0"/>
              <w:bottom w:val="single" w:color="auto" w:sz="4" w:space="0"/>
              <w:right w:val="single" w:color="auto" w:sz="4" w:space="0"/>
            </w:tcBorders>
            <w:vAlign w:val="center"/>
          </w:tcPr>
          <w:p w14:paraId="08FC4ADB">
            <w:pPr>
              <w:spacing w:line="520" w:lineRule="exact"/>
              <w:jc w:val="center"/>
              <w:rPr>
                <w:rFonts w:hint="eastAsia" w:ascii="仿宋_GB2312" w:hAnsi="Times New Roman" w:eastAsia="仿宋_GB2312" w:cs="Times New Roman"/>
                <w:sz w:val="28"/>
                <w:szCs w:val="28"/>
              </w:rPr>
            </w:pPr>
            <w:r>
              <w:rPr>
                <w:rFonts w:hint="eastAsia" w:ascii="仿宋_GB2312" w:eastAsia="仿宋_GB2312"/>
                <w:sz w:val="28"/>
                <w:szCs w:val="28"/>
                <w:lang w:val="en-US" w:eastAsia="zh-CN"/>
              </w:rPr>
              <w:t>20</w:t>
            </w:r>
          </w:p>
        </w:tc>
      </w:tr>
      <w:tr w14:paraId="6C8657E8">
        <w:tblPrEx>
          <w:tblCellMar>
            <w:top w:w="0" w:type="dxa"/>
            <w:left w:w="108" w:type="dxa"/>
            <w:bottom w:w="0" w:type="dxa"/>
            <w:right w:w="108" w:type="dxa"/>
          </w:tblCellMar>
        </w:tblPrEx>
        <w:trPr>
          <w:trHeight w:val="275" w:hRule="atLeast"/>
        </w:trPr>
        <w:tc>
          <w:tcPr>
            <w:tcW w:w="680" w:type="pct"/>
            <w:tcBorders>
              <w:top w:val="single" w:color="auto" w:sz="4" w:space="0"/>
              <w:left w:val="single" w:color="auto" w:sz="4" w:space="0"/>
              <w:bottom w:val="single" w:color="auto" w:sz="4" w:space="0"/>
              <w:right w:val="single" w:color="auto" w:sz="4" w:space="0"/>
            </w:tcBorders>
            <w:noWrap/>
            <w:vAlign w:val="center"/>
          </w:tcPr>
          <w:p w14:paraId="3EF10E0A">
            <w:pPr>
              <w:spacing w:line="520" w:lineRule="exact"/>
              <w:jc w:val="center"/>
              <w:rPr>
                <w:rFonts w:hint="default" w:ascii="仿宋_GB2312" w:hAnsi="Times New Roman" w:eastAsia="仿宋_GB2312" w:cs="Times New Roman"/>
                <w:sz w:val="28"/>
                <w:szCs w:val="28"/>
                <w:lang w:val="en-US" w:eastAsia="zh-CN"/>
              </w:rPr>
            </w:pPr>
            <w:bookmarkStart w:id="3" w:name="_Toc268005761"/>
            <w:r>
              <w:rPr>
                <w:rFonts w:hint="eastAsia" w:ascii="仿宋_GB2312" w:hAnsi="Times New Roman" w:eastAsia="仿宋_GB2312" w:cs="Times New Roman"/>
                <w:sz w:val="28"/>
                <w:szCs w:val="28"/>
                <w:lang w:val="en-US" w:eastAsia="zh-CN"/>
              </w:rPr>
              <w:t>5</w:t>
            </w:r>
          </w:p>
        </w:tc>
        <w:tc>
          <w:tcPr>
            <w:tcW w:w="941" w:type="pct"/>
            <w:tcBorders>
              <w:top w:val="single" w:color="auto" w:sz="4" w:space="0"/>
              <w:left w:val="nil"/>
              <w:bottom w:val="single" w:color="auto" w:sz="4" w:space="0"/>
              <w:right w:val="single" w:color="auto" w:sz="4" w:space="0"/>
            </w:tcBorders>
            <w:noWrap/>
            <w:vAlign w:val="center"/>
          </w:tcPr>
          <w:p w14:paraId="6C30AD60">
            <w:pPr>
              <w:spacing w:line="520" w:lineRule="exact"/>
              <w:jc w:val="center"/>
              <w:rPr>
                <w:rFonts w:hint="eastAsia" w:ascii="仿宋_GB2312" w:hAnsi="Times New Roman" w:eastAsia="仿宋_GB2312" w:cs="Times New Roman"/>
                <w:sz w:val="28"/>
                <w:szCs w:val="28"/>
              </w:rPr>
            </w:pPr>
            <w:r>
              <w:rPr>
                <w:rFonts w:hint="eastAsia" w:ascii="仿宋_GB2312" w:hAnsi="仿宋" w:eastAsia="仿宋_GB2312" w:cs="Times New Roman"/>
                <w:sz w:val="28"/>
                <w:szCs w:val="28"/>
                <w:lang w:val="en-US" w:eastAsia="zh-CN"/>
              </w:rPr>
              <w:t>预算执行</w:t>
            </w:r>
          </w:p>
        </w:tc>
        <w:tc>
          <w:tcPr>
            <w:tcW w:w="853" w:type="pct"/>
            <w:tcBorders>
              <w:top w:val="single" w:color="auto" w:sz="4" w:space="0"/>
              <w:left w:val="nil"/>
              <w:bottom w:val="single" w:color="auto" w:sz="4" w:space="0"/>
              <w:right w:val="single" w:color="auto" w:sz="4" w:space="0"/>
            </w:tcBorders>
            <w:noWrap/>
            <w:vAlign w:val="center"/>
          </w:tcPr>
          <w:p w14:paraId="4E068A97">
            <w:pPr>
              <w:spacing w:line="520" w:lineRule="exact"/>
              <w:jc w:val="center"/>
              <w:rPr>
                <w:rFonts w:hint="eastAsia" w:ascii="仿宋_GB2312" w:hAnsi="Times New Roman" w:eastAsia="仿宋_GB2312" w:cs="Times New Roman"/>
                <w:sz w:val="28"/>
                <w:szCs w:val="28"/>
                <w:lang w:val="en-US" w:eastAsia="zh-CN"/>
              </w:rPr>
            </w:pPr>
            <w:r>
              <w:rPr>
                <w:rFonts w:hint="eastAsia" w:ascii="仿宋_GB2312" w:hAnsi="Times New Roman" w:eastAsia="仿宋_GB2312" w:cs="Times New Roman"/>
                <w:sz w:val="28"/>
                <w:szCs w:val="28"/>
                <w:lang w:val="en-US" w:eastAsia="zh-CN"/>
              </w:rPr>
              <w:t>定性</w:t>
            </w:r>
          </w:p>
        </w:tc>
        <w:tc>
          <w:tcPr>
            <w:tcW w:w="683" w:type="pct"/>
            <w:tcBorders>
              <w:top w:val="single" w:color="auto" w:sz="4" w:space="0"/>
              <w:left w:val="nil"/>
              <w:bottom w:val="single" w:color="auto" w:sz="4" w:space="0"/>
              <w:right w:val="single" w:color="auto" w:sz="4" w:space="0"/>
            </w:tcBorders>
            <w:noWrap/>
            <w:vAlign w:val="center"/>
          </w:tcPr>
          <w:p w14:paraId="486CD0BA">
            <w:pPr>
              <w:spacing w:line="520" w:lineRule="exact"/>
              <w:jc w:val="center"/>
              <w:rPr>
                <w:rFonts w:hint="eastAsia" w:ascii="仿宋_GB2312" w:hAnsi="Times New Roman" w:eastAsia="仿宋_GB2312" w:cs="Times New Roman"/>
                <w:sz w:val="28"/>
                <w:szCs w:val="28"/>
              </w:rPr>
            </w:pPr>
            <w:r>
              <w:rPr>
                <w:rFonts w:hint="eastAsia" w:ascii="仿宋_GB2312" w:hAnsi="仿宋" w:eastAsia="仿宋_GB2312" w:cs="Times New Roman"/>
                <w:sz w:val="28"/>
                <w:szCs w:val="28"/>
              </w:rPr>
              <w:t>控制资金成本，保证高效支出</w:t>
            </w:r>
          </w:p>
        </w:tc>
        <w:tc>
          <w:tcPr>
            <w:tcW w:w="855" w:type="pct"/>
            <w:tcBorders>
              <w:top w:val="single" w:color="auto" w:sz="4" w:space="0"/>
              <w:left w:val="nil"/>
              <w:bottom w:val="single" w:color="auto" w:sz="4" w:space="0"/>
              <w:right w:val="single" w:color="auto" w:sz="4" w:space="0"/>
            </w:tcBorders>
            <w:vAlign w:val="center"/>
          </w:tcPr>
          <w:p w14:paraId="3D029A88">
            <w:pPr>
              <w:spacing w:line="520" w:lineRule="exact"/>
              <w:jc w:val="center"/>
              <w:rPr>
                <w:rFonts w:hint="eastAsia" w:ascii="仿宋_GB2312" w:hAnsi="Times New Roman" w:eastAsia="仿宋_GB2312" w:cs="Times New Roman"/>
                <w:sz w:val="28"/>
                <w:szCs w:val="28"/>
                <w:lang w:val="en-US" w:eastAsia="zh-CN"/>
              </w:rPr>
            </w:pPr>
            <w:r>
              <w:rPr>
                <w:rFonts w:hint="eastAsia" w:ascii="仿宋_GB2312" w:hAnsi="Times New Roman" w:eastAsia="仿宋_GB2312" w:cs="Times New Roman"/>
                <w:sz w:val="28"/>
                <w:szCs w:val="28"/>
                <w:lang w:val="en-US" w:eastAsia="zh-CN"/>
              </w:rPr>
              <w:t>项</w:t>
            </w:r>
          </w:p>
        </w:tc>
        <w:tc>
          <w:tcPr>
            <w:tcW w:w="987" w:type="pct"/>
            <w:tcBorders>
              <w:top w:val="single" w:color="auto" w:sz="4" w:space="0"/>
              <w:left w:val="nil"/>
              <w:bottom w:val="single" w:color="auto" w:sz="4" w:space="0"/>
              <w:right w:val="single" w:color="auto" w:sz="4" w:space="0"/>
            </w:tcBorders>
            <w:vAlign w:val="center"/>
          </w:tcPr>
          <w:p w14:paraId="16259EC3">
            <w:pPr>
              <w:spacing w:line="520" w:lineRule="exact"/>
              <w:jc w:val="center"/>
              <w:rPr>
                <w:rFonts w:hint="eastAsia" w:ascii="仿宋_GB2312" w:hAnsi="Times New Roman" w:eastAsia="仿宋_GB2312" w:cs="Times New Roman"/>
                <w:sz w:val="28"/>
                <w:szCs w:val="28"/>
              </w:rPr>
            </w:pPr>
            <w:r>
              <w:rPr>
                <w:rFonts w:hint="eastAsia" w:ascii="仿宋_GB2312" w:eastAsia="仿宋_GB2312"/>
                <w:sz w:val="28"/>
                <w:szCs w:val="28"/>
                <w:lang w:val="en-US" w:eastAsia="zh-CN"/>
              </w:rPr>
              <w:t>20</w:t>
            </w:r>
          </w:p>
        </w:tc>
      </w:tr>
    </w:tbl>
    <w:p w14:paraId="2C585B04">
      <w:pPr>
        <w:spacing w:line="580" w:lineRule="exact"/>
        <w:ind w:firstLine="641"/>
        <w:rPr>
          <w:rFonts w:hint="eastAsia" w:ascii="楷体_GB2312" w:hAnsi="Calibri" w:eastAsia="楷体_GB2312"/>
          <w:b/>
          <w:sz w:val="32"/>
          <w:szCs w:val="32"/>
        </w:rPr>
      </w:pPr>
      <w:r>
        <w:rPr>
          <w:rFonts w:hint="eastAsia" w:ascii="楷体_GB2312" w:eastAsia="楷体_GB2312"/>
          <w:b/>
          <w:sz w:val="32"/>
          <w:szCs w:val="32"/>
          <w:lang w:eastAsia="zh-CN"/>
        </w:rPr>
        <w:t>（二）</w:t>
      </w:r>
      <w:r>
        <w:rPr>
          <w:rFonts w:hint="eastAsia" w:ascii="楷体_GB2312" w:eastAsia="楷体_GB2312"/>
          <w:b/>
          <w:sz w:val="32"/>
          <w:szCs w:val="32"/>
        </w:rPr>
        <w:t>当年预算执行情况</w:t>
      </w:r>
      <w:bookmarkEnd w:id="3"/>
      <w:r>
        <w:rPr>
          <w:rFonts w:hint="eastAsia" w:ascii="仿宋_GB2312" w:eastAsia="仿宋_GB2312"/>
          <w:sz w:val="32"/>
          <w:szCs w:val="32"/>
        </w:rPr>
        <w:t xml:space="preserve">  </w:t>
      </w:r>
    </w:p>
    <w:p w14:paraId="1583C938">
      <w:pPr>
        <w:spacing w:line="580" w:lineRule="exact"/>
        <w:ind w:firstLine="641"/>
        <w:rPr>
          <w:rFonts w:hint="eastAsia" w:ascii="仿宋_GB2312" w:eastAsia="仿宋_GB2312"/>
          <w:sz w:val="32"/>
          <w:szCs w:val="32"/>
        </w:rPr>
      </w:pPr>
      <w:r>
        <w:rPr>
          <w:rFonts w:hint="eastAsia" w:ascii="仿宋_GB2312" w:eastAsia="仿宋_GB2312"/>
          <w:sz w:val="32"/>
          <w:szCs w:val="32"/>
          <w:lang w:eastAsia="zh-CN"/>
        </w:rPr>
        <w:t>2025年</w:t>
      </w:r>
      <w:r>
        <w:rPr>
          <w:rFonts w:hint="eastAsia" w:ascii="仿宋_GB2312" w:eastAsia="仿宋_GB2312"/>
          <w:sz w:val="32"/>
          <w:szCs w:val="32"/>
        </w:rPr>
        <w:t>全年预算数98,492,100.57元，其中，基本支出预算数19,344,708.58元，项目支出预算数   79,147,391.9</w:t>
      </w:r>
      <w:r>
        <w:rPr>
          <w:rFonts w:hint="eastAsia" w:ascii="仿宋_GB2312" w:eastAsia="仿宋_GB2312"/>
          <w:sz w:val="32"/>
          <w:szCs w:val="32"/>
          <w:lang w:val="en-US" w:eastAsia="zh-CN"/>
        </w:rPr>
        <w:t>9</w:t>
      </w:r>
      <w:r>
        <w:rPr>
          <w:rFonts w:hint="eastAsia" w:ascii="仿宋_GB2312" w:eastAsia="仿宋_GB2312"/>
          <w:sz w:val="32"/>
          <w:szCs w:val="32"/>
        </w:rPr>
        <w:t>元</w:t>
      </w:r>
      <w:r>
        <w:rPr>
          <w:rFonts w:hint="eastAsia" w:ascii="仿宋_GB2312" w:eastAsia="仿宋_GB2312"/>
          <w:sz w:val="32"/>
          <w:szCs w:val="32"/>
          <w:lang w:eastAsia="zh-CN"/>
        </w:rPr>
        <w:t>。</w:t>
      </w:r>
      <w:r>
        <w:rPr>
          <w:rFonts w:hint="eastAsia" w:ascii="仿宋_GB2312" w:eastAsia="仿宋_GB2312"/>
          <w:sz w:val="32"/>
          <w:szCs w:val="32"/>
          <w:highlight w:val="none"/>
        </w:rPr>
        <w:t>全年支出98,492,100.5</w:t>
      </w:r>
      <w:r>
        <w:rPr>
          <w:rFonts w:hint="eastAsia" w:ascii="仿宋_GB2312" w:eastAsia="仿宋_GB2312"/>
          <w:sz w:val="32"/>
          <w:szCs w:val="32"/>
          <w:highlight w:val="none"/>
          <w:lang w:val="en-US" w:eastAsia="zh-CN"/>
        </w:rPr>
        <w:t>7</w:t>
      </w:r>
      <w:r>
        <w:rPr>
          <w:rFonts w:hint="eastAsia" w:ascii="仿宋_GB2312" w:eastAsia="仿宋_GB2312"/>
          <w:sz w:val="32"/>
          <w:szCs w:val="32"/>
          <w:highlight w:val="none"/>
        </w:rPr>
        <w:t>元，其中</w:t>
      </w:r>
      <w:r>
        <w:rPr>
          <w:rFonts w:hint="eastAsia" w:ascii="仿宋_GB2312" w:eastAsia="仿宋_GB2312"/>
          <w:sz w:val="32"/>
          <w:szCs w:val="32"/>
          <w:highlight w:val="none"/>
          <w:lang w:eastAsia="zh-CN"/>
        </w:rPr>
        <w:t>，</w:t>
      </w:r>
      <w:r>
        <w:rPr>
          <w:rFonts w:hint="eastAsia" w:ascii="仿宋_GB2312" w:eastAsia="仿宋_GB2312"/>
          <w:sz w:val="32"/>
          <w:szCs w:val="32"/>
          <w:highlight w:val="none"/>
        </w:rPr>
        <w:t>基本支出</w:t>
      </w:r>
      <w:r>
        <w:rPr>
          <w:rFonts w:hint="eastAsia" w:ascii="仿宋_GB2312" w:eastAsia="仿宋_GB2312"/>
          <w:sz w:val="32"/>
          <w:szCs w:val="32"/>
        </w:rPr>
        <w:t>19,344,708.58</w:t>
      </w:r>
      <w:r>
        <w:rPr>
          <w:rFonts w:hint="eastAsia" w:ascii="仿宋_GB2312" w:eastAsia="仿宋_GB2312"/>
          <w:sz w:val="32"/>
          <w:szCs w:val="32"/>
          <w:highlight w:val="none"/>
        </w:rPr>
        <w:t>元，项目</w:t>
      </w:r>
      <w:r>
        <w:rPr>
          <w:rFonts w:hint="eastAsia" w:ascii="仿宋_GB2312" w:eastAsia="仿宋_GB2312"/>
          <w:sz w:val="32"/>
          <w:szCs w:val="32"/>
          <w:highlight w:val="none"/>
          <w:lang w:val="en-US" w:eastAsia="zh-CN"/>
        </w:rPr>
        <w:t>支出</w:t>
      </w:r>
      <w:r>
        <w:rPr>
          <w:rFonts w:hint="eastAsia" w:ascii="仿宋_GB2312" w:eastAsia="仿宋_GB2312"/>
          <w:sz w:val="32"/>
          <w:szCs w:val="32"/>
        </w:rPr>
        <w:t>79,147,391.9</w:t>
      </w:r>
      <w:r>
        <w:rPr>
          <w:rFonts w:hint="eastAsia" w:ascii="仿宋_GB2312" w:eastAsia="仿宋_GB2312"/>
          <w:sz w:val="32"/>
          <w:szCs w:val="32"/>
          <w:lang w:val="en-US" w:eastAsia="zh-CN"/>
        </w:rPr>
        <w:t>9</w:t>
      </w:r>
      <w:r>
        <w:rPr>
          <w:rFonts w:hint="eastAsia" w:ascii="仿宋_GB2312" w:eastAsia="仿宋_GB2312"/>
          <w:sz w:val="32"/>
          <w:szCs w:val="32"/>
          <w:highlight w:val="none"/>
        </w:rPr>
        <w:t>元。预算执行率为</w:t>
      </w:r>
      <w:r>
        <w:rPr>
          <w:rFonts w:hint="eastAsia" w:ascii="仿宋_GB2312" w:eastAsia="仿宋_GB2312"/>
          <w:sz w:val="32"/>
          <w:szCs w:val="32"/>
          <w:highlight w:val="none"/>
          <w:lang w:val="en-US" w:eastAsia="zh-CN"/>
        </w:rPr>
        <w:t>100.0</w:t>
      </w:r>
      <w:r>
        <w:rPr>
          <w:rFonts w:hint="eastAsia" w:ascii="仿宋_GB2312" w:eastAsia="仿宋_GB2312"/>
          <w:sz w:val="32"/>
          <w:szCs w:val="32"/>
          <w:highlight w:val="none"/>
        </w:rPr>
        <w:t xml:space="preserve">%。   </w:t>
      </w:r>
      <w:r>
        <w:rPr>
          <w:rFonts w:hint="eastAsia" w:ascii="仿宋_GB2312" w:eastAsia="仿宋_GB2312"/>
          <w:sz w:val="32"/>
          <w:szCs w:val="32"/>
        </w:rPr>
        <w:t xml:space="preserve">                               </w:t>
      </w:r>
    </w:p>
    <w:p w14:paraId="09B50D92">
      <w:pPr>
        <w:spacing w:line="580" w:lineRule="exact"/>
        <w:ind w:firstLine="641"/>
        <w:rPr>
          <w:rFonts w:hint="eastAsia" w:ascii="仿宋_GB2312" w:eastAsia="仿宋_GB2312"/>
          <w:sz w:val="32"/>
          <w:szCs w:val="32"/>
        </w:rPr>
      </w:pPr>
      <w:r>
        <w:rPr>
          <w:rFonts w:hint="eastAsia" w:ascii="仿宋_GB2312" w:eastAsia="仿宋_GB2312"/>
          <w:sz w:val="32"/>
          <w:szCs w:val="32"/>
          <w:lang w:eastAsia="zh-CN"/>
        </w:rPr>
        <w:t>2025年</w:t>
      </w:r>
      <w:r>
        <w:rPr>
          <w:rFonts w:hint="eastAsia" w:ascii="仿宋_GB2312" w:eastAsia="仿宋_GB2312"/>
          <w:sz w:val="32"/>
          <w:szCs w:val="32"/>
        </w:rPr>
        <w:t>年末结转结余资金总额为</w:t>
      </w:r>
      <w:r>
        <w:rPr>
          <w:rFonts w:hint="eastAsia" w:ascii="仿宋_GB2312" w:eastAsia="仿宋_GB2312"/>
          <w:sz w:val="32"/>
          <w:szCs w:val="32"/>
          <w:lang w:val="en-US" w:eastAsia="zh-CN"/>
        </w:rPr>
        <w:t>758.27</w:t>
      </w:r>
      <w:r>
        <w:rPr>
          <w:rFonts w:hint="eastAsia" w:ascii="仿宋_GB2312" w:eastAsia="仿宋_GB2312"/>
          <w:sz w:val="32"/>
          <w:szCs w:val="32"/>
        </w:rPr>
        <w:t>元，全年支出预算数为</w:t>
      </w:r>
      <w:r>
        <w:rPr>
          <w:rFonts w:hint="eastAsia" w:ascii="仿宋_GB2312" w:eastAsia="仿宋_GB2312"/>
          <w:sz w:val="32"/>
          <w:szCs w:val="32"/>
          <w:highlight w:val="none"/>
        </w:rPr>
        <w:t>98,492,100.57</w:t>
      </w:r>
      <w:r>
        <w:rPr>
          <w:rFonts w:hint="eastAsia" w:ascii="仿宋_GB2312" w:eastAsia="仿宋_GB2312"/>
          <w:sz w:val="32"/>
          <w:szCs w:val="32"/>
        </w:rPr>
        <w:t>元，资金结转结余率为</w:t>
      </w:r>
      <w:r>
        <w:rPr>
          <w:rFonts w:hint="eastAsia" w:ascii="仿宋_GB2312" w:eastAsia="仿宋_GB2312"/>
          <w:sz w:val="32"/>
          <w:szCs w:val="32"/>
          <w:lang w:val="en-US" w:eastAsia="zh-CN"/>
        </w:rPr>
        <w:t>0.0</w:t>
      </w:r>
      <w:r>
        <w:rPr>
          <w:rFonts w:hint="eastAsia" w:ascii="仿宋_GB2312" w:eastAsia="仿宋_GB2312"/>
          <w:sz w:val="32"/>
          <w:szCs w:val="32"/>
        </w:rPr>
        <w:t>%；</w:t>
      </w:r>
      <w:r>
        <w:rPr>
          <w:rFonts w:hint="eastAsia" w:ascii="仿宋_GB2312" w:eastAsia="仿宋_GB2312"/>
          <w:sz w:val="32"/>
          <w:szCs w:val="32"/>
          <w:lang w:eastAsia="zh-CN"/>
        </w:rPr>
        <w:t>2024年</w:t>
      </w:r>
      <w:r>
        <w:rPr>
          <w:rFonts w:hint="eastAsia" w:ascii="仿宋_GB2312" w:eastAsia="仿宋_GB2312"/>
          <w:sz w:val="32"/>
          <w:szCs w:val="32"/>
        </w:rPr>
        <w:t>年末结转结余资金总额为15,132.27元，全年支出预算数为64,600,440.63元，资金结转结余率为</w:t>
      </w:r>
      <w:r>
        <w:rPr>
          <w:rFonts w:hint="eastAsia" w:ascii="仿宋_GB2312" w:eastAsia="仿宋_GB2312"/>
          <w:sz w:val="32"/>
          <w:szCs w:val="32"/>
          <w:lang w:val="en-US" w:eastAsia="zh-CN"/>
        </w:rPr>
        <w:t>0.0</w:t>
      </w:r>
      <w:r>
        <w:rPr>
          <w:rFonts w:hint="eastAsia" w:ascii="仿宋_GB2312" w:eastAsia="仿宋_GB2312"/>
          <w:sz w:val="32"/>
          <w:szCs w:val="32"/>
        </w:rPr>
        <w:t>%；</w:t>
      </w:r>
      <w:r>
        <w:rPr>
          <w:rFonts w:hint="eastAsia" w:ascii="仿宋_GB2312" w:eastAsia="仿宋_GB2312"/>
          <w:sz w:val="32"/>
          <w:szCs w:val="32"/>
          <w:lang w:eastAsia="zh-CN"/>
        </w:rPr>
        <w:t>2025年</w:t>
      </w:r>
      <w:r>
        <w:rPr>
          <w:rFonts w:hint="eastAsia" w:ascii="仿宋_GB2312" w:eastAsia="仿宋_GB2312"/>
          <w:sz w:val="32"/>
          <w:szCs w:val="32"/>
        </w:rPr>
        <w:t>度部门结转结余率较上一年下降了</w:t>
      </w:r>
      <w:r>
        <w:rPr>
          <w:rFonts w:hint="eastAsia" w:ascii="仿宋_GB2312" w:eastAsia="仿宋_GB2312"/>
          <w:sz w:val="32"/>
          <w:szCs w:val="32"/>
          <w:lang w:val="en-US" w:eastAsia="zh-CN"/>
        </w:rPr>
        <w:t>0.0</w:t>
      </w:r>
      <w:r>
        <w:rPr>
          <w:rFonts w:hint="eastAsia" w:ascii="仿宋_GB2312" w:eastAsia="仿宋_GB2312"/>
          <w:sz w:val="32"/>
          <w:szCs w:val="32"/>
        </w:rPr>
        <w:t>%。</w:t>
      </w:r>
    </w:p>
    <w:p w14:paraId="2FE68622">
      <w:pPr>
        <w:spacing w:line="580" w:lineRule="exact"/>
        <w:ind w:firstLine="641"/>
        <w:rPr>
          <w:rFonts w:hint="eastAsia" w:ascii="楷体_GB2312" w:eastAsia="楷体_GB2312"/>
          <w:b/>
          <w:sz w:val="32"/>
          <w:szCs w:val="32"/>
        </w:rPr>
      </w:pPr>
      <w:r>
        <w:rPr>
          <w:rFonts w:hint="eastAsia" w:ascii="楷体_GB2312" w:eastAsia="楷体_GB2312"/>
          <w:b/>
          <w:sz w:val="32"/>
          <w:szCs w:val="32"/>
        </w:rPr>
        <w:t>（三）整体绩效目标实现情况</w:t>
      </w:r>
    </w:p>
    <w:p w14:paraId="4F0527D9">
      <w:pPr>
        <w:spacing w:line="580" w:lineRule="exact"/>
        <w:ind w:firstLine="641"/>
        <w:rPr>
          <w:rFonts w:hint="eastAsia" w:ascii="仿宋_GB2312" w:eastAsia="仿宋_GB2312"/>
          <w:sz w:val="32"/>
          <w:szCs w:val="32"/>
        </w:rPr>
      </w:pPr>
      <w:r>
        <w:rPr>
          <w:rFonts w:hint="eastAsia" w:ascii="仿宋_GB2312" w:eastAsia="仿宋_GB2312"/>
          <w:sz w:val="32"/>
          <w:szCs w:val="32"/>
        </w:rPr>
        <w:t>1.产出完成情况分析</w:t>
      </w:r>
    </w:p>
    <w:p w14:paraId="2F842ECF">
      <w:pPr>
        <w:spacing w:line="580" w:lineRule="exact"/>
        <w:ind w:firstLine="641"/>
        <w:rPr>
          <w:rFonts w:hint="eastAsia" w:ascii="仿宋_GB2312" w:eastAsia="仿宋_GB2312"/>
          <w:sz w:val="32"/>
          <w:szCs w:val="32"/>
        </w:rPr>
      </w:pPr>
      <w:r>
        <w:rPr>
          <w:rFonts w:hint="eastAsia" w:ascii="仿宋_GB2312" w:eastAsia="仿宋_GB2312"/>
          <w:sz w:val="32"/>
          <w:szCs w:val="32"/>
        </w:rPr>
        <w:t>（1）产出数量</w:t>
      </w:r>
    </w:p>
    <w:tbl>
      <w:tblPr>
        <w:tblStyle w:val="10"/>
        <w:tblW w:w="9200" w:type="dxa"/>
        <w:tblInd w:w="108" w:type="dxa"/>
        <w:tblLayout w:type="autofit"/>
        <w:tblCellMar>
          <w:top w:w="0" w:type="dxa"/>
          <w:left w:w="108" w:type="dxa"/>
          <w:bottom w:w="0" w:type="dxa"/>
          <w:right w:w="108" w:type="dxa"/>
        </w:tblCellMar>
      </w:tblPr>
      <w:tblGrid>
        <w:gridCol w:w="880"/>
        <w:gridCol w:w="1984"/>
        <w:gridCol w:w="1701"/>
        <w:gridCol w:w="1843"/>
        <w:gridCol w:w="2792"/>
      </w:tblGrid>
      <w:tr w14:paraId="18DCAF54">
        <w:tblPrEx>
          <w:tblCellMar>
            <w:top w:w="0" w:type="dxa"/>
            <w:left w:w="108" w:type="dxa"/>
            <w:bottom w:w="0" w:type="dxa"/>
            <w:right w:w="108" w:type="dxa"/>
          </w:tblCellMar>
        </w:tblPrEx>
        <w:trPr>
          <w:trHeight w:val="510" w:hRule="atLeast"/>
        </w:trPr>
        <w:tc>
          <w:tcPr>
            <w:tcW w:w="880" w:type="dxa"/>
            <w:tcBorders>
              <w:top w:val="single" w:color="auto" w:sz="4" w:space="0"/>
              <w:left w:val="single" w:color="auto" w:sz="4" w:space="0"/>
              <w:bottom w:val="single" w:color="auto" w:sz="4" w:space="0"/>
              <w:right w:val="single" w:color="auto" w:sz="4" w:space="0"/>
            </w:tcBorders>
            <w:vAlign w:val="center"/>
          </w:tcPr>
          <w:p w14:paraId="124ED975">
            <w:pPr>
              <w:spacing w:line="520" w:lineRule="exact"/>
              <w:jc w:val="center"/>
              <w:rPr>
                <w:rFonts w:hint="eastAsia" w:ascii="仿宋_GB2312" w:eastAsia="仿宋_GB2312"/>
                <w:sz w:val="28"/>
                <w:szCs w:val="28"/>
              </w:rPr>
            </w:pPr>
            <w:r>
              <w:rPr>
                <w:rFonts w:hint="eastAsia" w:ascii="仿宋_GB2312" w:eastAsia="仿宋_GB2312"/>
                <w:sz w:val="28"/>
                <w:szCs w:val="28"/>
              </w:rPr>
              <w:t>序号</w:t>
            </w:r>
          </w:p>
        </w:tc>
        <w:tc>
          <w:tcPr>
            <w:tcW w:w="1984" w:type="dxa"/>
            <w:tcBorders>
              <w:top w:val="single" w:color="auto" w:sz="4" w:space="0"/>
              <w:left w:val="nil"/>
              <w:bottom w:val="single" w:color="auto" w:sz="4" w:space="0"/>
              <w:right w:val="single" w:color="auto" w:sz="4" w:space="0"/>
            </w:tcBorders>
            <w:vAlign w:val="center"/>
          </w:tcPr>
          <w:p w14:paraId="3DA4FC22">
            <w:pPr>
              <w:spacing w:line="520" w:lineRule="exact"/>
              <w:jc w:val="center"/>
              <w:rPr>
                <w:rFonts w:hint="eastAsia" w:ascii="仿宋_GB2312" w:eastAsia="仿宋_GB2312"/>
                <w:sz w:val="28"/>
                <w:szCs w:val="28"/>
              </w:rPr>
            </w:pPr>
            <w:r>
              <w:rPr>
                <w:rFonts w:hint="eastAsia" w:ascii="仿宋_GB2312" w:eastAsia="仿宋_GB2312"/>
                <w:sz w:val="28"/>
                <w:szCs w:val="28"/>
              </w:rPr>
              <w:t>三级指标</w:t>
            </w:r>
          </w:p>
        </w:tc>
        <w:tc>
          <w:tcPr>
            <w:tcW w:w="1701" w:type="dxa"/>
            <w:tcBorders>
              <w:top w:val="single" w:color="auto" w:sz="4" w:space="0"/>
              <w:left w:val="nil"/>
              <w:bottom w:val="single" w:color="auto" w:sz="4" w:space="0"/>
              <w:right w:val="single" w:color="auto" w:sz="4" w:space="0"/>
            </w:tcBorders>
            <w:vAlign w:val="center"/>
          </w:tcPr>
          <w:p w14:paraId="40548E5A">
            <w:pPr>
              <w:spacing w:line="520" w:lineRule="exact"/>
              <w:jc w:val="center"/>
              <w:rPr>
                <w:rFonts w:hint="eastAsia" w:ascii="仿宋_GB2312" w:eastAsia="仿宋_GB2312"/>
                <w:sz w:val="28"/>
                <w:szCs w:val="28"/>
              </w:rPr>
            </w:pPr>
            <w:r>
              <w:rPr>
                <w:rFonts w:hint="eastAsia" w:ascii="仿宋_GB2312" w:eastAsia="仿宋_GB2312"/>
                <w:sz w:val="28"/>
                <w:szCs w:val="28"/>
              </w:rPr>
              <w:t>计划值</w:t>
            </w:r>
          </w:p>
        </w:tc>
        <w:tc>
          <w:tcPr>
            <w:tcW w:w="1843" w:type="dxa"/>
            <w:tcBorders>
              <w:top w:val="single" w:color="auto" w:sz="4" w:space="0"/>
              <w:left w:val="nil"/>
              <w:bottom w:val="single" w:color="auto" w:sz="4" w:space="0"/>
              <w:right w:val="single" w:color="auto" w:sz="4" w:space="0"/>
            </w:tcBorders>
            <w:vAlign w:val="center"/>
          </w:tcPr>
          <w:p w14:paraId="683550C0">
            <w:pPr>
              <w:spacing w:line="520" w:lineRule="exact"/>
              <w:jc w:val="center"/>
              <w:rPr>
                <w:rFonts w:hint="eastAsia" w:ascii="仿宋_GB2312" w:eastAsia="仿宋_GB2312"/>
                <w:sz w:val="28"/>
                <w:szCs w:val="28"/>
              </w:rPr>
            </w:pPr>
            <w:r>
              <w:rPr>
                <w:rFonts w:hint="eastAsia" w:ascii="仿宋_GB2312" w:eastAsia="仿宋_GB2312"/>
                <w:sz w:val="28"/>
                <w:szCs w:val="28"/>
              </w:rPr>
              <w:t>完成值</w:t>
            </w:r>
          </w:p>
        </w:tc>
        <w:tc>
          <w:tcPr>
            <w:tcW w:w="2792" w:type="dxa"/>
            <w:tcBorders>
              <w:top w:val="single" w:color="auto" w:sz="4" w:space="0"/>
              <w:left w:val="nil"/>
              <w:bottom w:val="single" w:color="auto" w:sz="4" w:space="0"/>
              <w:right w:val="single" w:color="auto" w:sz="4" w:space="0"/>
            </w:tcBorders>
            <w:vAlign w:val="center"/>
          </w:tcPr>
          <w:p w14:paraId="63167DEF">
            <w:pPr>
              <w:spacing w:line="520" w:lineRule="exact"/>
              <w:jc w:val="center"/>
              <w:rPr>
                <w:rFonts w:hint="eastAsia" w:ascii="仿宋_GB2312" w:eastAsia="仿宋_GB2312"/>
                <w:sz w:val="28"/>
                <w:szCs w:val="28"/>
              </w:rPr>
            </w:pPr>
            <w:r>
              <w:rPr>
                <w:rFonts w:hint="eastAsia" w:ascii="仿宋_GB2312" w:eastAsia="仿宋_GB2312"/>
                <w:sz w:val="28"/>
                <w:szCs w:val="28"/>
              </w:rPr>
              <w:t>偏差原因</w:t>
            </w:r>
          </w:p>
        </w:tc>
      </w:tr>
      <w:tr w14:paraId="6F2C3AD8">
        <w:tblPrEx>
          <w:tblCellMar>
            <w:top w:w="0" w:type="dxa"/>
            <w:left w:w="108" w:type="dxa"/>
            <w:bottom w:w="0" w:type="dxa"/>
            <w:right w:w="108" w:type="dxa"/>
          </w:tblCellMar>
        </w:tblPrEx>
        <w:trPr>
          <w:trHeight w:val="510" w:hRule="atLeast"/>
        </w:trPr>
        <w:tc>
          <w:tcPr>
            <w:tcW w:w="880" w:type="dxa"/>
            <w:tcBorders>
              <w:top w:val="nil"/>
              <w:left w:val="single" w:color="auto" w:sz="4" w:space="0"/>
              <w:bottom w:val="single" w:color="auto" w:sz="4" w:space="0"/>
              <w:right w:val="single" w:color="auto" w:sz="4" w:space="0"/>
            </w:tcBorders>
            <w:vAlign w:val="center"/>
          </w:tcPr>
          <w:p w14:paraId="75DA2DFA">
            <w:pPr>
              <w:spacing w:line="520" w:lineRule="exact"/>
              <w:jc w:val="center"/>
              <w:rPr>
                <w:rFonts w:hint="eastAsia" w:ascii="仿宋_GB2312" w:eastAsia="仿宋_GB2312"/>
                <w:sz w:val="28"/>
                <w:szCs w:val="28"/>
              </w:rPr>
            </w:pPr>
            <w:r>
              <w:rPr>
                <w:rFonts w:hint="eastAsia" w:ascii="仿宋_GB2312" w:eastAsia="仿宋_GB2312"/>
                <w:sz w:val="28"/>
                <w:szCs w:val="28"/>
              </w:rPr>
              <w:t>1</w:t>
            </w:r>
          </w:p>
        </w:tc>
        <w:tc>
          <w:tcPr>
            <w:tcW w:w="1984" w:type="dxa"/>
            <w:tcBorders>
              <w:top w:val="nil"/>
              <w:left w:val="nil"/>
              <w:bottom w:val="single" w:color="auto" w:sz="4" w:space="0"/>
              <w:right w:val="single" w:color="auto" w:sz="4" w:space="0"/>
            </w:tcBorders>
            <w:vAlign w:val="center"/>
          </w:tcPr>
          <w:p w14:paraId="01B1E19B">
            <w:pPr>
              <w:spacing w:line="520" w:lineRule="exact"/>
              <w:ind w:firstLine="280" w:firstLineChars="100"/>
              <w:jc w:val="both"/>
              <w:rPr>
                <w:rFonts w:hint="eastAsia" w:ascii="仿宋_GB2312" w:eastAsia="仿宋_GB2312"/>
                <w:sz w:val="28"/>
                <w:szCs w:val="28"/>
              </w:rPr>
            </w:pPr>
            <w:r>
              <w:rPr>
                <w:rFonts w:hint="eastAsia" w:ascii="仿宋_GB2312" w:hAnsi="宋体" w:eastAsia="仿宋_GB2312" w:cs="宋体"/>
                <w:color w:val="000000"/>
                <w:kern w:val="0"/>
                <w:sz w:val="28"/>
                <w:szCs w:val="28"/>
                <w:lang w:val="en-US" w:eastAsia="zh-CN"/>
              </w:rPr>
              <w:t>服务社区</w:t>
            </w:r>
          </w:p>
        </w:tc>
        <w:tc>
          <w:tcPr>
            <w:tcW w:w="1701" w:type="dxa"/>
            <w:tcBorders>
              <w:top w:val="nil"/>
              <w:left w:val="nil"/>
              <w:bottom w:val="single" w:color="auto" w:sz="4" w:space="0"/>
              <w:right w:val="single" w:color="auto" w:sz="4" w:space="0"/>
            </w:tcBorders>
            <w:vAlign w:val="center"/>
          </w:tcPr>
          <w:p w14:paraId="03F06F1E">
            <w:pPr>
              <w:spacing w:line="520" w:lineRule="exact"/>
              <w:jc w:val="center"/>
              <w:rPr>
                <w:rFonts w:hint="eastAsia" w:ascii="仿宋_GB2312" w:eastAsia="仿宋_GB2312"/>
                <w:sz w:val="28"/>
                <w:szCs w:val="28"/>
              </w:rPr>
            </w:pPr>
            <w:r>
              <w:rPr>
                <w:rFonts w:hint="eastAsia" w:ascii="仿宋_GB2312" w:hAnsi="宋体" w:eastAsia="仿宋_GB2312" w:cs="宋体"/>
                <w:color w:val="000000"/>
                <w:kern w:val="0"/>
                <w:sz w:val="28"/>
                <w:szCs w:val="28"/>
                <w:lang w:val="en-US" w:eastAsia="zh-CN"/>
              </w:rPr>
              <w:t>≥9个</w:t>
            </w:r>
          </w:p>
        </w:tc>
        <w:tc>
          <w:tcPr>
            <w:tcW w:w="1843" w:type="dxa"/>
            <w:tcBorders>
              <w:top w:val="nil"/>
              <w:left w:val="nil"/>
              <w:bottom w:val="single" w:color="auto" w:sz="4" w:space="0"/>
              <w:right w:val="single" w:color="auto" w:sz="4" w:space="0"/>
            </w:tcBorders>
            <w:vAlign w:val="center"/>
          </w:tcPr>
          <w:p w14:paraId="322D4DBC">
            <w:pPr>
              <w:spacing w:line="520" w:lineRule="exact"/>
              <w:ind w:firstLine="640"/>
              <w:jc w:val="both"/>
              <w:rPr>
                <w:rFonts w:hint="eastAsia" w:ascii="仿宋_GB2312" w:eastAsia="仿宋_GB2312"/>
                <w:sz w:val="28"/>
                <w:szCs w:val="28"/>
                <w:lang w:val="en-US" w:eastAsia="zh-CN"/>
              </w:rPr>
            </w:pPr>
            <w:r>
              <w:rPr>
                <w:rFonts w:hint="eastAsia" w:ascii="仿宋_GB2312" w:eastAsia="仿宋_GB2312"/>
                <w:sz w:val="28"/>
                <w:szCs w:val="28"/>
                <w:lang w:val="en-US" w:eastAsia="zh-CN"/>
              </w:rPr>
              <w:t>9</w:t>
            </w:r>
          </w:p>
        </w:tc>
        <w:tc>
          <w:tcPr>
            <w:tcW w:w="2792" w:type="dxa"/>
            <w:tcBorders>
              <w:top w:val="nil"/>
              <w:left w:val="nil"/>
              <w:bottom w:val="single" w:color="auto" w:sz="4" w:space="0"/>
              <w:right w:val="single" w:color="auto" w:sz="4" w:space="0"/>
            </w:tcBorders>
            <w:vAlign w:val="center"/>
          </w:tcPr>
          <w:p w14:paraId="31A2DFE5">
            <w:pPr>
              <w:spacing w:line="520" w:lineRule="exact"/>
              <w:ind w:firstLine="640"/>
              <w:jc w:val="center"/>
              <w:rPr>
                <w:rFonts w:hint="eastAsia" w:ascii="仿宋_GB2312" w:eastAsia="仿宋_GB2312"/>
                <w:sz w:val="28"/>
                <w:szCs w:val="28"/>
                <w:lang w:val="en-US" w:eastAsia="zh-CN"/>
              </w:rPr>
            </w:pPr>
            <w:r>
              <w:rPr>
                <w:rFonts w:hint="eastAsia" w:ascii="仿宋_GB2312" w:eastAsia="仿宋_GB2312"/>
                <w:sz w:val="28"/>
                <w:szCs w:val="28"/>
                <w:lang w:val="en-US" w:eastAsia="zh-CN"/>
              </w:rPr>
              <w:t>无</w:t>
            </w:r>
          </w:p>
        </w:tc>
      </w:tr>
    </w:tbl>
    <w:p w14:paraId="48CF2369">
      <w:pPr>
        <w:spacing w:line="580" w:lineRule="exact"/>
        <w:ind w:firstLine="640"/>
        <w:rPr>
          <w:rFonts w:hint="eastAsia" w:ascii="仿宋_GB2312" w:eastAsia="仿宋_GB2312"/>
          <w:sz w:val="32"/>
          <w:szCs w:val="32"/>
        </w:rPr>
      </w:pPr>
      <w:r>
        <w:rPr>
          <w:rFonts w:hint="eastAsia" w:ascii="仿宋_GB2312" w:eastAsia="仿宋_GB2312"/>
          <w:sz w:val="32"/>
          <w:szCs w:val="32"/>
        </w:rPr>
        <w:t>（2）产出质量</w:t>
      </w:r>
    </w:p>
    <w:p w14:paraId="12DD1B62">
      <w:pPr>
        <w:spacing w:line="580" w:lineRule="exact"/>
        <w:ind w:firstLine="640" w:firstLineChars="200"/>
        <w:rPr>
          <w:rFonts w:hint="eastAsia" w:ascii="仿宋_GB2312" w:eastAsia="仿宋_GB2312"/>
          <w:sz w:val="32"/>
          <w:szCs w:val="32"/>
        </w:rPr>
      </w:pPr>
      <w:r>
        <w:rPr>
          <w:rFonts w:hint="eastAsia" w:ascii="仿宋_GB2312" w:eastAsia="仿宋_GB2312"/>
          <w:sz w:val="32"/>
          <w:szCs w:val="32"/>
        </w:rPr>
        <w:t>（3）产出进度</w:t>
      </w:r>
    </w:p>
    <w:tbl>
      <w:tblPr>
        <w:tblStyle w:val="10"/>
        <w:tblW w:w="9200" w:type="dxa"/>
        <w:tblInd w:w="108" w:type="dxa"/>
        <w:tblLayout w:type="autofit"/>
        <w:tblCellMar>
          <w:top w:w="0" w:type="dxa"/>
          <w:left w:w="108" w:type="dxa"/>
          <w:bottom w:w="0" w:type="dxa"/>
          <w:right w:w="108" w:type="dxa"/>
        </w:tblCellMar>
      </w:tblPr>
      <w:tblGrid>
        <w:gridCol w:w="880"/>
        <w:gridCol w:w="1984"/>
        <w:gridCol w:w="1701"/>
        <w:gridCol w:w="1843"/>
        <w:gridCol w:w="2792"/>
      </w:tblGrid>
      <w:tr w14:paraId="0E325D85">
        <w:tblPrEx>
          <w:tblCellMar>
            <w:top w:w="0" w:type="dxa"/>
            <w:left w:w="108" w:type="dxa"/>
            <w:bottom w:w="0" w:type="dxa"/>
            <w:right w:w="108" w:type="dxa"/>
          </w:tblCellMar>
        </w:tblPrEx>
        <w:trPr>
          <w:trHeight w:val="510" w:hRule="atLeast"/>
        </w:trPr>
        <w:tc>
          <w:tcPr>
            <w:tcW w:w="880" w:type="dxa"/>
            <w:tcBorders>
              <w:top w:val="single" w:color="auto" w:sz="4" w:space="0"/>
              <w:left w:val="single" w:color="auto" w:sz="4" w:space="0"/>
              <w:bottom w:val="single" w:color="auto" w:sz="4" w:space="0"/>
              <w:right w:val="single" w:color="auto" w:sz="4" w:space="0"/>
            </w:tcBorders>
            <w:vAlign w:val="center"/>
          </w:tcPr>
          <w:p w14:paraId="7CA9E2BB">
            <w:pPr>
              <w:spacing w:line="520" w:lineRule="exact"/>
              <w:jc w:val="center"/>
              <w:rPr>
                <w:rFonts w:hint="eastAsia" w:ascii="仿宋_GB2312" w:eastAsia="仿宋_GB2312"/>
                <w:sz w:val="28"/>
                <w:szCs w:val="28"/>
              </w:rPr>
            </w:pPr>
            <w:r>
              <w:rPr>
                <w:rFonts w:hint="eastAsia" w:ascii="仿宋_GB2312" w:eastAsia="仿宋_GB2312"/>
                <w:sz w:val="28"/>
                <w:szCs w:val="28"/>
              </w:rPr>
              <w:t>序号</w:t>
            </w:r>
          </w:p>
        </w:tc>
        <w:tc>
          <w:tcPr>
            <w:tcW w:w="1984" w:type="dxa"/>
            <w:tcBorders>
              <w:top w:val="single" w:color="auto" w:sz="4" w:space="0"/>
              <w:left w:val="nil"/>
              <w:bottom w:val="single" w:color="auto" w:sz="4" w:space="0"/>
              <w:right w:val="single" w:color="auto" w:sz="4" w:space="0"/>
            </w:tcBorders>
            <w:vAlign w:val="center"/>
          </w:tcPr>
          <w:p w14:paraId="57AC9297">
            <w:pPr>
              <w:spacing w:line="520" w:lineRule="exact"/>
              <w:jc w:val="center"/>
              <w:rPr>
                <w:rFonts w:hint="eastAsia" w:ascii="仿宋_GB2312" w:eastAsia="仿宋_GB2312"/>
                <w:sz w:val="28"/>
                <w:szCs w:val="28"/>
              </w:rPr>
            </w:pPr>
            <w:r>
              <w:rPr>
                <w:rFonts w:hint="eastAsia" w:ascii="仿宋_GB2312" w:eastAsia="仿宋_GB2312"/>
                <w:sz w:val="28"/>
                <w:szCs w:val="28"/>
              </w:rPr>
              <w:t>三级指标</w:t>
            </w:r>
          </w:p>
        </w:tc>
        <w:tc>
          <w:tcPr>
            <w:tcW w:w="1701" w:type="dxa"/>
            <w:tcBorders>
              <w:top w:val="single" w:color="auto" w:sz="4" w:space="0"/>
              <w:left w:val="nil"/>
              <w:bottom w:val="single" w:color="auto" w:sz="4" w:space="0"/>
              <w:right w:val="single" w:color="auto" w:sz="4" w:space="0"/>
            </w:tcBorders>
            <w:vAlign w:val="center"/>
          </w:tcPr>
          <w:p w14:paraId="75682B99">
            <w:pPr>
              <w:spacing w:line="520" w:lineRule="exact"/>
              <w:jc w:val="center"/>
              <w:rPr>
                <w:rFonts w:hint="eastAsia" w:ascii="仿宋_GB2312" w:eastAsia="仿宋_GB2312"/>
                <w:sz w:val="28"/>
                <w:szCs w:val="28"/>
              </w:rPr>
            </w:pPr>
            <w:r>
              <w:rPr>
                <w:rFonts w:hint="eastAsia" w:ascii="仿宋_GB2312" w:eastAsia="仿宋_GB2312"/>
                <w:sz w:val="28"/>
                <w:szCs w:val="28"/>
              </w:rPr>
              <w:t>计划值</w:t>
            </w:r>
          </w:p>
        </w:tc>
        <w:tc>
          <w:tcPr>
            <w:tcW w:w="1843" w:type="dxa"/>
            <w:tcBorders>
              <w:top w:val="single" w:color="auto" w:sz="4" w:space="0"/>
              <w:left w:val="nil"/>
              <w:bottom w:val="single" w:color="auto" w:sz="4" w:space="0"/>
              <w:right w:val="single" w:color="auto" w:sz="4" w:space="0"/>
            </w:tcBorders>
            <w:vAlign w:val="center"/>
          </w:tcPr>
          <w:p w14:paraId="221C5D00">
            <w:pPr>
              <w:spacing w:line="520" w:lineRule="exact"/>
              <w:jc w:val="center"/>
              <w:rPr>
                <w:rFonts w:hint="eastAsia" w:ascii="仿宋_GB2312" w:eastAsia="仿宋_GB2312"/>
                <w:sz w:val="28"/>
                <w:szCs w:val="28"/>
              </w:rPr>
            </w:pPr>
            <w:r>
              <w:rPr>
                <w:rFonts w:hint="eastAsia" w:ascii="仿宋_GB2312" w:eastAsia="仿宋_GB2312"/>
                <w:sz w:val="28"/>
                <w:szCs w:val="28"/>
              </w:rPr>
              <w:t>完成值</w:t>
            </w:r>
          </w:p>
        </w:tc>
        <w:tc>
          <w:tcPr>
            <w:tcW w:w="2792" w:type="dxa"/>
            <w:tcBorders>
              <w:top w:val="single" w:color="auto" w:sz="4" w:space="0"/>
              <w:left w:val="nil"/>
              <w:bottom w:val="single" w:color="auto" w:sz="4" w:space="0"/>
              <w:right w:val="single" w:color="auto" w:sz="4" w:space="0"/>
            </w:tcBorders>
            <w:vAlign w:val="center"/>
          </w:tcPr>
          <w:p w14:paraId="274285CF">
            <w:pPr>
              <w:spacing w:line="520" w:lineRule="exact"/>
              <w:jc w:val="center"/>
              <w:rPr>
                <w:rFonts w:hint="eastAsia" w:ascii="仿宋_GB2312" w:eastAsia="仿宋_GB2312"/>
                <w:sz w:val="28"/>
                <w:szCs w:val="28"/>
              </w:rPr>
            </w:pPr>
            <w:r>
              <w:rPr>
                <w:rFonts w:hint="eastAsia" w:ascii="仿宋_GB2312" w:eastAsia="仿宋_GB2312"/>
                <w:sz w:val="28"/>
                <w:szCs w:val="28"/>
              </w:rPr>
              <w:t>偏差原因</w:t>
            </w:r>
          </w:p>
        </w:tc>
      </w:tr>
      <w:tr w14:paraId="4849AF60">
        <w:tblPrEx>
          <w:tblCellMar>
            <w:top w:w="0" w:type="dxa"/>
            <w:left w:w="108" w:type="dxa"/>
            <w:bottom w:w="0" w:type="dxa"/>
            <w:right w:w="108" w:type="dxa"/>
          </w:tblCellMar>
        </w:tblPrEx>
        <w:trPr>
          <w:trHeight w:val="510" w:hRule="atLeast"/>
        </w:trPr>
        <w:tc>
          <w:tcPr>
            <w:tcW w:w="880" w:type="dxa"/>
            <w:tcBorders>
              <w:top w:val="nil"/>
              <w:left w:val="single" w:color="auto" w:sz="4" w:space="0"/>
              <w:bottom w:val="single" w:color="auto" w:sz="4" w:space="0"/>
              <w:right w:val="single" w:color="auto" w:sz="4" w:space="0"/>
            </w:tcBorders>
            <w:vAlign w:val="center"/>
          </w:tcPr>
          <w:p w14:paraId="60705ACA">
            <w:pPr>
              <w:spacing w:line="520" w:lineRule="exact"/>
              <w:jc w:val="center"/>
              <w:rPr>
                <w:rFonts w:hint="eastAsia" w:ascii="仿宋_GB2312" w:eastAsia="仿宋_GB2312"/>
                <w:sz w:val="28"/>
                <w:szCs w:val="28"/>
              </w:rPr>
            </w:pPr>
            <w:r>
              <w:rPr>
                <w:rFonts w:hint="eastAsia" w:ascii="仿宋_GB2312" w:eastAsia="仿宋_GB2312"/>
                <w:sz w:val="28"/>
                <w:szCs w:val="28"/>
              </w:rPr>
              <w:t>1</w:t>
            </w:r>
          </w:p>
        </w:tc>
        <w:tc>
          <w:tcPr>
            <w:tcW w:w="1984" w:type="dxa"/>
            <w:tcBorders>
              <w:top w:val="nil"/>
              <w:left w:val="nil"/>
              <w:bottom w:val="single" w:color="auto" w:sz="4" w:space="0"/>
              <w:right w:val="single" w:color="auto" w:sz="4" w:space="0"/>
            </w:tcBorders>
            <w:vAlign w:val="center"/>
          </w:tcPr>
          <w:p w14:paraId="3D53D8D2">
            <w:pPr>
              <w:widowControl/>
              <w:spacing w:line="520" w:lineRule="exact"/>
              <w:jc w:val="center"/>
              <w:rPr>
                <w:rFonts w:hint="eastAsia" w:ascii="仿宋_GB2312" w:eastAsia="仿宋_GB2312"/>
                <w:sz w:val="28"/>
                <w:szCs w:val="28"/>
              </w:rPr>
            </w:pPr>
            <w:r>
              <w:rPr>
                <w:rFonts w:hint="eastAsia" w:ascii="仿宋_GB2312" w:hAnsi="宋体" w:eastAsia="仿宋_GB2312" w:cs="宋体"/>
                <w:color w:val="000000"/>
                <w:kern w:val="0"/>
                <w:sz w:val="28"/>
                <w:szCs w:val="28"/>
                <w:lang w:val="en-US" w:eastAsia="zh-CN"/>
              </w:rPr>
              <w:t>发放时效</w:t>
            </w:r>
          </w:p>
        </w:tc>
        <w:tc>
          <w:tcPr>
            <w:tcW w:w="1701" w:type="dxa"/>
            <w:tcBorders>
              <w:top w:val="nil"/>
              <w:left w:val="nil"/>
              <w:bottom w:val="single" w:color="auto" w:sz="4" w:space="0"/>
              <w:right w:val="single" w:color="auto" w:sz="4" w:space="0"/>
            </w:tcBorders>
            <w:vAlign w:val="center"/>
          </w:tcPr>
          <w:p w14:paraId="16F7B19A">
            <w:pPr>
              <w:widowControl/>
              <w:spacing w:line="520" w:lineRule="exact"/>
              <w:jc w:val="center"/>
              <w:rPr>
                <w:rFonts w:hint="eastAsia" w:ascii="仿宋_GB2312" w:eastAsia="仿宋_GB2312"/>
                <w:sz w:val="28"/>
                <w:szCs w:val="28"/>
              </w:rPr>
            </w:pPr>
            <w:r>
              <w:rPr>
                <w:rFonts w:hint="eastAsia" w:ascii="仿宋_GB2312" w:hAnsi="宋体" w:eastAsia="仿宋_GB2312" w:cs="宋体"/>
                <w:color w:val="000000"/>
                <w:kern w:val="0"/>
                <w:sz w:val="28"/>
                <w:szCs w:val="28"/>
                <w:lang w:val="en-US" w:eastAsia="zh-CN"/>
              </w:rPr>
              <w:t>≥2025年</w:t>
            </w:r>
          </w:p>
        </w:tc>
        <w:tc>
          <w:tcPr>
            <w:tcW w:w="1843" w:type="dxa"/>
            <w:tcBorders>
              <w:top w:val="nil"/>
              <w:left w:val="nil"/>
              <w:bottom w:val="single" w:color="auto" w:sz="4" w:space="0"/>
              <w:right w:val="single" w:color="auto" w:sz="4" w:space="0"/>
            </w:tcBorders>
            <w:vAlign w:val="center"/>
          </w:tcPr>
          <w:p w14:paraId="21311508">
            <w:pPr>
              <w:widowControl/>
              <w:spacing w:line="520" w:lineRule="exact"/>
              <w:jc w:val="center"/>
              <w:rPr>
                <w:rFonts w:hint="eastAsia" w:ascii="仿宋_GB2312" w:eastAsia="仿宋_GB2312"/>
                <w:sz w:val="28"/>
                <w:szCs w:val="28"/>
                <w:lang w:val="en-US" w:eastAsia="zh-CN"/>
              </w:rPr>
            </w:pPr>
            <w:r>
              <w:rPr>
                <w:rFonts w:hint="eastAsia" w:ascii="仿宋_GB2312" w:hAnsi="宋体" w:eastAsia="仿宋_GB2312" w:cs="宋体"/>
                <w:color w:val="000000"/>
                <w:kern w:val="0"/>
                <w:sz w:val="28"/>
                <w:szCs w:val="28"/>
                <w:lang w:val="en-US" w:eastAsia="zh-CN"/>
              </w:rPr>
              <w:t>完成预期指标</w:t>
            </w:r>
          </w:p>
        </w:tc>
        <w:tc>
          <w:tcPr>
            <w:tcW w:w="2792" w:type="dxa"/>
            <w:tcBorders>
              <w:top w:val="nil"/>
              <w:left w:val="nil"/>
              <w:bottom w:val="single" w:color="auto" w:sz="4" w:space="0"/>
              <w:right w:val="single" w:color="auto" w:sz="4" w:space="0"/>
            </w:tcBorders>
            <w:vAlign w:val="center"/>
          </w:tcPr>
          <w:p w14:paraId="2614B759">
            <w:pPr>
              <w:widowControl/>
              <w:spacing w:line="520" w:lineRule="exact"/>
              <w:jc w:val="center"/>
              <w:rPr>
                <w:rFonts w:hint="eastAsia" w:ascii="仿宋_GB2312" w:eastAsia="仿宋_GB2312"/>
                <w:sz w:val="28"/>
                <w:szCs w:val="28"/>
                <w:lang w:val="en-US" w:eastAsia="zh-CN"/>
              </w:rPr>
            </w:pPr>
            <w:r>
              <w:rPr>
                <w:rFonts w:hint="eastAsia" w:ascii="仿宋_GB2312" w:hAnsi="宋体" w:eastAsia="仿宋_GB2312" w:cs="宋体"/>
                <w:color w:val="000000"/>
                <w:kern w:val="0"/>
                <w:sz w:val="28"/>
                <w:szCs w:val="28"/>
              </w:rPr>
              <w:t>资金结余或未到支出时间</w:t>
            </w:r>
          </w:p>
        </w:tc>
      </w:tr>
    </w:tbl>
    <w:p w14:paraId="5125BD96">
      <w:pPr>
        <w:spacing w:line="580" w:lineRule="exact"/>
        <w:ind w:firstLine="640" w:firstLineChars="200"/>
        <w:rPr>
          <w:rFonts w:hint="eastAsia" w:ascii="仿宋_GB2312" w:eastAsia="仿宋_GB2312"/>
          <w:sz w:val="32"/>
          <w:szCs w:val="32"/>
        </w:rPr>
      </w:pPr>
      <w:r>
        <w:rPr>
          <w:rFonts w:hint="eastAsia" w:ascii="仿宋_GB2312" w:eastAsia="仿宋_GB2312"/>
          <w:sz w:val="32"/>
          <w:szCs w:val="32"/>
        </w:rPr>
        <w:t>（4）产出成本</w:t>
      </w:r>
    </w:p>
    <w:tbl>
      <w:tblPr>
        <w:tblStyle w:val="10"/>
        <w:tblW w:w="9200" w:type="dxa"/>
        <w:tblInd w:w="108" w:type="dxa"/>
        <w:tblLayout w:type="autofit"/>
        <w:tblCellMar>
          <w:top w:w="0" w:type="dxa"/>
          <w:left w:w="108" w:type="dxa"/>
          <w:bottom w:w="0" w:type="dxa"/>
          <w:right w:w="108" w:type="dxa"/>
        </w:tblCellMar>
      </w:tblPr>
      <w:tblGrid>
        <w:gridCol w:w="880"/>
        <w:gridCol w:w="1984"/>
        <w:gridCol w:w="1701"/>
        <w:gridCol w:w="1843"/>
        <w:gridCol w:w="2792"/>
      </w:tblGrid>
      <w:tr w14:paraId="0ADD9ADB">
        <w:tblPrEx>
          <w:tblCellMar>
            <w:top w:w="0" w:type="dxa"/>
            <w:left w:w="108" w:type="dxa"/>
            <w:bottom w:w="0" w:type="dxa"/>
            <w:right w:w="108" w:type="dxa"/>
          </w:tblCellMar>
        </w:tblPrEx>
        <w:trPr>
          <w:trHeight w:val="510" w:hRule="atLeast"/>
        </w:trPr>
        <w:tc>
          <w:tcPr>
            <w:tcW w:w="880" w:type="dxa"/>
            <w:tcBorders>
              <w:top w:val="single" w:color="auto" w:sz="4" w:space="0"/>
              <w:left w:val="single" w:color="auto" w:sz="4" w:space="0"/>
              <w:bottom w:val="single" w:color="auto" w:sz="4" w:space="0"/>
              <w:right w:val="single" w:color="auto" w:sz="4" w:space="0"/>
            </w:tcBorders>
            <w:vAlign w:val="center"/>
          </w:tcPr>
          <w:p w14:paraId="315F2330">
            <w:pPr>
              <w:spacing w:line="520" w:lineRule="exact"/>
              <w:jc w:val="center"/>
              <w:rPr>
                <w:rFonts w:hint="eastAsia" w:ascii="仿宋_GB2312" w:eastAsia="仿宋_GB2312"/>
                <w:sz w:val="28"/>
                <w:szCs w:val="28"/>
              </w:rPr>
            </w:pPr>
            <w:r>
              <w:rPr>
                <w:rFonts w:hint="eastAsia" w:ascii="仿宋_GB2312" w:eastAsia="仿宋_GB2312"/>
                <w:sz w:val="28"/>
                <w:szCs w:val="28"/>
              </w:rPr>
              <w:t>序号</w:t>
            </w:r>
          </w:p>
        </w:tc>
        <w:tc>
          <w:tcPr>
            <w:tcW w:w="1984" w:type="dxa"/>
            <w:tcBorders>
              <w:top w:val="single" w:color="auto" w:sz="4" w:space="0"/>
              <w:left w:val="nil"/>
              <w:bottom w:val="single" w:color="auto" w:sz="4" w:space="0"/>
              <w:right w:val="single" w:color="auto" w:sz="4" w:space="0"/>
            </w:tcBorders>
            <w:vAlign w:val="center"/>
          </w:tcPr>
          <w:p w14:paraId="7FCF4D08">
            <w:pPr>
              <w:spacing w:line="520" w:lineRule="exact"/>
              <w:jc w:val="center"/>
              <w:rPr>
                <w:rFonts w:hint="eastAsia" w:ascii="仿宋_GB2312" w:eastAsia="仿宋_GB2312"/>
                <w:sz w:val="28"/>
                <w:szCs w:val="28"/>
              </w:rPr>
            </w:pPr>
            <w:r>
              <w:rPr>
                <w:rFonts w:hint="eastAsia" w:ascii="仿宋_GB2312" w:eastAsia="仿宋_GB2312"/>
                <w:sz w:val="28"/>
                <w:szCs w:val="28"/>
              </w:rPr>
              <w:t>三级指标</w:t>
            </w:r>
          </w:p>
        </w:tc>
        <w:tc>
          <w:tcPr>
            <w:tcW w:w="1701" w:type="dxa"/>
            <w:tcBorders>
              <w:top w:val="single" w:color="auto" w:sz="4" w:space="0"/>
              <w:left w:val="nil"/>
              <w:bottom w:val="single" w:color="auto" w:sz="4" w:space="0"/>
              <w:right w:val="single" w:color="auto" w:sz="4" w:space="0"/>
            </w:tcBorders>
            <w:vAlign w:val="center"/>
          </w:tcPr>
          <w:p w14:paraId="6BBD33CE">
            <w:pPr>
              <w:spacing w:line="520" w:lineRule="exact"/>
              <w:jc w:val="center"/>
              <w:rPr>
                <w:rFonts w:hint="eastAsia" w:ascii="仿宋_GB2312" w:eastAsia="仿宋_GB2312"/>
                <w:sz w:val="28"/>
                <w:szCs w:val="28"/>
              </w:rPr>
            </w:pPr>
            <w:r>
              <w:rPr>
                <w:rFonts w:hint="eastAsia" w:ascii="仿宋_GB2312" w:eastAsia="仿宋_GB2312"/>
                <w:sz w:val="28"/>
                <w:szCs w:val="28"/>
              </w:rPr>
              <w:t>计划值</w:t>
            </w:r>
          </w:p>
        </w:tc>
        <w:tc>
          <w:tcPr>
            <w:tcW w:w="1843" w:type="dxa"/>
            <w:tcBorders>
              <w:top w:val="single" w:color="auto" w:sz="4" w:space="0"/>
              <w:left w:val="nil"/>
              <w:bottom w:val="single" w:color="auto" w:sz="4" w:space="0"/>
              <w:right w:val="single" w:color="auto" w:sz="4" w:space="0"/>
            </w:tcBorders>
            <w:vAlign w:val="center"/>
          </w:tcPr>
          <w:p w14:paraId="0D535A0B">
            <w:pPr>
              <w:spacing w:line="520" w:lineRule="exact"/>
              <w:jc w:val="center"/>
              <w:rPr>
                <w:rFonts w:hint="eastAsia" w:ascii="仿宋_GB2312" w:eastAsia="仿宋_GB2312"/>
                <w:sz w:val="28"/>
                <w:szCs w:val="28"/>
              </w:rPr>
            </w:pPr>
            <w:r>
              <w:rPr>
                <w:rFonts w:hint="eastAsia" w:ascii="仿宋_GB2312" w:eastAsia="仿宋_GB2312"/>
                <w:sz w:val="28"/>
                <w:szCs w:val="28"/>
              </w:rPr>
              <w:t>完成值</w:t>
            </w:r>
          </w:p>
        </w:tc>
        <w:tc>
          <w:tcPr>
            <w:tcW w:w="2792" w:type="dxa"/>
            <w:tcBorders>
              <w:top w:val="single" w:color="auto" w:sz="4" w:space="0"/>
              <w:left w:val="nil"/>
              <w:bottom w:val="single" w:color="auto" w:sz="4" w:space="0"/>
              <w:right w:val="single" w:color="auto" w:sz="4" w:space="0"/>
            </w:tcBorders>
            <w:vAlign w:val="center"/>
          </w:tcPr>
          <w:p w14:paraId="1493F297">
            <w:pPr>
              <w:spacing w:line="520" w:lineRule="exact"/>
              <w:jc w:val="center"/>
              <w:rPr>
                <w:rFonts w:hint="eastAsia" w:ascii="仿宋_GB2312" w:eastAsia="仿宋_GB2312"/>
                <w:sz w:val="28"/>
                <w:szCs w:val="28"/>
              </w:rPr>
            </w:pPr>
            <w:r>
              <w:rPr>
                <w:rFonts w:hint="eastAsia" w:ascii="仿宋_GB2312" w:eastAsia="仿宋_GB2312"/>
                <w:sz w:val="28"/>
                <w:szCs w:val="28"/>
              </w:rPr>
              <w:t>偏差原因</w:t>
            </w:r>
          </w:p>
        </w:tc>
      </w:tr>
      <w:tr w14:paraId="43C707EB">
        <w:tblPrEx>
          <w:tblCellMar>
            <w:top w:w="0" w:type="dxa"/>
            <w:left w:w="108" w:type="dxa"/>
            <w:bottom w:w="0" w:type="dxa"/>
            <w:right w:w="108" w:type="dxa"/>
          </w:tblCellMar>
        </w:tblPrEx>
        <w:trPr>
          <w:trHeight w:val="510" w:hRule="atLeast"/>
        </w:trPr>
        <w:tc>
          <w:tcPr>
            <w:tcW w:w="880" w:type="dxa"/>
            <w:tcBorders>
              <w:top w:val="nil"/>
              <w:left w:val="single" w:color="auto" w:sz="4" w:space="0"/>
              <w:bottom w:val="single" w:color="auto" w:sz="4" w:space="0"/>
              <w:right w:val="single" w:color="auto" w:sz="4" w:space="0"/>
            </w:tcBorders>
            <w:vAlign w:val="center"/>
          </w:tcPr>
          <w:p w14:paraId="6159D122">
            <w:pPr>
              <w:spacing w:line="520" w:lineRule="exact"/>
              <w:jc w:val="center"/>
              <w:rPr>
                <w:rFonts w:hint="eastAsia" w:ascii="仿宋_GB2312" w:eastAsia="仿宋_GB2312"/>
                <w:sz w:val="28"/>
                <w:szCs w:val="28"/>
              </w:rPr>
            </w:pPr>
            <w:r>
              <w:rPr>
                <w:rFonts w:hint="eastAsia" w:ascii="仿宋_GB2312" w:eastAsia="仿宋_GB2312"/>
                <w:sz w:val="28"/>
                <w:szCs w:val="28"/>
              </w:rPr>
              <w:t>1</w:t>
            </w:r>
          </w:p>
        </w:tc>
        <w:tc>
          <w:tcPr>
            <w:tcW w:w="1984" w:type="dxa"/>
            <w:tcBorders>
              <w:top w:val="nil"/>
              <w:left w:val="nil"/>
              <w:bottom w:val="single" w:color="auto" w:sz="4" w:space="0"/>
              <w:right w:val="single" w:color="auto" w:sz="4" w:space="0"/>
            </w:tcBorders>
            <w:vAlign w:val="center"/>
          </w:tcPr>
          <w:p w14:paraId="321AD92E">
            <w:pPr>
              <w:widowControl/>
              <w:spacing w:line="520" w:lineRule="exact"/>
              <w:jc w:val="center"/>
              <w:rPr>
                <w:rFonts w:hint="eastAsia" w:ascii="仿宋_GB2312" w:eastAsia="仿宋_GB2312"/>
                <w:sz w:val="28"/>
                <w:szCs w:val="28"/>
              </w:rPr>
            </w:pPr>
            <w:r>
              <w:rPr>
                <w:rFonts w:hint="eastAsia" w:ascii="仿宋_GB2312" w:hAnsi="宋体" w:eastAsia="仿宋_GB2312" w:cs="宋体"/>
                <w:color w:val="000000"/>
                <w:kern w:val="0"/>
                <w:sz w:val="28"/>
                <w:szCs w:val="28"/>
                <w:lang w:val="en-US" w:eastAsia="zh-CN"/>
              </w:rPr>
              <w:t>资金成本</w:t>
            </w:r>
          </w:p>
        </w:tc>
        <w:tc>
          <w:tcPr>
            <w:tcW w:w="1701" w:type="dxa"/>
            <w:tcBorders>
              <w:top w:val="nil"/>
              <w:left w:val="nil"/>
              <w:bottom w:val="single" w:color="auto" w:sz="4" w:space="0"/>
              <w:right w:val="single" w:color="auto" w:sz="4" w:space="0"/>
            </w:tcBorders>
            <w:vAlign w:val="center"/>
          </w:tcPr>
          <w:p w14:paraId="2823A7DB">
            <w:pPr>
              <w:widowControl/>
              <w:spacing w:line="520" w:lineRule="exact"/>
              <w:jc w:val="center"/>
              <w:rPr>
                <w:rFonts w:hint="eastAsia" w:ascii="仿宋_GB2312" w:eastAsia="仿宋_GB2312"/>
                <w:sz w:val="28"/>
                <w:szCs w:val="28"/>
              </w:rPr>
            </w:pPr>
            <w:r>
              <w:rPr>
                <w:rFonts w:hint="eastAsia" w:ascii="仿宋_GB2312" w:hAnsi="宋体" w:eastAsia="仿宋_GB2312" w:cs="宋体"/>
                <w:color w:val="000000"/>
                <w:kern w:val="0"/>
                <w:sz w:val="28"/>
                <w:szCs w:val="28"/>
              </w:rPr>
              <w:t>控制资金成本，保证高效支出</w:t>
            </w:r>
          </w:p>
        </w:tc>
        <w:tc>
          <w:tcPr>
            <w:tcW w:w="1843" w:type="dxa"/>
            <w:tcBorders>
              <w:top w:val="nil"/>
              <w:left w:val="nil"/>
              <w:bottom w:val="single" w:color="auto" w:sz="4" w:space="0"/>
              <w:right w:val="single" w:color="auto" w:sz="4" w:space="0"/>
            </w:tcBorders>
            <w:vAlign w:val="center"/>
          </w:tcPr>
          <w:p w14:paraId="7916F124">
            <w:pPr>
              <w:widowControl/>
              <w:spacing w:line="520" w:lineRule="exact"/>
              <w:jc w:val="center"/>
              <w:rPr>
                <w:rFonts w:hint="eastAsia" w:ascii="仿宋_GB2312" w:eastAsia="仿宋_GB2312"/>
                <w:sz w:val="28"/>
                <w:szCs w:val="28"/>
                <w:lang w:val="en-US" w:eastAsia="zh-CN"/>
              </w:rPr>
            </w:pPr>
            <w:r>
              <w:rPr>
                <w:rFonts w:hint="eastAsia" w:ascii="仿宋_GB2312" w:hAnsi="宋体" w:eastAsia="仿宋_GB2312" w:cs="宋体"/>
                <w:color w:val="000000"/>
                <w:kern w:val="0"/>
                <w:sz w:val="28"/>
                <w:szCs w:val="28"/>
                <w:lang w:val="en-US" w:eastAsia="zh-CN"/>
              </w:rPr>
              <w:t>完成预期指标</w:t>
            </w:r>
          </w:p>
        </w:tc>
        <w:tc>
          <w:tcPr>
            <w:tcW w:w="2792" w:type="dxa"/>
            <w:tcBorders>
              <w:top w:val="nil"/>
              <w:left w:val="nil"/>
              <w:bottom w:val="single" w:color="auto" w:sz="4" w:space="0"/>
              <w:right w:val="single" w:color="auto" w:sz="4" w:space="0"/>
            </w:tcBorders>
            <w:vAlign w:val="center"/>
          </w:tcPr>
          <w:p w14:paraId="30AA80B0">
            <w:pPr>
              <w:widowControl/>
              <w:spacing w:line="520" w:lineRule="exact"/>
              <w:jc w:val="center"/>
              <w:rPr>
                <w:rFonts w:hint="eastAsia" w:ascii="仿宋_GB2312" w:eastAsia="仿宋_GB2312"/>
                <w:sz w:val="28"/>
                <w:szCs w:val="28"/>
                <w:lang w:val="en-US" w:eastAsia="zh-CN"/>
              </w:rPr>
            </w:pPr>
            <w:r>
              <w:rPr>
                <w:rFonts w:hint="eastAsia" w:ascii="仿宋_GB2312" w:hAnsi="宋体" w:eastAsia="仿宋_GB2312" w:cs="宋体"/>
                <w:color w:val="000000"/>
                <w:kern w:val="0"/>
                <w:sz w:val="28"/>
                <w:szCs w:val="28"/>
                <w:lang w:val="en-US" w:eastAsia="zh-CN"/>
              </w:rPr>
              <w:t>无</w:t>
            </w:r>
          </w:p>
        </w:tc>
      </w:tr>
    </w:tbl>
    <w:p w14:paraId="5466C470">
      <w:pPr>
        <w:spacing w:line="580" w:lineRule="exact"/>
        <w:ind w:firstLine="640" w:firstLineChars="200"/>
        <w:rPr>
          <w:rFonts w:hint="eastAsia" w:ascii="仿宋_GB2312" w:eastAsia="仿宋_GB2312"/>
          <w:sz w:val="32"/>
          <w:szCs w:val="32"/>
        </w:rPr>
      </w:pPr>
      <w:r>
        <w:rPr>
          <w:rFonts w:hint="eastAsia" w:ascii="仿宋_GB2312" w:eastAsia="仿宋_GB2312"/>
          <w:sz w:val="32"/>
          <w:szCs w:val="32"/>
        </w:rPr>
        <w:t>2.效果实现情况分析</w:t>
      </w:r>
    </w:p>
    <w:p w14:paraId="6ACC3ECC">
      <w:pPr>
        <w:spacing w:line="580" w:lineRule="exact"/>
        <w:ind w:firstLine="640"/>
        <w:rPr>
          <w:rFonts w:hint="eastAsia" w:ascii="仿宋_GB2312" w:eastAsia="仿宋_GB2312"/>
          <w:sz w:val="32"/>
          <w:szCs w:val="32"/>
        </w:rPr>
      </w:pPr>
      <w:r>
        <w:rPr>
          <w:rFonts w:hint="eastAsia" w:ascii="仿宋_GB2312" w:eastAsia="仿宋_GB2312"/>
          <w:sz w:val="32"/>
          <w:szCs w:val="32"/>
        </w:rPr>
        <w:t>（1）经济效益</w:t>
      </w:r>
    </w:p>
    <w:p w14:paraId="5C3A260F">
      <w:pPr>
        <w:spacing w:line="580" w:lineRule="exact"/>
        <w:ind w:firstLine="640"/>
        <w:rPr>
          <w:rFonts w:hint="eastAsia" w:ascii="仿宋_GB2312" w:eastAsia="仿宋_GB2312"/>
          <w:sz w:val="32"/>
          <w:szCs w:val="32"/>
          <w:lang w:val="en-US" w:eastAsia="zh-CN"/>
        </w:rPr>
      </w:pPr>
      <w:r>
        <w:rPr>
          <w:rFonts w:hint="eastAsia" w:ascii="仿宋_GB2312" w:eastAsia="仿宋_GB2312"/>
          <w:sz w:val="32"/>
          <w:szCs w:val="32"/>
          <w:lang w:val="en-US" w:eastAsia="zh-CN"/>
        </w:rPr>
        <w:t>无。</w:t>
      </w:r>
    </w:p>
    <w:p w14:paraId="205E4386">
      <w:pPr>
        <w:spacing w:line="580" w:lineRule="exact"/>
        <w:ind w:firstLine="640"/>
        <w:rPr>
          <w:rFonts w:hint="eastAsia" w:ascii="仿宋_GB2312" w:eastAsia="仿宋_GB2312"/>
          <w:sz w:val="32"/>
          <w:szCs w:val="32"/>
        </w:rPr>
      </w:pPr>
      <w:r>
        <w:rPr>
          <w:rFonts w:hint="eastAsia" w:ascii="仿宋_GB2312" w:eastAsia="仿宋_GB2312"/>
          <w:sz w:val="32"/>
          <w:szCs w:val="32"/>
        </w:rPr>
        <w:t>（2）社会效益</w:t>
      </w:r>
    </w:p>
    <w:p w14:paraId="6E283D08">
      <w:pPr>
        <w:spacing w:line="580" w:lineRule="exact"/>
        <w:ind w:firstLine="640"/>
        <w:rPr>
          <w:rFonts w:hint="eastAsia" w:ascii="仿宋_GB2312" w:eastAsia="仿宋_GB2312"/>
          <w:sz w:val="32"/>
          <w:szCs w:val="32"/>
          <w:lang w:val="en-US" w:eastAsia="zh-CN"/>
        </w:rPr>
      </w:pPr>
      <w:r>
        <w:rPr>
          <w:rFonts w:hint="eastAsia" w:ascii="仿宋_GB2312" w:eastAsia="仿宋_GB2312"/>
          <w:sz w:val="32"/>
          <w:szCs w:val="32"/>
          <w:lang w:val="en-US" w:eastAsia="zh-CN"/>
        </w:rPr>
        <w:t>无。</w:t>
      </w:r>
    </w:p>
    <w:p w14:paraId="6BDC8D87">
      <w:pPr>
        <w:spacing w:line="580" w:lineRule="exact"/>
        <w:ind w:firstLine="640"/>
        <w:rPr>
          <w:rFonts w:hint="eastAsia" w:ascii="仿宋_GB2312" w:eastAsia="仿宋_GB2312"/>
          <w:sz w:val="32"/>
          <w:szCs w:val="32"/>
        </w:rPr>
      </w:pPr>
      <w:r>
        <w:rPr>
          <w:rFonts w:hint="eastAsia" w:ascii="仿宋_GB2312" w:eastAsia="仿宋_GB2312"/>
          <w:sz w:val="32"/>
          <w:szCs w:val="32"/>
        </w:rPr>
        <w:t>（3）环境效益</w:t>
      </w:r>
    </w:p>
    <w:p w14:paraId="4F38AB7C">
      <w:pPr>
        <w:spacing w:line="580" w:lineRule="exact"/>
        <w:ind w:firstLine="640"/>
        <w:rPr>
          <w:rFonts w:hint="eastAsia" w:ascii="仿宋_GB2312" w:eastAsia="仿宋_GB2312"/>
          <w:sz w:val="32"/>
          <w:szCs w:val="32"/>
          <w:lang w:val="en-US" w:eastAsia="zh-CN"/>
        </w:rPr>
      </w:pPr>
      <w:r>
        <w:rPr>
          <w:rFonts w:hint="eastAsia" w:ascii="仿宋_GB2312" w:eastAsia="仿宋_GB2312"/>
          <w:sz w:val="32"/>
          <w:szCs w:val="32"/>
          <w:lang w:val="en-US" w:eastAsia="zh-CN"/>
        </w:rPr>
        <w:t>无。</w:t>
      </w:r>
    </w:p>
    <w:p w14:paraId="769D1183">
      <w:pPr>
        <w:spacing w:line="580" w:lineRule="exact"/>
        <w:ind w:firstLine="640" w:firstLineChars="200"/>
        <w:rPr>
          <w:rFonts w:hint="eastAsia" w:ascii="仿宋_GB2312" w:eastAsia="仿宋_GB2312"/>
          <w:sz w:val="32"/>
          <w:szCs w:val="32"/>
        </w:rPr>
      </w:pPr>
      <w:r>
        <w:rPr>
          <w:rFonts w:hint="eastAsia" w:ascii="仿宋_GB2312" w:eastAsia="仿宋_GB2312"/>
          <w:sz w:val="32"/>
          <w:szCs w:val="32"/>
        </w:rPr>
        <w:t>（4）可持续影响</w:t>
      </w:r>
    </w:p>
    <w:tbl>
      <w:tblPr>
        <w:tblStyle w:val="10"/>
        <w:tblW w:w="9200" w:type="dxa"/>
        <w:tblInd w:w="108" w:type="dxa"/>
        <w:tblLayout w:type="autofit"/>
        <w:tblCellMar>
          <w:top w:w="0" w:type="dxa"/>
          <w:left w:w="108" w:type="dxa"/>
          <w:bottom w:w="0" w:type="dxa"/>
          <w:right w:w="108" w:type="dxa"/>
        </w:tblCellMar>
      </w:tblPr>
      <w:tblGrid>
        <w:gridCol w:w="880"/>
        <w:gridCol w:w="1984"/>
        <w:gridCol w:w="1701"/>
        <w:gridCol w:w="1843"/>
        <w:gridCol w:w="2792"/>
      </w:tblGrid>
      <w:tr w14:paraId="6333F6E1">
        <w:tblPrEx>
          <w:tblCellMar>
            <w:top w:w="0" w:type="dxa"/>
            <w:left w:w="108" w:type="dxa"/>
            <w:bottom w:w="0" w:type="dxa"/>
            <w:right w:w="108" w:type="dxa"/>
          </w:tblCellMar>
        </w:tblPrEx>
        <w:trPr>
          <w:trHeight w:val="510" w:hRule="atLeast"/>
        </w:trPr>
        <w:tc>
          <w:tcPr>
            <w:tcW w:w="880" w:type="dxa"/>
            <w:tcBorders>
              <w:top w:val="single" w:color="auto" w:sz="4" w:space="0"/>
              <w:left w:val="single" w:color="auto" w:sz="4" w:space="0"/>
              <w:bottom w:val="single" w:color="auto" w:sz="4" w:space="0"/>
              <w:right w:val="single" w:color="auto" w:sz="4" w:space="0"/>
            </w:tcBorders>
            <w:vAlign w:val="center"/>
          </w:tcPr>
          <w:p w14:paraId="67A1EFE6">
            <w:pPr>
              <w:spacing w:line="520" w:lineRule="exact"/>
              <w:jc w:val="center"/>
              <w:rPr>
                <w:rFonts w:hint="eastAsia" w:ascii="仿宋_GB2312" w:eastAsia="仿宋_GB2312"/>
                <w:sz w:val="28"/>
                <w:szCs w:val="28"/>
              </w:rPr>
            </w:pPr>
            <w:r>
              <w:rPr>
                <w:rFonts w:hint="eastAsia" w:ascii="仿宋_GB2312" w:eastAsia="仿宋_GB2312"/>
                <w:sz w:val="28"/>
                <w:szCs w:val="28"/>
              </w:rPr>
              <w:t>序号</w:t>
            </w:r>
          </w:p>
        </w:tc>
        <w:tc>
          <w:tcPr>
            <w:tcW w:w="1984" w:type="dxa"/>
            <w:tcBorders>
              <w:top w:val="single" w:color="auto" w:sz="4" w:space="0"/>
              <w:left w:val="nil"/>
              <w:bottom w:val="single" w:color="auto" w:sz="4" w:space="0"/>
              <w:right w:val="single" w:color="auto" w:sz="4" w:space="0"/>
            </w:tcBorders>
            <w:vAlign w:val="center"/>
          </w:tcPr>
          <w:p w14:paraId="73443302">
            <w:pPr>
              <w:spacing w:line="520" w:lineRule="exact"/>
              <w:jc w:val="center"/>
              <w:rPr>
                <w:rFonts w:hint="eastAsia" w:ascii="仿宋_GB2312" w:eastAsia="仿宋_GB2312"/>
                <w:sz w:val="28"/>
                <w:szCs w:val="28"/>
              </w:rPr>
            </w:pPr>
            <w:r>
              <w:rPr>
                <w:rFonts w:hint="eastAsia" w:ascii="仿宋_GB2312" w:eastAsia="仿宋_GB2312"/>
                <w:sz w:val="28"/>
                <w:szCs w:val="28"/>
              </w:rPr>
              <w:t>三级指标</w:t>
            </w:r>
          </w:p>
        </w:tc>
        <w:tc>
          <w:tcPr>
            <w:tcW w:w="1701" w:type="dxa"/>
            <w:tcBorders>
              <w:top w:val="single" w:color="auto" w:sz="4" w:space="0"/>
              <w:left w:val="nil"/>
              <w:bottom w:val="single" w:color="auto" w:sz="4" w:space="0"/>
              <w:right w:val="single" w:color="auto" w:sz="4" w:space="0"/>
            </w:tcBorders>
            <w:vAlign w:val="center"/>
          </w:tcPr>
          <w:p w14:paraId="0E663919">
            <w:pPr>
              <w:spacing w:line="520" w:lineRule="exact"/>
              <w:jc w:val="center"/>
              <w:rPr>
                <w:rFonts w:hint="eastAsia" w:ascii="仿宋_GB2312" w:eastAsia="仿宋_GB2312"/>
                <w:sz w:val="28"/>
                <w:szCs w:val="28"/>
              </w:rPr>
            </w:pPr>
            <w:r>
              <w:rPr>
                <w:rFonts w:hint="eastAsia" w:ascii="仿宋_GB2312" w:eastAsia="仿宋_GB2312"/>
                <w:sz w:val="28"/>
                <w:szCs w:val="28"/>
              </w:rPr>
              <w:t>计划值</w:t>
            </w:r>
          </w:p>
        </w:tc>
        <w:tc>
          <w:tcPr>
            <w:tcW w:w="1843" w:type="dxa"/>
            <w:tcBorders>
              <w:top w:val="single" w:color="auto" w:sz="4" w:space="0"/>
              <w:left w:val="nil"/>
              <w:bottom w:val="single" w:color="auto" w:sz="4" w:space="0"/>
              <w:right w:val="single" w:color="auto" w:sz="4" w:space="0"/>
            </w:tcBorders>
            <w:vAlign w:val="center"/>
          </w:tcPr>
          <w:p w14:paraId="7DF31958">
            <w:pPr>
              <w:spacing w:line="520" w:lineRule="exact"/>
              <w:jc w:val="center"/>
              <w:rPr>
                <w:rFonts w:hint="eastAsia" w:ascii="仿宋_GB2312" w:eastAsia="仿宋_GB2312"/>
                <w:sz w:val="28"/>
                <w:szCs w:val="28"/>
              </w:rPr>
            </w:pPr>
            <w:r>
              <w:rPr>
                <w:rFonts w:hint="eastAsia" w:ascii="仿宋_GB2312" w:eastAsia="仿宋_GB2312"/>
                <w:sz w:val="28"/>
                <w:szCs w:val="28"/>
              </w:rPr>
              <w:t>完成值</w:t>
            </w:r>
          </w:p>
        </w:tc>
        <w:tc>
          <w:tcPr>
            <w:tcW w:w="2792" w:type="dxa"/>
            <w:tcBorders>
              <w:top w:val="single" w:color="auto" w:sz="4" w:space="0"/>
              <w:left w:val="nil"/>
              <w:bottom w:val="single" w:color="auto" w:sz="4" w:space="0"/>
              <w:right w:val="single" w:color="auto" w:sz="4" w:space="0"/>
            </w:tcBorders>
            <w:vAlign w:val="center"/>
          </w:tcPr>
          <w:p w14:paraId="0217039A">
            <w:pPr>
              <w:spacing w:line="520" w:lineRule="exact"/>
              <w:jc w:val="center"/>
              <w:rPr>
                <w:rFonts w:hint="eastAsia" w:ascii="仿宋_GB2312" w:eastAsia="仿宋_GB2312"/>
                <w:sz w:val="28"/>
                <w:szCs w:val="28"/>
              </w:rPr>
            </w:pPr>
            <w:r>
              <w:rPr>
                <w:rFonts w:hint="eastAsia" w:ascii="仿宋_GB2312" w:eastAsia="仿宋_GB2312"/>
                <w:sz w:val="28"/>
                <w:szCs w:val="28"/>
              </w:rPr>
              <w:t>偏差原因</w:t>
            </w:r>
          </w:p>
        </w:tc>
      </w:tr>
      <w:tr w14:paraId="5ACFDCA4">
        <w:tblPrEx>
          <w:tblCellMar>
            <w:top w:w="0" w:type="dxa"/>
            <w:left w:w="108" w:type="dxa"/>
            <w:bottom w:w="0" w:type="dxa"/>
            <w:right w:w="108" w:type="dxa"/>
          </w:tblCellMar>
        </w:tblPrEx>
        <w:trPr>
          <w:trHeight w:val="510" w:hRule="atLeast"/>
        </w:trPr>
        <w:tc>
          <w:tcPr>
            <w:tcW w:w="880" w:type="dxa"/>
            <w:tcBorders>
              <w:top w:val="nil"/>
              <w:left w:val="single" w:color="auto" w:sz="4" w:space="0"/>
              <w:bottom w:val="single" w:color="auto" w:sz="4" w:space="0"/>
              <w:right w:val="single" w:color="auto" w:sz="4" w:space="0"/>
            </w:tcBorders>
            <w:vAlign w:val="center"/>
          </w:tcPr>
          <w:p w14:paraId="0BF82599">
            <w:pPr>
              <w:spacing w:line="520" w:lineRule="exact"/>
              <w:jc w:val="center"/>
              <w:rPr>
                <w:rFonts w:hint="eastAsia" w:ascii="仿宋_GB2312" w:eastAsia="仿宋_GB2312"/>
                <w:sz w:val="28"/>
                <w:szCs w:val="28"/>
              </w:rPr>
            </w:pPr>
            <w:r>
              <w:rPr>
                <w:rFonts w:hint="eastAsia" w:ascii="仿宋_GB2312" w:eastAsia="仿宋_GB2312"/>
                <w:sz w:val="28"/>
                <w:szCs w:val="28"/>
              </w:rPr>
              <w:t>1</w:t>
            </w:r>
          </w:p>
        </w:tc>
        <w:tc>
          <w:tcPr>
            <w:tcW w:w="1984" w:type="dxa"/>
            <w:tcBorders>
              <w:top w:val="nil"/>
              <w:left w:val="nil"/>
              <w:bottom w:val="single" w:color="auto" w:sz="4" w:space="0"/>
              <w:right w:val="single" w:color="auto" w:sz="4" w:space="0"/>
            </w:tcBorders>
            <w:vAlign w:val="center"/>
          </w:tcPr>
          <w:p w14:paraId="1D72E0D1">
            <w:pPr>
              <w:widowControl/>
              <w:spacing w:line="520" w:lineRule="exact"/>
              <w:jc w:val="center"/>
              <w:rPr>
                <w:rFonts w:hint="eastAsia" w:ascii="仿宋_GB2312" w:eastAsia="仿宋_GB2312"/>
                <w:sz w:val="28"/>
                <w:szCs w:val="28"/>
              </w:rPr>
            </w:pPr>
            <w:r>
              <w:rPr>
                <w:rFonts w:hint="eastAsia" w:ascii="仿宋_GB2312" w:hAnsi="宋体" w:eastAsia="仿宋_GB2312" w:cs="宋体"/>
                <w:color w:val="000000"/>
                <w:kern w:val="0"/>
                <w:sz w:val="28"/>
                <w:szCs w:val="28"/>
                <w:lang w:val="en-US" w:eastAsia="zh-CN"/>
              </w:rPr>
              <w:t>持续影响</w:t>
            </w:r>
          </w:p>
        </w:tc>
        <w:tc>
          <w:tcPr>
            <w:tcW w:w="1701" w:type="dxa"/>
            <w:tcBorders>
              <w:top w:val="nil"/>
              <w:left w:val="nil"/>
              <w:bottom w:val="single" w:color="auto" w:sz="4" w:space="0"/>
              <w:right w:val="single" w:color="auto" w:sz="4" w:space="0"/>
            </w:tcBorders>
            <w:vAlign w:val="center"/>
          </w:tcPr>
          <w:p w14:paraId="25666997">
            <w:pPr>
              <w:widowControl/>
              <w:spacing w:line="520" w:lineRule="exact"/>
              <w:jc w:val="center"/>
              <w:rPr>
                <w:rFonts w:hint="eastAsia" w:ascii="仿宋_GB2312" w:eastAsia="仿宋_GB2312"/>
                <w:sz w:val="28"/>
                <w:szCs w:val="28"/>
              </w:rPr>
            </w:pPr>
            <w:r>
              <w:rPr>
                <w:rFonts w:hint="eastAsia" w:ascii="仿宋_GB2312" w:hAnsi="宋体" w:eastAsia="仿宋_GB2312" w:cs="宋体"/>
                <w:color w:val="000000"/>
                <w:kern w:val="0"/>
                <w:sz w:val="28"/>
                <w:szCs w:val="28"/>
                <w:lang w:val="en-US" w:eastAsia="zh-CN"/>
              </w:rPr>
              <w:t>≥1年</w:t>
            </w:r>
          </w:p>
        </w:tc>
        <w:tc>
          <w:tcPr>
            <w:tcW w:w="1843" w:type="dxa"/>
            <w:tcBorders>
              <w:top w:val="nil"/>
              <w:left w:val="nil"/>
              <w:bottom w:val="single" w:color="auto" w:sz="4" w:space="0"/>
              <w:right w:val="single" w:color="auto" w:sz="4" w:space="0"/>
            </w:tcBorders>
            <w:vAlign w:val="center"/>
          </w:tcPr>
          <w:p w14:paraId="23CB894F">
            <w:pPr>
              <w:widowControl/>
              <w:spacing w:line="520" w:lineRule="exact"/>
              <w:jc w:val="center"/>
              <w:rPr>
                <w:rFonts w:hint="eastAsia" w:ascii="仿宋_GB2312" w:eastAsia="仿宋_GB2312"/>
                <w:sz w:val="28"/>
                <w:szCs w:val="28"/>
                <w:lang w:val="en-US" w:eastAsia="zh-CN"/>
              </w:rPr>
            </w:pPr>
            <w:r>
              <w:rPr>
                <w:rFonts w:hint="eastAsia" w:ascii="仿宋_GB2312" w:hAnsi="宋体" w:eastAsia="仿宋_GB2312" w:cs="宋体"/>
                <w:color w:val="000000"/>
                <w:kern w:val="0"/>
                <w:sz w:val="28"/>
                <w:szCs w:val="28"/>
                <w:lang w:val="en-US" w:eastAsia="zh-CN"/>
              </w:rPr>
              <w:t>1</w:t>
            </w:r>
          </w:p>
        </w:tc>
        <w:tc>
          <w:tcPr>
            <w:tcW w:w="2792" w:type="dxa"/>
            <w:tcBorders>
              <w:top w:val="nil"/>
              <w:left w:val="nil"/>
              <w:bottom w:val="single" w:color="auto" w:sz="4" w:space="0"/>
              <w:right w:val="single" w:color="auto" w:sz="4" w:space="0"/>
            </w:tcBorders>
            <w:vAlign w:val="center"/>
          </w:tcPr>
          <w:p w14:paraId="258A9DC2">
            <w:pPr>
              <w:widowControl/>
              <w:spacing w:line="520" w:lineRule="exact"/>
              <w:jc w:val="center"/>
              <w:rPr>
                <w:rFonts w:hint="eastAsia" w:ascii="仿宋_GB2312" w:eastAsia="仿宋_GB2312"/>
                <w:sz w:val="28"/>
                <w:szCs w:val="28"/>
                <w:lang w:val="en-US" w:eastAsia="zh-CN"/>
              </w:rPr>
            </w:pPr>
            <w:r>
              <w:rPr>
                <w:rFonts w:hint="eastAsia" w:ascii="仿宋_GB2312" w:hAnsi="宋体" w:eastAsia="仿宋_GB2312" w:cs="宋体"/>
                <w:color w:val="000000"/>
                <w:kern w:val="0"/>
                <w:sz w:val="28"/>
                <w:szCs w:val="28"/>
                <w:lang w:val="en-US" w:eastAsia="zh-CN"/>
              </w:rPr>
              <w:t>无</w:t>
            </w:r>
          </w:p>
        </w:tc>
      </w:tr>
    </w:tbl>
    <w:p w14:paraId="0F5E38B9">
      <w:pPr>
        <w:spacing w:line="580" w:lineRule="exact"/>
        <w:ind w:firstLine="640" w:firstLineChars="200"/>
        <w:rPr>
          <w:rFonts w:hint="eastAsia" w:ascii="仿宋_GB2312" w:eastAsia="仿宋_GB2312"/>
          <w:sz w:val="32"/>
          <w:szCs w:val="32"/>
        </w:rPr>
      </w:pPr>
      <w:r>
        <w:rPr>
          <w:rFonts w:hint="eastAsia" w:ascii="仿宋_GB2312" w:eastAsia="仿宋_GB2312"/>
          <w:sz w:val="32"/>
          <w:szCs w:val="32"/>
        </w:rPr>
        <w:t>（5）服务对象满意度</w:t>
      </w:r>
    </w:p>
    <w:tbl>
      <w:tblPr>
        <w:tblStyle w:val="10"/>
        <w:tblW w:w="9200" w:type="dxa"/>
        <w:tblInd w:w="108" w:type="dxa"/>
        <w:tblLayout w:type="autofit"/>
        <w:tblCellMar>
          <w:top w:w="0" w:type="dxa"/>
          <w:left w:w="108" w:type="dxa"/>
          <w:bottom w:w="0" w:type="dxa"/>
          <w:right w:w="108" w:type="dxa"/>
        </w:tblCellMar>
      </w:tblPr>
      <w:tblGrid>
        <w:gridCol w:w="880"/>
        <w:gridCol w:w="1984"/>
        <w:gridCol w:w="1701"/>
        <w:gridCol w:w="1843"/>
        <w:gridCol w:w="2792"/>
      </w:tblGrid>
      <w:tr w14:paraId="7305B7CE">
        <w:tblPrEx>
          <w:tblCellMar>
            <w:top w:w="0" w:type="dxa"/>
            <w:left w:w="108" w:type="dxa"/>
            <w:bottom w:w="0" w:type="dxa"/>
            <w:right w:w="108" w:type="dxa"/>
          </w:tblCellMar>
        </w:tblPrEx>
        <w:trPr>
          <w:trHeight w:val="510" w:hRule="atLeast"/>
        </w:trPr>
        <w:tc>
          <w:tcPr>
            <w:tcW w:w="880" w:type="dxa"/>
            <w:tcBorders>
              <w:top w:val="single" w:color="auto" w:sz="4" w:space="0"/>
              <w:left w:val="single" w:color="auto" w:sz="4" w:space="0"/>
              <w:bottom w:val="single" w:color="auto" w:sz="4" w:space="0"/>
              <w:right w:val="single" w:color="auto" w:sz="4" w:space="0"/>
            </w:tcBorders>
            <w:vAlign w:val="center"/>
          </w:tcPr>
          <w:p w14:paraId="73CD5C1B">
            <w:pPr>
              <w:spacing w:line="520" w:lineRule="exact"/>
              <w:jc w:val="center"/>
              <w:rPr>
                <w:rFonts w:hint="eastAsia" w:ascii="仿宋_GB2312" w:eastAsia="仿宋_GB2312"/>
                <w:sz w:val="28"/>
                <w:szCs w:val="28"/>
              </w:rPr>
            </w:pPr>
            <w:r>
              <w:rPr>
                <w:rFonts w:hint="eastAsia" w:ascii="仿宋_GB2312" w:eastAsia="仿宋_GB2312"/>
                <w:sz w:val="28"/>
                <w:szCs w:val="28"/>
              </w:rPr>
              <w:t>序号</w:t>
            </w:r>
          </w:p>
        </w:tc>
        <w:tc>
          <w:tcPr>
            <w:tcW w:w="1984" w:type="dxa"/>
            <w:tcBorders>
              <w:top w:val="single" w:color="auto" w:sz="4" w:space="0"/>
              <w:left w:val="nil"/>
              <w:bottom w:val="single" w:color="auto" w:sz="4" w:space="0"/>
              <w:right w:val="single" w:color="auto" w:sz="4" w:space="0"/>
            </w:tcBorders>
            <w:vAlign w:val="center"/>
          </w:tcPr>
          <w:p w14:paraId="58C7774B">
            <w:pPr>
              <w:spacing w:line="520" w:lineRule="exact"/>
              <w:jc w:val="center"/>
              <w:rPr>
                <w:rFonts w:hint="eastAsia" w:ascii="仿宋_GB2312" w:eastAsia="仿宋_GB2312"/>
                <w:sz w:val="28"/>
                <w:szCs w:val="28"/>
              </w:rPr>
            </w:pPr>
            <w:r>
              <w:rPr>
                <w:rFonts w:hint="eastAsia" w:ascii="仿宋_GB2312" w:eastAsia="仿宋_GB2312"/>
                <w:sz w:val="28"/>
                <w:szCs w:val="28"/>
              </w:rPr>
              <w:t>三级指标</w:t>
            </w:r>
          </w:p>
        </w:tc>
        <w:tc>
          <w:tcPr>
            <w:tcW w:w="1701" w:type="dxa"/>
            <w:tcBorders>
              <w:top w:val="single" w:color="auto" w:sz="4" w:space="0"/>
              <w:left w:val="nil"/>
              <w:bottom w:val="single" w:color="auto" w:sz="4" w:space="0"/>
              <w:right w:val="single" w:color="auto" w:sz="4" w:space="0"/>
            </w:tcBorders>
            <w:vAlign w:val="center"/>
          </w:tcPr>
          <w:p w14:paraId="0E7A9C2F">
            <w:pPr>
              <w:spacing w:line="520" w:lineRule="exact"/>
              <w:jc w:val="center"/>
              <w:rPr>
                <w:rFonts w:hint="eastAsia" w:ascii="仿宋_GB2312" w:eastAsia="仿宋_GB2312"/>
                <w:sz w:val="28"/>
                <w:szCs w:val="28"/>
              </w:rPr>
            </w:pPr>
            <w:r>
              <w:rPr>
                <w:rFonts w:hint="eastAsia" w:ascii="仿宋_GB2312" w:eastAsia="仿宋_GB2312"/>
                <w:sz w:val="28"/>
                <w:szCs w:val="28"/>
              </w:rPr>
              <w:t>计划值</w:t>
            </w:r>
          </w:p>
        </w:tc>
        <w:tc>
          <w:tcPr>
            <w:tcW w:w="1843" w:type="dxa"/>
            <w:tcBorders>
              <w:top w:val="single" w:color="auto" w:sz="4" w:space="0"/>
              <w:left w:val="nil"/>
              <w:bottom w:val="single" w:color="auto" w:sz="4" w:space="0"/>
              <w:right w:val="single" w:color="auto" w:sz="4" w:space="0"/>
            </w:tcBorders>
            <w:vAlign w:val="center"/>
          </w:tcPr>
          <w:p w14:paraId="264AE492">
            <w:pPr>
              <w:spacing w:line="520" w:lineRule="exact"/>
              <w:jc w:val="center"/>
              <w:rPr>
                <w:rFonts w:hint="eastAsia" w:ascii="仿宋_GB2312" w:eastAsia="仿宋_GB2312"/>
                <w:sz w:val="28"/>
                <w:szCs w:val="28"/>
              </w:rPr>
            </w:pPr>
            <w:r>
              <w:rPr>
                <w:rFonts w:hint="eastAsia" w:ascii="仿宋_GB2312" w:eastAsia="仿宋_GB2312"/>
                <w:sz w:val="28"/>
                <w:szCs w:val="28"/>
              </w:rPr>
              <w:t>完成值</w:t>
            </w:r>
          </w:p>
        </w:tc>
        <w:tc>
          <w:tcPr>
            <w:tcW w:w="2792" w:type="dxa"/>
            <w:tcBorders>
              <w:top w:val="single" w:color="auto" w:sz="4" w:space="0"/>
              <w:left w:val="nil"/>
              <w:bottom w:val="single" w:color="auto" w:sz="4" w:space="0"/>
              <w:right w:val="single" w:color="auto" w:sz="4" w:space="0"/>
            </w:tcBorders>
            <w:vAlign w:val="center"/>
          </w:tcPr>
          <w:p w14:paraId="5410089C">
            <w:pPr>
              <w:spacing w:line="520" w:lineRule="exact"/>
              <w:jc w:val="center"/>
              <w:rPr>
                <w:rFonts w:hint="eastAsia" w:ascii="仿宋_GB2312" w:eastAsia="仿宋_GB2312"/>
                <w:sz w:val="28"/>
                <w:szCs w:val="28"/>
              </w:rPr>
            </w:pPr>
            <w:r>
              <w:rPr>
                <w:rFonts w:hint="eastAsia" w:ascii="仿宋_GB2312" w:eastAsia="仿宋_GB2312"/>
                <w:sz w:val="28"/>
                <w:szCs w:val="28"/>
              </w:rPr>
              <w:t>偏差原因</w:t>
            </w:r>
          </w:p>
        </w:tc>
      </w:tr>
      <w:tr w14:paraId="102B3153">
        <w:tblPrEx>
          <w:tblCellMar>
            <w:top w:w="0" w:type="dxa"/>
            <w:left w:w="108" w:type="dxa"/>
            <w:bottom w:w="0" w:type="dxa"/>
            <w:right w:w="108" w:type="dxa"/>
          </w:tblCellMar>
        </w:tblPrEx>
        <w:trPr>
          <w:trHeight w:val="510" w:hRule="atLeast"/>
        </w:trPr>
        <w:tc>
          <w:tcPr>
            <w:tcW w:w="880" w:type="dxa"/>
            <w:tcBorders>
              <w:top w:val="nil"/>
              <w:left w:val="single" w:color="auto" w:sz="4" w:space="0"/>
              <w:bottom w:val="single" w:color="auto" w:sz="4" w:space="0"/>
              <w:right w:val="single" w:color="auto" w:sz="4" w:space="0"/>
            </w:tcBorders>
            <w:vAlign w:val="center"/>
          </w:tcPr>
          <w:p w14:paraId="44E25AA6">
            <w:pPr>
              <w:spacing w:line="520" w:lineRule="exact"/>
              <w:jc w:val="center"/>
              <w:rPr>
                <w:rFonts w:hint="eastAsia" w:ascii="仿宋_GB2312" w:eastAsia="仿宋_GB2312"/>
                <w:sz w:val="28"/>
                <w:szCs w:val="28"/>
              </w:rPr>
            </w:pPr>
            <w:r>
              <w:rPr>
                <w:rFonts w:hint="eastAsia" w:ascii="仿宋_GB2312" w:eastAsia="仿宋_GB2312"/>
                <w:sz w:val="28"/>
                <w:szCs w:val="28"/>
              </w:rPr>
              <w:t>1</w:t>
            </w:r>
          </w:p>
        </w:tc>
        <w:tc>
          <w:tcPr>
            <w:tcW w:w="1984" w:type="dxa"/>
            <w:tcBorders>
              <w:top w:val="nil"/>
              <w:left w:val="nil"/>
              <w:bottom w:val="single" w:color="auto" w:sz="4" w:space="0"/>
              <w:right w:val="single" w:color="auto" w:sz="4" w:space="0"/>
            </w:tcBorders>
            <w:vAlign w:val="center"/>
          </w:tcPr>
          <w:p w14:paraId="0640B89F">
            <w:pPr>
              <w:widowControl/>
              <w:spacing w:line="520" w:lineRule="exact"/>
              <w:jc w:val="center"/>
              <w:rPr>
                <w:rFonts w:hint="eastAsia" w:ascii="仿宋_GB2312" w:eastAsia="仿宋_GB2312"/>
                <w:sz w:val="28"/>
                <w:szCs w:val="28"/>
              </w:rPr>
            </w:pPr>
            <w:r>
              <w:rPr>
                <w:rFonts w:hint="eastAsia" w:ascii="仿宋_GB2312" w:hAnsi="宋体" w:eastAsia="仿宋_GB2312" w:cs="宋体"/>
                <w:color w:val="000000"/>
                <w:kern w:val="0"/>
                <w:sz w:val="28"/>
                <w:szCs w:val="28"/>
                <w:lang w:val="en-US" w:eastAsia="zh-CN"/>
              </w:rPr>
              <w:t>居民满意度</w:t>
            </w:r>
          </w:p>
        </w:tc>
        <w:tc>
          <w:tcPr>
            <w:tcW w:w="1701" w:type="dxa"/>
            <w:tcBorders>
              <w:top w:val="nil"/>
              <w:left w:val="nil"/>
              <w:bottom w:val="single" w:color="auto" w:sz="4" w:space="0"/>
              <w:right w:val="single" w:color="auto" w:sz="4" w:space="0"/>
            </w:tcBorders>
            <w:vAlign w:val="center"/>
          </w:tcPr>
          <w:p w14:paraId="6B2A4A1A">
            <w:pPr>
              <w:widowControl/>
              <w:spacing w:line="520" w:lineRule="exact"/>
              <w:jc w:val="center"/>
              <w:rPr>
                <w:rFonts w:hint="eastAsia" w:ascii="仿宋_GB2312" w:eastAsia="仿宋_GB2312"/>
                <w:sz w:val="28"/>
                <w:szCs w:val="28"/>
              </w:rPr>
            </w:pPr>
            <w:r>
              <w:rPr>
                <w:rFonts w:hint="eastAsia" w:ascii="仿宋_GB2312" w:hAnsi="宋体" w:eastAsia="仿宋_GB2312" w:cs="宋体"/>
                <w:color w:val="000000"/>
                <w:kern w:val="0"/>
                <w:sz w:val="28"/>
                <w:szCs w:val="28"/>
                <w:lang w:val="en-US" w:eastAsia="zh-CN"/>
              </w:rPr>
              <w:t>≥95%</w:t>
            </w:r>
          </w:p>
        </w:tc>
        <w:tc>
          <w:tcPr>
            <w:tcW w:w="1843" w:type="dxa"/>
            <w:tcBorders>
              <w:top w:val="nil"/>
              <w:left w:val="nil"/>
              <w:bottom w:val="single" w:color="auto" w:sz="4" w:space="0"/>
              <w:right w:val="single" w:color="auto" w:sz="4" w:space="0"/>
            </w:tcBorders>
            <w:vAlign w:val="center"/>
          </w:tcPr>
          <w:p w14:paraId="0FBD2A59">
            <w:pPr>
              <w:widowControl/>
              <w:spacing w:line="520" w:lineRule="exact"/>
              <w:jc w:val="center"/>
              <w:rPr>
                <w:rFonts w:hint="eastAsia" w:ascii="仿宋_GB2312" w:eastAsia="仿宋_GB2312"/>
                <w:sz w:val="28"/>
                <w:szCs w:val="28"/>
                <w:lang w:val="en-US" w:eastAsia="zh-CN"/>
              </w:rPr>
            </w:pPr>
            <w:r>
              <w:rPr>
                <w:rFonts w:hint="eastAsia" w:ascii="仿宋_GB2312" w:hAnsi="宋体" w:eastAsia="仿宋_GB2312" w:cs="宋体"/>
                <w:color w:val="000000"/>
                <w:kern w:val="0"/>
                <w:sz w:val="28"/>
                <w:szCs w:val="28"/>
                <w:lang w:val="en-US" w:eastAsia="zh-CN"/>
              </w:rPr>
              <w:t>100%</w:t>
            </w:r>
          </w:p>
        </w:tc>
        <w:tc>
          <w:tcPr>
            <w:tcW w:w="2792" w:type="dxa"/>
            <w:tcBorders>
              <w:top w:val="nil"/>
              <w:left w:val="nil"/>
              <w:bottom w:val="single" w:color="auto" w:sz="4" w:space="0"/>
              <w:right w:val="single" w:color="auto" w:sz="4" w:space="0"/>
            </w:tcBorders>
            <w:vAlign w:val="center"/>
          </w:tcPr>
          <w:p w14:paraId="5683CD34">
            <w:pPr>
              <w:widowControl/>
              <w:spacing w:line="520" w:lineRule="exact"/>
              <w:jc w:val="center"/>
              <w:rPr>
                <w:rFonts w:hint="eastAsia" w:ascii="仿宋_GB2312" w:eastAsia="仿宋_GB2312"/>
                <w:sz w:val="28"/>
                <w:szCs w:val="28"/>
                <w:lang w:val="en-US" w:eastAsia="zh-CN"/>
              </w:rPr>
            </w:pPr>
            <w:r>
              <w:rPr>
                <w:rFonts w:hint="eastAsia" w:ascii="仿宋_GB2312" w:hAnsi="宋体" w:eastAsia="仿宋_GB2312" w:cs="宋体"/>
                <w:color w:val="000000"/>
                <w:kern w:val="0"/>
                <w:sz w:val="28"/>
                <w:szCs w:val="28"/>
                <w:lang w:val="en-US" w:eastAsia="zh-CN"/>
              </w:rPr>
              <w:t>无</w:t>
            </w:r>
          </w:p>
        </w:tc>
      </w:tr>
    </w:tbl>
    <w:p w14:paraId="3B3602BB">
      <w:pPr>
        <w:spacing w:line="580" w:lineRule="exact"/>
        <w:ind w:firstLine="640" w:firstLineChars="200"/>
        <w:rPr>
          <w:rFonts w:hint="eastAsia" w:ascii="楷体_GB2312" w:eastAsia="楷体_GB2312"/>
          <w:b/>
          <w:sz w:val="32"/>
          <w:szCs w:val="32"/>
        </w:rPr>
      </w:pPr>
      <w:r>
        <w:rPr>
          <w:rFonts w:hint="eastAsia" w:ascii="楷体_GB2312" w:eastAsia="楷体_GB2312"/>
          <w:b/>
          <w:sz w:val="32"/>
          <w:szCs w:val="32"/>
        </w:rPr>
        <w:t>（四）预算管理情况分析</w:t>
      </w:r>
    </w:p>
    <w:p w14:paraId="6589AC62">
      <w:pPr>
        <w:spacing w:line="580" w:lineRule="exact"/>
        <w:ind w:firstLine="640"/>
        <w:rPr>
          <w:rFonts w:hint="eastAsia" w:ascii="仿宋_GB2312" w:eastAsia="仿宋_GB2312"/>
          <w:sz w:val="32"/>
          <w:szCs w:val="32"/>
        </w:rPr>
      </w:pPr>
      <w:r>
        <w:rPr>
          <w:rFonts w:hint="eastAsia" w:ascii="仿宋_GB2312" w:eastAsia="仿宋_GB2312"/>
          <w:sz w:val="32"/>
          <w:szCs w:val="32"/>
        </w:rPr>
        <w:t>1.财务管理</w:t>
      </w:r>
    </w:p>
    <w:p w14:paraId="014387AF">
      <w:pPr>
        <w:spacing w:line="580" w:lineRule="exact"/>
        <w:ind w:firstLine="640"/>
        <w:rPr>
          <w:rFonts w:hint="eastAsia" w:ascii="仿宋_GB2312" w:eastAsia="仿宋_GB2312"/>
          <w:sz w:val="32"/>
          <w:szCs w:val="32"/>
        </w:rPr>
      </w:pPr>
      <w:r>
        <w:rPr>
          <w:rFonts w:hint="eastAsia" w:ascii="仿宋_GB2312" w:eastAsia="仿宋_GB2312"/>
          <w:sz w:val="32"/>
          <w:szCs w:val="32"/>
        </w:rPr>
        <w:t>本单位已有成型的财务管理制度，并不断规范资金收支管理、专项资金管理及大额资金管理等相关工作，对于资金的使用和审批有详细的流程规定。预算管理制度规范了预算编制、申报、执行、绩效管理等方面。相关制度已较为完善，正在进一步加大制度落实工作。</w:t>
      </w:r>
    </w:p>
    <w:p w14:paraId="2DDAA722">
      <w:pPr>
        <w:spacing w:line="580" w:lineRule="exact"/>
        <w:ind w:firstLine="640"/>
        <w:rPr>
          <w:rFonts w:hint="eastAsia" w:ascii="仿宋_GB2312" w:eastAsia="仿宋_GB2312"/>
          <w:sz w:val="32"/>
          <w:szCs w:val="32"/>
        </w:rPr>
      </w:pPr>
      <w:r>
        <w:rPr>
          <w:rFonts w:hint="eastAsia" w:ascii="仿宋_GB2312" w:eastAsia="仿宋_GB2312"/>
          <w:sz w:val="32"/>
          <w:szCs w:val="32"/>
        </w:rPr>
        <w:t>2.资产管理</w:t>
      </w:r>
    </w:p>
    <w:p w14:paraId="26E5B9D1">
      <w:pPr>
        <w:spacing w:line="580" w:lineRule="exact"/>
        <w:ind w:firstLine="640"/>
        <w:rPr>
          <w:rFonts w:hint="eastAsia" w:ascii="仿宋_GB2312" w:eastAsia="仿宋_GB2312"/>
          <w:sz w:val="32"/>
          <w:szCs w:val="32"/>
        </w:rPr>
      </w:pPr>
      <w:r>
        <w:rPr>
          <w:rFonts w:hint="eastAsia" w:ascii="仿宋_GB2312" w:eastAsia="仿宋_GB2312"/>
          <w:sz w:val="32"/>
          <w:szCs w:val="32"/>
        </w:rPr>
        <w:t>我单位由综合办公室负责资产管理工作，并制定了固定资产管理办法，对资产的增加、减少、报废等资产的处理，有明确的规定。定期进行资产盘点，实物与账进行核对，做到账实相符、国有资产不流失。</w:t>
      </w:r>
    </w:p>
    <w:p w14:paraId="70062F75">
      <w:pPr>
        <w:spacing w:line="580" w:lineRule="exact"/>
        <w:ind w:firstLine="640"/>
        <w:rPr>
          <w:rFonts w:hint="eastAsia" w:ascii="仿宋_GB2312" w:eastAsia="仿宋_GB2312"/>
          <w:sz w:val="32"/>
          <w:szCs w:val="32"/>
        </w:rPr>
      </w:pPr>
      <w:r>
        <w:rPr>
          <w:rFonts w:hint="eastAsia" w:ascii="仿宋_GB2312" w:eastAsia="仿宋_GB2312"/>
          <w:sz w:val="32"/>
          <w:szCs w:val="32"/>
        </w:rPr>
        <w:t>3.绩效管理</w:t>
      </w:r>
    </w:p>
    <w:p w14:paraId="173665B5">
      <w:pPr>
        <w:spacing w:line="580" w:lineRule="exact"/>
        <w:ind w:firstLine="640"/>
        <w:rPr>
          <w:rFonts w:hint="eastAsia" w:ascii="仿宋_GB2312" w:eastAsia="仿宋_GB2312"/>
          <w:sz w:val="32"/>
          <w:szCs w:val="32"/>
        </w:rPr>
      </w:pPr>
      <w:r>
        <w:rPr>
          <w:rFonts w:hint="eastAsia" w:ascii="仿宋_GB2312" w:eastAsia="仿宋_GB2312"/>
          <w:sz w:val="32"/>
          <w:szCs w:val="32"/>
        </w:rPr>
        <w:t>（1）预算绩效管理制度情况</w:t>
      </w:r>
    </w:p>
    <w:p w14:paraId="07051998">
      <w:pPr>
        <w:spacing w:line="580" w:lineRule="exact"/>
        <w:ind w:firstLine="640"/>
        <w:rPr>
          <w:rFonts w:hint="eastAsia" w:ascii="仿宋_GB2312" w:eastAsia="仿宋_GB2312"/>
          <w:sz w:val="32"/>
          <w:szCs w:val="32"/>
        </w:rPr>
      </w:pPr>
      <w:r>
        <w:rPr>
          <w:rFonts w:hint="eastAsia" w:ascii="仿宋_GB2312" w:eastAsia="仿宋_GB2312"/>
          <w:sz w:val="32"/>
          <w:szCs w:val="32"/>
        </w:rPr>
        <w:t>按照上级相关要求，本单位制定了内部控制手册，规范各类资金活动章程，保障资金安全、提高资金使用效益。针对预算管理制定了《预算管理制度》，从控制目标、项目选择、依据、工作程序、结果利用和工作要求的角度，对预算绩效管理做了明确要求。</w:t>
      </w:r>
    </w:p>
    <w:p w14:paraId="3389799F">
      <w:pPr>
        <w:spacing w:line="580" w:lineRule="exact"/>
        <w:ind w:firstLine="640"/>
        <w:rPr>
          <w:rFonts w:hint="eastAsia" w:ascii="仿宋_GB2312" w:eastAsia="仿宋_GB2312"/>
          <w:sz w:val="32"/>
          <w:szCs w:val="32"/>
        </w:rPr>
      </w:pPr>
      <w:r>
        <w:rPr>
          <w:rFonts w:hint="eastAsia" w:ascii="仿宋_GB2312" w:eastAsia="仿宋_GB2312"/>
          <w:sz w:val="32"/>
          <w:szCs w:val="32"/>
        </w:rPr>
        <w:t>（2）绩效目标管理情况</w:t>
      </w:r>
    </w:p>
    <w:p w14:paraId="070E3E86">
      <w:pPr>
        <w:spacing w:line="580" w:lineRule="exact"/>
        <w:ind w:firstLine="640"/>
        <w:rPr>
          <w:rFonts w:hint="eastAsia" w:ascii="仿宋_GB2312" w:eastAsia="仿宋_GB2312"/>
          <w:sz w:val="32"/>
          <w:szCs w:val="32"/>
        </w:rPr>
      </w:pPr>
      <w:r>
        <w:rPr>
          <w:rFonts w:hint="eastAsia" w:ascii="仿宋_GB2312" w:eastAsia="仿宋_GB2312"/>
          <w:sz w:val="32"/>
          <w:szCs w:val="32"/>
          <w:lang w:eastAsia="zh-CN"/>
        </w:rPr>
        <w:t>2025年</w:t>
      </w:r>
      <w:r>
        <w:rPr>
          <w:rFonts w:hint="eastAsia" w:ascii="仿宋_GB2312" w:eastAsia="仿宋_GB2312"/>
          <w:sz w:val="32"/>
          <w:szCs w:val="32"/>
        </w:rPr>
        <w:t>部门预算项目</w:t>
      </w:r>
      <w:r>
        <w:rPr>
          <w:rFonts w:hint="eastAsia" w:ascii="仿宋_GB2312" w:eastAsia="仿宋_GB2312"/>
          <w:sz w:val="32"/>
          <w:szCs w:val="32"/>
          <w:lang w:val="en-US" w:eastAsia="zh-CN"/>
        </w:rPr>
        <w:t>90</w:t>
      </w:r>
      <w:r>
        <w:rPr>
          <w:rFonts w:hint="eastAsia" w:ascii="仿宋_GB2312" w:eastAsia="仿宋_GB2312"/>
          <w:sz w:val="32"/>
          <w:szCs w:val="32"/>
        </w:rPr>
        <w:t>个，部门预算公开绩效目标的预算项目</w:t>
      </w:r>
      <w:r>
        <w:rPr>
          <w:rFonts w:hint="eastAsia" w:ascii="仿宋_GB2312" w:eastAsia="仿宋_GB2312"/>
          <w:sz w:val="32"/>
          <w:szCs w:val="32"/>
          <w:lang w:val="en-US" w:eastAsia="zh-CN"/>
        </w:rPr>
        <w:t>60</w:t>
      </w:r>
      <w:r>
        <w:rPr>
          <w:rFonts w:hint="eastAsia" w:ascii="仿宋_GB2312" w:eastAsia="仿宋_GB2312"/>
          <w:sz w:val="32"/>
          <w:szCs w:val="32"/>
        </w:rPr>
        <w:t>个，占本部门全部预算项目的</w:t>
      </w:r>
      <w:r>
        <w:rPr>
          <w:rFonts w:hint="eastAsia" w:ascii="仿宋_GB2312" w:eastAsia="仿宋_GB2312"/>
          <w:sz w:val="32"/>
          <w:szCs w:val="32"/>
          <w:lang w:val="en-US" w:eastAsia="zh-CN"/>
        </w:rPr>
        <w:t>66.7</w:t>
      </w:r>
      <w:r>
        <w:rPr>
          <w:rFonts w:hint="eastAsia" w:ascii="仿宋_GB2312" w:eastAsia="仿宋_GB2312"/>
          <w:sz w:val="32"/>
          <w:szCs w:val="32"/>
        </w:rPr>
        <w:t>%。</w:t>
      </w:r>
    </w:p>
    <w:p w14:paraId="65B57789">
      <w:pPr>
        <w:spacing w:line="580" w:lineRule="exact"/>
        <w:ind w:firstLine="640"/>
        <w:rPr>
          <w:rFonts w:hint="eastAsia" w:ascii="仿宋_GB2312" w:eastAsia="仿宋_GB2312"/>
          <w:sz w:val="32"/>
          <w:szCs w:val="32"/>
        </w:rPr>
      </w:pPr>
      <w:r>
        <w:rPr>
          <w:rFonts w:hint="eastAsia" w:ascii="仿宋_GB2312" w:eastAsia="仿宋_GB2312"/>
          <w:sz w:val="32"/>
          <w:szCs w:val="32"/>
        </w:rPr>
        <w:t>（3）绩效自评情况</w:t>
      </w:r>
    </w:p>
    <w:p w14:paraId="449CBC0D">
      <w:pPr>
        <w:spacing w:line="580" w:lineRule="exact"/>
        <w:ind w:firstLine="640"/>
        <w:rPr>
          <w:rFonts w:hint="eastAsia" w:ascii="仿宋_GB2312" w:eastAsia="仿宋_GB2312"/>
          <w:sz w:val="32"/>
          <w:szCs w:val="32"/>
        </w:rPr>
      </w:pPr>
      <w:r>
        <w:rPr>
          <w:rFonts w:hint="eastAsia" w:ascii="仿宋_GB2312" w:eastAsia="仿宋_GB2312"/>
          <w:sz w:val="32"/>
          <w:szCs w:val="32"/>
          <w:lang w:eastAsia="zh-CN"/>
        </w:rPr>
        <w:t>2025年</w:t>
      </w:r>
      <w:r>
        <w:rPr>
          <w:rFonts w:hint="eastAsia" w:ascii="仿宋_GB2312" w:eastAsia="仿宋_GB2312"/>
          <w:sz w:val="32"/>
          <w:szCs w:val="32"/>
        </w:rPr>
        <w:t>对本部门及所属单位</w:t>
      </w:r>
      <w:r>
        <w:rPr>
          <w:rFonts w:hint="eastAsia" w:ascii="仿宋_GB2312" w:eastAsia="仿宋_GB2312"/>
          <w:sz w:val="32"/>
          <w:szCs w:val="32"/>
          <w:lang w:eastAsia="zh-CN"/>
        </w:rPr>
        <w:t>2024年</w:t>
      </w:r>
      <w:r>
        <w:rPr>
          <w:rFonts w:hint="eastAsia" w:ascii="仿宋_GB2312" w:eastAsia="仿宋_GB2312"/>
          <w:sz w:val="32"/>
          <w:szCs w:val="32"/>
        </w:rPr>
        <w:t>项目支出实施了绩效自评，评价项目</w:t>
      </w:r>
      <w:r>
        <w:rPr>
          <w:rFonts w:hint="eastAsia" w:ascii="仿宋_GB2312" w:eastAsia="仿宋_GB2312"/>
          <w:sz w:val="32"/>
          <w:szCs w:val="32"/>
          <w:lang w:val="en-US" w:eastAsia="zh-CN"/>
        </w:rPr>
        <w:t>83</w:t>
      </w:r>
      <w:r>
        <w:rPr>
          <w:rFonts w:hint="eastAsia" w:ascii="仿宋_GB2312" w:eastAsia="仿宋_GB2312"/>
          <w:sz w:val="32"/>
          <w:szCs w:val="32"/>
        </w:rPr>
        <w:t>个，涉及金额 47,836,128.88元。</w:t>
      </w:r>
    </w:p>
    <w:p w14:paraId="2CEB8D60">
      <w:pPr>
        <w:spacing w:line="580" w:lineRule="exact"/>
        <w:ind w:firstLine="640"/>
        <w:rPr>
          <w:rFonts w:hint="eastAsia" w:ascii="楷体_GB2312" w:eastAsia="楷体_GB2312"/>
          <w:b/>
          <w:sz w:val="32"/>
          <w:szCs w:val="32"/>
        </w:rPr>
      </w:pPr>
      <w:r>
        <w:rPr>
          <w:rFonts w:hint="eastAsia" w:ascii="楷体_GB2312" w:eastAsia="楷体_GB2312"/>
          <w:b/>
          <w:sz w:val="32"/>
          <w:szCs w:val="32"/>
        </w:rPr>
        <w:t>（五）总体评价结论</w:t>
      </w:r>
    </w:p>
    <w:p w14:paraId="4C21792C">
      <w:pPr>
        <w:spacing w:line="580" w:lineRule="exact"/>
        <w:ind w:firstLine="640"/>
        <w:rPr>
          <w:rFonts w:hint="eastAsia" w:ascii="仿宋_GB2312" w:eastAsia="仿宋_GB2312"/>
          <w:sz w:val="32"/>
          <w:szCs w:val="32"/>
        </w:rPr>
      </w:pPr>
      <w:r>
        <w:rPr>
          <w:rFonts w:hint="eastAsia" w:ascii="仿宋_GB2312" w:eastAsia="仿宋_GB2312"/>
          <w:sz w:val="32"/>
          <w:szCs w:val="32"/>
        </w:rPr>
        <w:t>1.评价得分情况</w:t>
      </w:r>
    </w:p>
    <w:p w14:paraId="29F074BA">
      <w:pPr>
        <w:spacing w:line="580" w:lineRule="exact"/>
        <w:ind w:firstLine="640"/>
        <w:rPr>
          <w:rFonts w:hint="eastAsia" w:ascii="仿宋_GB2312" w:eastAsia="仿宋_GB2312"/>
          <w:sz w:val="32"/>
          <w:szCs w:val="32"/>
        </w:rPr>
      </w:pPr>
      <w:r>
        <w:rPr>
          <w:rFonts w:hint="eastAsia" w:ascii="仿宋_GB2312" w:eastAsia="仿宋_GB2312"/>
          <w:sz w:val="32"/>
          <w:szCs w:val="32"/>
        </w:rPr>
        <w:t>绩效自评总分：</w:t>
      </w:r>
      <w:r>
        <w:rPr>
          <w:rFonts w:hint="eastAsia" w:ascii="仿宋_GB2312" w:eastAsia="仿宋_GB2312"/>
          <w:sz w:val="32"/>
          <w:szCs w:val="32"/>
          <w:lang w:val="en-US" w:eastAsia="zh-CN"/>
        </w:rPr>
        <w:t>95.45</w:t>
      </w:r>
      <w:r>
        <w:rPr>
          <w:rFonts w:hint="eastAsia" w:ascii="仿宋_GB2312" w:eastAsia="仿宋_GB2312"/>
          <w:sz w:val="32"/>
          <w:szCs w:val="32"/>
        </w:rPr>
        <w:t>分</w:t>
      </w:r>
    </w:p>
    <w:p w14:paraId="519427E2">
      <w:pPr>
        <w:spacing w:line="580" w:lineRule="exact"/>
        <w:ind w:firstLine="640"/>
        <w:rPr>
          <w:rFonts w:hint="eastAsia" w:ascii="仿宋_GB2312" w:eastAsia="仿宋_GB2312"/>
          <w:sz w:val="32"/>
          <w:szCs w:val="32"/>
          <w:lang w:val="en-US" w:eastAsia="zh-CN"/>
        </w:rPr>
      </w:pPr>
      <w:r>
        <w:rPr>
          <w:rFonts w:hint="eastAsia" w:ascii="仿宋_GB2312" w:eastAsia="仿宋_GB2312"/>
          <w:sz w:val="32"/>
          <w:szCs w:val="32"/>
        </w:rPr>
        <w:t>绩效自评等级：</w:t>
      </w:r>
      <w:r>
        <w:rPr>
          <w:rFonts w:hint="eastAsia" w:ascii="仿宋_GB2312" w:eastAsia="仿宋_GB2312"/>
          <w:sz w:val="32"/>
          <w:szCs w:val="32"/>
          <w:lang w:val="en-US" w:eastAsia="zh-CN"/>
        </w:rPr>
        <w:t>优秀</w:t>
      </w:r>
    </w:p>
    <w:p w14:paraId="498366C6">
      <w:pPr>
        <w:spacing w:line="580" w:lineRule="exact"/>
        <w:ind w:firstLine="640"/>
        <w:rPr>
          <w:rFonts w:hint="eastAsia" w:ascii="仿宋_GB2312" w:eastAsia="仿宋_GB2312"/>
          <w:sz w:val="32"/>
          <w:szCs w:val="32"/>
        </w:rPr>
      </w:pPr>
      <w:r>
        <w:rPr>
          <w:rFonts w:hint="eastAsia" w:ascii="仿宋_GB2312" w:eastAsia="仿宋_GB2312"/>
          <w:sz w:val="32"/>
          <w:szCs w:val="32"/>
        </w:rPr>
        <w:t>2.存在的问题及原因分析</w:t>
      </w:r>
    </w:p>
    <w:p w14:paraId="34FEB0C6">
      <w:pPr>
        <w:spacing w:line="580" w:lineRule="exact"/>
        <w:ind w:firstLine="640"/>
        <w:rPr>
          <w:rFonts w:hint="eastAsia" w:ascii="仿宋_GB2312" w:eastAsia="仿宋_GB2312"/>
          <w:sz w:val="32"/>
          <w:szCs w:val="32"/>
        </w:rPr>
      </w:pPr>
      <w:r>
        <w:rPr>
          <w:rFonts w:hint="eastAsia" w:ascii="仿宋_GB2312" w:eastAsia="仿宋_GB2312"/>
          <w:sz w:val="32"/>
          <w:szCs w:val="32"/>
        </w:rPr>
        <w:t>（1）执行率扣分，主要原因为人员调动、资金节约、项目未到支付阶段等因素，形成资金结余。</w:t>
      </w:r>
    </w:p>
    <w:p w14:paraId="0AD0FD2C">
      <w:pPr>
        <w:spacing w:line="580" w:lineRule="exact"/>
        <w:ind w:firstLine="640"/>
        <w:rPr>
          <w:rFonts w:hint="eastAsia" w:ascii="仿宋_GB2312" w:eastAsia="仿宋_GB2312"/>
          <w:sz w:val="32"/>
          <w:szCs w:val="32"/>
        </w:rPr>
      </w:pPr>
      <w:r>
        <w:rPr>
          <w:rFonts w:hint="eastAsia" w:ascii="仿宋_GB2312" w:eastAsia="仿宋_GB2312"/>
          <w:sz w:val="32"/>
          <w:szCs w:val="32"/>
        </w:rPr>
        <w:t>3.改进措施</w:t>
      </w:r>
    </w:p>
    <w:bookmarkEnd w:id="2"/>
    <w:p w14:paraId="128F1866">
      <w:pPr>
        <w:spacing w:line="580" w:lineRule="exact"/>
        <w:ind w:firstLine="640"/>
        <w:rPr>
          <w:rFonts w:hint="eastAsia" w:ascii="仿宋_GB2312" w:eastAsia="仿宋_GB2312"/>
          <w:sz w:val="32"/>
          <w:szCs w:val="32"/>
        </w:rPr>
      </w:pPr>
      <w:r>
        <w:rPr>
          <w:rFonts w:hint="eastAsia" w:ascii="仿宋_GB2312" w:eastAsia="仿宋_GB2312"/>
          <w:sz w:val="32"/>
          <w:szCs w:val="32"/>
        </w:rPr>
        <w:t>（1）加强预算管理，合理分配资金；</w:t>
      </w:r>
    </w:p>
    <w:p w14:paraId="24DB3292">
      <w:pPr>
        <w:spacing w:line="580" w:lineRule="exact"/>
        <w:ind w:firstLine="640"/>
        <w:rPr>
          <w:rFonts w:hint="eastAsia" w:ascii="仿宋_GB2312" w:eastAsia="仿宋_GB2312"/>
          <w:sz w:val="32"/>
          <w:szCs w:val="32"/>
        </w:rPr>
      </w:pPr>
      <w:r>
        <w:rPr>
          <w:rFonts w:hint="eastAsia" w:ascii="仿宋_GB2312" w:eastAsia="仿宋_GB2312"/>
          <w:sz w:val="32"/>
          <w:szCs w:val="32"/>
        </w:rPr>
        <w:t>（2）加强工程项目资金监管，合理制定支付条款，保障项目资金合法、合规支出。</w:t>
      </w:r>
    </w:p>
    <w:p w14:paraId="0893BEA4">
      <w:pPr>
        <w:spacing w:line="580" w:lineRule="exact"/>
        <w:ind w:firstLine="640"/>
        <w:rPr>
          <w:rFonts w:hint="eastAsia" w:ascii="黑体" w:hAnsi="黑体" w:eastAsia="黑体"/>
          <w:sz w:val="32"/>
          <w:szCs w:val="32"/>
        </w:rPr>
      </w:pPr>
      <w:r>
        <w:rPr>
          <w:rFonts w:hint="eastAsia" w:ascii="黑体" w:hAnsi="黑体" w:eastAsia="黑体"/>
          <w:sz w:val="32"/>
          <w:szCs w:val="32"/>
        </w:rPr>
        <w:t>二、项目支出绩效自评情况</w:t>
      </w:r>
    </w:p>
    <w:p w14:paraId="48E7042D">
      <w:pPr>
        <w:spacing w:line="580" w:lineRule="exact"/>
        <w:ind w:firstLine="809" w:firstLineChars="253"/>
        <w:rPr>
          <w:rFonts w:hint="eastAsia" w:ascii="楷体_GB2312" w:hAnsi="仿宋" w:eastAsia="楷体_GB2312"/>
          <w:b/>
          <w:sz w:val="32"/>
          <w:szCs w:val="32"/>
        </w:rPr>
      </w:pPr>
      <w:r>
        <w:rPr>
          <w:rFonts w:hint="eastAsia" w:ascii="楷体_GB2312" w:hAnsi="仿宋" w:eastAsia="楷体_GB2312"/>
          <w:b/>
          <w:sz w:val="32"/>
          <w:szCs w:val="32"/>
        </w:rPr>
        <w:t>（一）绩效自评开展总体情况</w:t>
      </w:r>
    </w:p>
    <w:p w14:paraId="68462124">
      <w:pPr>
        <w:spacing w:line="580" w:lineRule="exact"/>
        <w:ind w:firstLine="809" w:firstLineChars="253"/>
        <w:rPr>
          <w:rFonts w:hint="eastAsia" w:ascii="仿宋_GB2312" w:hAnsi="Calibri" w:eastAsia="仿宋_GB2312"/>
          <w:sz w:val="32"/>
          <w:szCs w:val="32"/>
        </w:rPr>
      </w:pPr>
      <w:r>
        <w:rPr>
          <w:rFonts w:hint="eastAsia" w:ascii="仿宋_GB2312" w:eastAsia="仿宋_GB2312"/>
          <w:sz w:val="32"/>
          <w:szCs w:val="32"/>
          <w:lang w:eastAsia="zh-CN"/>
        </w:rPr>
        <w:t>2025年</w:t>
      </w:r>
      <w:r>
        <w:rPr>
          <w:rFonts w:hint="eastAsia" w:ascii="仿宋_GB2312" w:eastAsia="仿宋_GB2312"/>
          <w:sz w:val="32"/>
          <w:szCs w:val="32"/>
        </w:rPr>
        <w:t>度区财政批复项目支出预算项目</w:t>
      </w:r>
      <w:r>
        <w:rPr>
          <w:rFonts w:hint="eastAsia" w:ascii="仿宋_GB2312" w:eastAsia="仿宋_GB2312"/>
          <w:sz w:val="32"/>
          <w:szCs w:val="32"/>
          <w:lang w:val="en-US" w:eastAsia="zh-CN"/>
        </w:rPr>
        <w:t>90</w:t>
      </w:r>
      <w:r>
        <w:rPr>
          <w:rFonts w:hint="eastAsia" w:ascii="仿宋_GB2312" w:eastAsia="仿宋_GB2312"/>
          <w:sz w:val="32"/>
          <w:szCs w:val="32"/>
        </w:rPr>
        <w:t>个，涉及金额96,141,441.53元。本次实施绩效自评项目</w:t>
      </w:r>
      <w:r>
        <w:rPr>
          <w:rFonts w:hint="eastAsia" w:ascii="仿宋_GB2312" w:eastAsia="仿宋_GB2312"/>
          <w:sz w:val="32"/>
          <w:szCs w:val="32"/>
          <w:lang w:val="en-US" w:eastAsia="zh-CN"/>
        </w:rPr>
        <w:t>89</w:t>
      </w:r>
      <w:r>
        <w:rPr>
          <w:rFonts w:hint="eastAsia" w:ascii="仿宋_GB2312" w:eastAsia="仿宋_GB2312"/>
          <w:sz w:val="32"/>
          <w:szCs w:val="32"/>
        </w:rPr>
        <w:t>个，涉及金额96,133,454.93元。评价得分在90分（含90分）以上的</w:t>
      </w:r>
      <w:r>
        <w:rPr>
          <w:rFonts w:hint="eastAsia" w:ascii="仿宋_GB2312" w:eastAsia="仿宋_GB2312"/>
          <w:sz w:val="32"/>
          <w:szCs w:val="32"/>
          <w:lang w:val="en-US" w:eastAsia="zh-CN"/>
        </w:rPr>
        <w:t>77</w:t>
      </w:r>
      <w:r>
        <w:rPr>
          <w:rFonts w:hint="eastAsia" w:ascii="仿宋_GB2312" w:eastAsia="仿宋_GB2312"/>
          <w:sz w:val="32"/>
          <w:szCs w:val="32"/>
        </w:rPr>
        <w:t>个，评价得分在80-90分（含80分）的</w:t>
      </w:r>
      <w:r>
        <w:rPr>
          <w:rFonts w:hint="eastAsia" w:ascii="仿宋_GB2312" w:eastAsia="仿宋_GB2312"/>
          <w:sz w:val="32"/>
          <w:szCs w:val="32"/>
          <w:lang w:val="en-US" w:eastAsia="zh-CN"/>
        </w:rPr>
        <w:t>8</w:t>
      </w:r>
      <w:r>
        <w:rPr>
          <w:rFonts w:hint="eastAsia" w:ascii="仿宋_GB2312" w:eastAsia="仿宋_GB2312"/>
          <w:sz w:val="32"/>
          <w:szCs w:val="32"/>
        </w:rPr>
        <w:t>个，评价得分在60-80分（含60分）的</w:t>
      </w:r>
      <w:r>
        <w:rPr>
          <w:rFonts w:hint="eastAsia" w:ascii="仿宋_GB2312" w:eastAsia="仿宋_GB2312"/>
          <w:sz w:val="32"/>
          <w:szCs w:val="32"/>
          <w:lang w:val="en-US" w:eastAsia="zh-CN"/>
        </w:rPr>
        <w:t>0</w:t>
      </w:r>
      <w:r>
        <w:rPr>
          <w:rFonts w:hint="eastAsia" w:ascii="仿宋_GB2312" w:eastAsia="仿宋_GB2312"/>
          <w:sz w:val="32"/>
          <w:szCs w:val="32"/>
        </w:rPr>
        <w:t>个，评价得分在60分以下的</w:t>
      </w:r>
      <w:r>
        <w:rPr>
          <w:rFonts w:hint="eastAsia" w:ascii="仿宋_GB2312" w:eastAsia="仿宋_GB2312"/>
          <w:sz w:val="32"/>
          <w:szCs w:val="32"/>
          <w:lang w:val="en-US" w:eastAsia="zh-CN"/>
        </w:rPr>
        <w:t>0</w:t>
      </w:r>
      <w:r>
        <w:rPr>
          <w:rFonts w:hint="eastAsia" w:ascii="仿宋_GB2312" w:eastAsia="仿宋_GB2312"/>
          <w:sz w:val="32"/>
          <w:szCs w:val="32"/>
        </w:rPr>
        <w:t>个。</w:t>
      </w:r>
    </w:p>
    <w:p w14:paraId="75EA1C0D">
      <w:pPr>
        <w:spacing w:line="580" w:lineRule="exact"/>
        <w:ind w:firstLine="809" w:firstLineChars="253"/>
        <w:rPr>
          <w:rFonts w:hint="eastAsia" w:ascii="楷体_GB2312" w:hAnsi="仿宋" w:eastAsia="楷体_GB2312"/>
          <w:b/>
          <w:sz w:val="32"/>
          <w:szCs w:val="32"/>
        </w:rPr>
      </w:pPr>
      <w:r>
        <w:rPr>
          <w:rFonts w:hint="eastAsia" w:ascii="楷体_GB2312" w:hAnsi="仿宋" w:eastAsia="楷体_GB2312"/>
          <w:b/>
          <w:sz w:val="32"/>
          <w:szCs w:val="32"/>
        </w:rPr>
        <w:t>（二）重点支出项目绩效自评报告</w:t>
      </w:r>
    </w:p>
    <w:p w14:paraId="535C5B99">
      <w:pPr>
        <w:spacing w:line="580" w:lineRule="exact"/>
        <w:ind w:firstLine="809" w:firstLineChars="253"/>
        <w:rPr>
          <w:rFonts w:hint="eastAsia" w:ascii="楷体_GB2312" w:hAnsi="仿宋" w:eastAsia="楷体_GB2312" w:cs="Times New Roman"/>
          <w:b/>
          <w:sz w:val="32"/>
          <w:szCs w:val="32"/>
        </w:rPr>
      </w:pPr>
      <w:r>
        <w:rPr>
          <w:rFonts w:hint="eastAsia" w:ascii="楷体_GB2312" w:hAnsi="仿宋" w:eastAsia="楷体_GB2312" w:cs="Times New Roman"/>
          <w:b/>
          <w:sz w:val="32"/>
          <w:szCs w:val="32"/>
        </w:rPr>
        <w:t>（三）项目支出绩效自评表</w:t>
      </w:r>
    </w:p>
    <w:p w14:paraId="21755C6C">
      <w:pPr>
        <w:spacing w:line="580" w:lineRule="exact"/>
        <w:ind w:firstLine="800" w:firstLineChars="250"/>
        <w:rPr>
          <w:rFonts w:hint="eastAsia" w:ascii="仿宋_GB2312" w:eastAsia="仿宋_GB2312"/>
          <w:sz w:val="32"/>
          <w:szCs w:val="32"/>
        </w:rPr>
      </w:pPr>
      <w:bookmarkStart w:id="4" w:name="_GoBack"/>
      <w:bookmarkEnd w:id="4"/>
      <w:r>
        <w:rPr>
          <w:rFonts w:hint="eastAsia" w:ascii="仿宋_GB2312" w:eastAsia="仿宋_GB2312"/>
          <w:sz w:val="32"/>
          <w:szCs w:val="32"/>
        </w:rPr>
        <w:t>附件：1.重点支出项目绩效自评报告</w:t>
      </w:r>
    </w:p>
    <w:p w14:paraId="209F2111">
      <w:pPr>
        <w:spacing w:line="580" w:lineRule="exact"/>
        <w:ind w:firstLine="1760" w:firstLineChars="550"/>
        <w:rPr>
          <w:rFonts w:hint="eastAsia" w:ascii="仿宋_GB2312" w:eastAsia="仿宋_GB2312"/>
          <w:sz w:val="32"/>
          <w:szCs w:val="32"/>
        </w:rPr>
      </w:pPr>
      <w:r>
        <w:rPr>
          <w:rFonts w:hint="eastAsia" w:ascii="仿宋_GB2312" w:eastAsia="仿宋_GB2312"/>
          <w:sz w:val="32"/>
          <w:szCs w:val="32"/>
        </w:rPr>
        <w:t>2.项目支出绩效自评表</w:t>
      </w:r>
    </w:p>
    <w:sectPr>
      <w:footerReference r:id="rId4" w:type="default"/>
      <w:footerReference r:id="rId5" w:type="even"/>
      <w:pgSz w:w="16838" w:h="11906" w:orient="landscape"/>
      <w:pgMar w:top="1134" w:right="1134" w:bottom="1134" w:left="1134" w:header="851" w:footer="992" w:gutter="0"/>
      <w:pgBorders>
        <w:top w:val="none" w:sz="0" w:space="0"/>
        <w:left w:val="none" w:sz="0" w:space="0"/>
        <w:bottom w:val="none" w:sz="0" w:space="0"/>
        <w:right w:val="none" w:sz="0" w:space="0"/>
      </w:pgBorders>
      <w:cols w:space="720" w:num="1"/>
      <w:docGrid w:type="linesAndChar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仿宋_GB2312">
    <w:panose1 w:val="02010609030101010101"/>
    <w:charset w:val="86"/>
    <w:family w:val="modern"/>
    <w:pitch w:val="default"/>
    <w:sig w:usb0="00000001" w:usb1="080E0000" w:usb2="00000000" w:usb3="00000000" w:csb0="00040000" w:csb1="00000000"/>
  </w:font>
  <w:font w:name="Tahoma">
    <w:panose1 w:val="020B0604030504040204"/>
    <w:charset w:val="00"/>
    <w:family w:val="swiss"/>
    <w:pitch w:val="default"/>
    <w:sig w:usb0="E1002EFF" w:usb1="C000605B" w:usb2="00000029" w:usb3="00000000" w:csb0="200101FF" w:csb1="20280000"/>
  </w:font>
  <w:font w:name="仿宋">
    <w:panose1 w:val="02010609060101010101"/>
    <w:charset w:val="86"/>
    <w:family w:val="modern"/>
    <w:pitch w:val="default"/>
    <w:sig w:usb0="800002BF" w:usb1="38CF7CFA" w:usb2="00000016" w:usb3="00000000" w:csb0="00040001" w:csb1="00000000"/>
  </w:font>
  <w:font w:name="Droid Sans">
    <w:altName w:val="微软雅黑"/>
    <w:panose1 w:val="00000000000000000000"/>
    <w:charset w:val="00"/>
    <w:family w:val="auto"/>
    <w:pitch w:val="default"/>
    <w:sig w:usb0="00000000" w:usb1="00000000" w:usb2="00000000" w:usb3="00000000" w:csb0="00040001" w:csb1="00000000"/>
  </w:font>
  <w:font w:name="微软雅黑">
    <w:panose1 w:val="020B0503020204020204"/>
    <w:charset w:val="86"/>
    <w:family w:val="auto"/>
    <w:pitch w:val="default"/>
    <w:sig w:usb0="80000287" w:usb1="2ACF3C50" w:usb2="00000016" w:usb3="00000000" w:csb0="0004001F" w:csb1="00000000"/>
  </w:font>
  <w:font w:name="华文中宋">
    <w:altName w:val="宋体"/>
    <w:panose1 w:val="02010600040101010101"/>
    <w:charset w:val="86"/>
    <w:family w:val="auto"/>
    <w:pitch w:val="default"/>
    <w:sig w:usb0="00000000" w:usb1="00000000" w:usb2="00000000" w:usb3="00000000" w:csb0="0004009F" w:csb1="DFD70000"/>
  </w:font>
  <w:font w:name="楷体_GB2312">
    <w:altName w:val="楷体"/>
    <w:panose1 w:val="02010609030101010101"/>
    <w:charset w:val="86"/>
    <w:family w:val="modern"/>
    <w:pitch w:val="default"/>
    <w:sig w:usb0="00000000" w:usb1="00000000" w:usb2="00000010" w:usb3="00000000" w:csb0="00040000" w:csb1="00000000"/>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C86C736">
    <w:pPr>
      <w:pStyle w:val="7"/>
      <w:framePr w:wrap="around" w:vAnchor="text" w:hAnchor="margin" w:xAlign="center" w:y="1"/>
      <w:rPr>
        <w:rStyle w:val="13"/>
      </w:rPr>
    </w:pPr>
    <w:r>
      <w:fldChar w:fldCharType="begin"/>
    </w:r>
    <w:r>
      <w:rPr>
        <w:rStyle w:val="13"/>
      </w:rPr>
      <w:instrText xml:space="preserve">PAGE  </w:instrText>
    </w:r>
    <w:r>
      <w:fldChar w:fldCharType="separate"/>
    </w:r>
    <w:r>
      <w:rPr>
        <w:rStyle w:val="13"/>
      </w:rPr>
      <w:t>3</w:t>
    </w:r>
    <w:r>
      <w:fldChar w:fldCharType="end"/>
    </w:r>
  </w:p>
  <w:p w14:paraId="026BBF47">
    <w:pPr>
      <w:pStyle w:val="7"/>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63F2AD0">
    <w:pPr>
      <w:pStyle w:val="7"/>
      <w:framePr w:wrap="around" w:vAnchor="text" w:hAnchor="margin" w:xAlign="center" w:y="1"/>
      <w:rPr>
        <w:rStyle w:val="13"/>
      </w:rPr>
    </w:pPr>
    <w:r>
      <w:fldChar w:fldCharType="begin"/>
    </w:r>
    <w:r>
      <w:rPr>
        <w:rStyle w:val="13"/>
      </w:rPr>
      <w:instrText xml:space="preserve">PAGE  </w:instrText>
    </w:r>
    <w:r>
      <w:fldChar w:fldCharType="separate"/>
    </w:r>
    <w:r>
      <w:rPr>
        <w:rStyle w:val="13"/>
      </w:rPr>
      <w:t>16</w:t>
    </w:r>
    <w:r>
      <w:fldChar w:fldCharType="end"/>
    </w:r>
  </w:p>
  <w:p w14:paraId="3F44CD82">
    <w:pPr>
      <w:pStyle w:val="7"/>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B93B60D">
    <w:pPr>
      <w:pStyle w:val="7"/>
      <w:framePr w:wrap="around" w:vAnchor="text" w:hAnchor="margin" w:xAlign="center" w:y="1"/>
      <w:rPr>
        <w:rStyle w:val="13"/>
      </w:rPr>
    </w:pPr>
    <w:r>
      <w:fldChar w:fldCharType="begin"/>
    </w:r>
    <w:r>
      <w:rPr>
        <w:rStyle w:val="13"/>
      </w:rPr>
      <w:instrText xml:space="preserve">PAGE  </w:instrText>
    </w:r>
    <w:r>
      <w:fldChar w:fldCharType="separate"/>
    </w:r>
    <w:r>
      <w:rPr>
        <w:rStyle w:val="13"/>
      </w:rPr>
      <w:t>15</w:t>
    </w:r>
    <w:r>
      <w:fldChar w:fldCharType="end"/>
    </w:r>
  </w:p>
  <w:p w14:paraId="7DA794FF">
    <w:pPr>
      <w:pStyle w:val="7"/>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bordersDoNotSurroundHeader w:val="0"/>
  <w:bordersDoNotSurroundFooter w:val="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WZmNWE4NzRhMTczNjJlZDE5ZTE5YTczN2QxMzcyMjAifQ=="/>
  </w:docVars>
  <w:rsids>
    <w:rsidRoot w:val="00100246"/>
    <w:rsid w:val="00003B03"/>
    <w:rsid w:val="000040E6"/>
    <w:rsid w:val="00011D72"/>
    <w:rsid w:val="0002352D"/>
    <w:rsid w:val="00027CD5"/>
    <w:rsid w:val="00031B8E"/>
    <w:rsid w:val="00033EC1"/>
    <w:rsid w:val="00034224"/>
    <w:rsid w:val="00040275"/>
    <w:rsid w:val="0004719C"/>
    <w:rsid w:val="00047F6E"/>
    <w:rsid w:val="00051B00"/>
    <w:rsid w:val="000601B1"/>
    <w:rsid w:val="00063034"/>
    <w:rsid w:val="00066E19"/>
    <w:rsid w:val="0006752F"/>
    <w:rsid w:val="00071797"/>
    <w:rsid w:val="00071860"/>
    <w:rsid w:val="0007258E"/>
    <w:rsid w:val="00077A9E"/>
    <w:rsid w:val="00077F4A"/>
    <w:rsid w:val="00077FE5"/>
    <w:rsid w:val="00080447"/>
    <w:rsid w:val="00085663"/>
    <w:rsid w:val="00095948"/>
    <w:rsid w:val="00095C26"/>
    <w:rsid w:val="00096504"/>
    <w:rsid w:val="00096B86"/>
    <w:rsid w:val="000A1770"/>
    <w:rsid w:val="000A283C"/>
    <w:rsid w:val="000B15B7"/>
    <w:rsid w:val="000B70F1"/>
    <w:rsid w:val="000C4611"/>
    <w:rsid w:val="000D1B61"/>
    <w:rsid w:val="000D6854"/>
    <w:rsid w:val="000E0B26"/>
    <w:rsid w:val="000E3291"/>
    <w:rsid w:val="000F08FE"/>
    <w:rsid w:val="000F208B"/>
    <w:rsid w:val="000F2A48"/>
    <w:rsid w:val="000F49BE"/>
    <w:rsid w:val="00100246"/>
    <w:rsid w:val="0010682D"/>
    <w:rsid w:val="001073C6"/>
    <w:rsid w:val="00107DB5"/>
    <w:rsid w:val="00113613"/>
    <w:rsid w:val="0011483D"/>
    <w:rsid w:val="00115724"/>
    <w:rsid w:val="00130995"/>
    <w:rsid w:val="00131FF9"/>
    <w:rsid w:val="00132320"/>
    <w:rsid w:val="00135B6A"/>
    <w:rsid w:val="001369A7"/>
    <w:rsid w:val="001428C5"/>
    <w:rsid w:val="001503D8"/>
    <w:rsid w:val="00157540"/>
    <w:rsid w:val="0017111F"/>
    <w:rsid w:val="00173CF6"/>
    <w:rsid w:val="00180DAD"/>
    <w:rsid w:val="0018370E"/>
    <w:rsid w:val="001852E1"/>
    <w:rsid w:val="00191568"/>
    <w:rsid w:val="001A4277"/>
    <w:rsid w:val="001A7D2E"/>
    <w:rsid w:val="001B1DF9"/>
    <w:rsid w:val="001B1E93"/>
    <w:rsid w:val="001B375E"/>
    <w:rsid w:val="001B4A46"/>
    <w:rsid w:val="001B5E87"/>
    <w:rsid w:val="001B5E91"/>
    <w:rsid w:val="001B69BF"/>
    <w:rsid w:val="001B7988"/>
    <w:rsid w:val="001D78D9"/>
    <w:rsid w:val="001E0556"/>
    <w:rsid w:val="001E2355"/>
    <w:rsid w:val="001E2379"/>
    <w:rsid w:val="001E29A9"/>
    <w:rsid w:val="001F5857"/>
    <w:rsid w:val="00206EC3"/>
    <w:rsid w:val="0021047C"/>
    <w:rsid w:val="00211E4E"/>
    <w:rsid w:val="00213D1C"/>
    <w:rsid w:val="00214C3A"/>
    <w:rsid w:val="00217517"/>
    <w:rsid w:val="00222628"/>
    <w:rsid w:val="002253CB"/>
    <w:rsid w:val="002267A6"/>
    <w:rsid w:val="002326DE"/>
    <w:rsid w:val="00234314"/>
    <w:rsid w:val="00241724"/>
    <w:rsid w:val="0024390C"/>
    <w:rsid w:val="002441F4"/>
    <w:rsid w:val="00244204"/>
    <w:rsid w:val="002448A4"/>
    <w:rsid w:val="00245A0A"/>
    <w:rsid w:val="00246C42"/>
    <w:rsid w:val="002515CC"/>
    <w:rsid w:val="00253EC4"/>
    <w:rsid w:val="00254515"/>
    <w:rsid w:val="0026479D"/>
    <w:rsid w:val="002673C4"/>
    <w:rsid w:val="0027112B"/>
    <w:rsid w:val="00271C3F"/>
    <w:rsid w:val="00272460"/>
    <w:rsid w:val="00273070"/>
    <w:rsid w:val="0027394A"/>
    <w:rsid w:val="00274D50"/>
    <w:rsid w:val="002760D5"/>
    <w:rsid w:val="00276289"/>
    <w:rsid w:val="0028081D"/>
    <w:rsid w:val="0028458C"/>
    <w:rsid w:val="002911BD"/>
    <w:rsid w:val="00291C98"/>
    <w:rsid w:val="00294DE9"/>
    <w:rsid w:val="002A1488"/>
    <w:rsid w:val="002A4C2B"/>
    <w:rsid w:val="002B19D0"/>
    <w:rsid w:val="002B3682"/>
    <w:rsid w:val="002B5464"/>
    <w:rsid w:val="002C0443"/>
    <w:rsid w:val="002C12FB"/>
    <w:rsid w:val="002C24BC"/>
    <w:rsid w:val="002D03C6"/>
    <w:rsid w:val="002D0FDF"/>
    <w:rsid w:val="002D3955"/>
    <w:rsid w:val="002D68A9"/>
    <w:rsid w:val="002E06AE"/>
    <w:rsid w:val="002E4B75"/>
    <w:rsid w:val="002E68DD"/>
    <w:rsid w:val="002F17C2"/>
    <w:rsid w:val="002F32EE"/>
    <w:rsid w:val="002F4054"/>
    <w:rsid w:val="002F5574"/>
    <w:rsid w:val="00301D20"/>
    <w:rsid w:val="00302B19"/>
    <w:rsid w:val="00303428"/>
    <w:rsid w:val="003053C4"/>
    <w:rsid w:val="003058A3"/>
    <w:rsid w:val="00307204"/>
    <w:rsid w:val="00307DA5"/>
    <w:rsid w:val="0031169D"/>
    <w:rsid w:val="0031170D"/>
    <w:rsid w:val="00313E14"/>
    <w:rsid w:val="003167DD"/>
    <w:rsid w:val="00320C8B"/>
    <w:rsid w:val="00321BD8"/>
    <w:rsid w:val="00325687"/>
    <w:rsid w:val="00332C14"/>
    <w:rsid w:val="00335079"/>
    <w:rsid w:val="003352CE"/>
    <w:rsid w:val="00341D8E"/>
    <w:rsid w:val="003502B9"/>
    <w:rsid w:val="00351B8F"/>
    <w:rsid w:val="00353226"/>
    <w:rsid w:val="00353717"/>
    <w:rsid w:val="00354630"/>
    <w:rsid w:val="00365A24"/>
    <w:rsid w:val="003712DB"/>
    <w:rsid w:val="00373DDC"/>
    <w:rsid w:val="00382A86"/>
    <w:rsid w:val="00383BCC"/>
    <w:rsid w:val="00385243"/>
    <w:rsid w:val="003925D4"/>
    <w:rsid w:val="0039318C"/>
    <w:rsid w:val="00393366"/>
    <w:rsid w:val="003937DC"/>
    <w:rsid w:val="00393D75"/>
    <w:rsid w:val="003A2F2D"/>
    <w:rsid w:val="003A43AC"/>
    <w:rsid w:val="003A4EB6"/>
    <w:rsid w:val="003A7AE9"/>
    <w:rsid w:val="003A7BC5"/>
    <w:rsid w:val="003A7FF5"/>
    <w:rsid w:val="003B0352"/>
    <w:rsid w:val="003B4437"/>
    <w:rsid w:val="003B48C4"/>
    <w:rsid w:val="003B5E20"/>
    <w:rsid w:val="003B6DAD"/>
    <w:rsid w:val="003B735F"/>
    <w:rsid w:val="003C030C"/>
    <w:rsid w:val="003C55FC"/>
    <w:rsid w:val="003D0EC3"/>
    <w:rsid w:val="003D7274"/>
    <w:rsid w:val="003E4D82"/>
    <w:rsid w:val="003E5BC1"/>
    <w:rsid w:val="003F0D1B"/>
    <w:rsid w:val="003F1DD6"/>
    <w:rsid w:val="00401087"/>
    <w:rsid w:val="00402E26"/>
    <w:rsid w:val="00405701"/>
    <w:rsid w:val="004110BC"/>
    <w:rsid w:val="0041271F"/>
    <w:rsid w:val="0041688E"/>
    <w:rsid w:val="004170EF"/>
    <w:rsid w:val="0042093C"/>
    <w:rsid w:val="004233DD"/>
    <w:rsid w:val="00424405"/>
    <w:rsid w:val="00425B25"/>
    <w:rsid w:val="00425D24"/>
    <w:rsid w:val="00426A4D"/>
    <w:rsid w:val="00427687"/>
    <w:rsid w:val="00433231"/>
    <w:rsid w:val="004334CA"/>
    <w:rsid w:val="0043506A"/>
    <w:rsid w:val="00435830"/>
    <w:rsid w:val="0043619C"/>
    <w:rsid w:val="0044475D"/>
    <w:rsid w:val="00444D1E"/>
    <w:rsid w:val="0044571A"/>
    <w:rsid w:val="0044705D"/>
    <w:rsid w:val="0045090E"/>
    <w:rsid w:val="00453E36"/>
    <w:rsid w:val="00457286"/>
    <w:rsid w:val="00461FA5"/>
    <w:rsid w:val="00463566"/>
    <w:rsid w:val="00464182"/>
    <w:rsid w:val="00471C52"/>
    <w:rsid w:val="0047460C"/>
    <w:rsid w:val="00474FF2"/>
    <w:rsid w:val="00480098"/>
    <w:rsid w:val="00484A93"/>
    <w:rsid w:val="00485E12"/>
    <w:rsid w:val="004865DA"/>
    <w:rsid w:val="0048779C"/>
    <w:rsid w:val="00487AB7"/>
    <w:rsid w:val="00487ED0"/>
    <w:rsid w:val="00491D09"/>
    <w:rsid w:val="0049682C"/>
    <w:rsid w:val="004A168E"/>
    <w:rsid w:val="004A4EC7"/>
    <w:rsid w:val="004B0003"/>
    <w:rsid w:val="004C020A"/>
    <w:rsid w:val="004C03A3"/>
    <w:rsid w:val="004C44B8"/>
    <w:rsid w:val="004C7629"/>
    <w:rsid w:val="004D0D5D"/>
    <w:rsid w:val="004E27DD"/>
    <w:rsid w:val="004E3350"/>
    <w:rsid w:val="004E5292"/>
    <w:rsid w:val="004F2C5B"/>
    <w:rsid w:val="004F641B"/>
    <w:rsid w:val="004F71F3"/>
    <w:rsid w:val="005052FA"/>
    <w:rsid w:val="005069E1"/>
    <w:rsid w:val="00507E59"/>
    <w:rsid w:val="005122B5"/>
    <w:rsid w:val="0052381C"/>
    <w:rsid w:val="005346B3"/>
    <w:rsid w:val="0054051C"/>
    <w:rsid w:val="00546A84"/>
    <w:rsid w:val="00547BE2"/>
    <w:rsid w:val="0055353D"/>
    <w:rsid w:val="0056187C"/>
    <w:rsid w:val="00576B03"/>
    <w:rsid w:val="00581E1A"/>
    <w:rsid w:val="00591655"/>
    <w:rsid w:val="00591BEC"/>
    <w:rsid w:val="005940EA"/>
    <w:rsid w:val="00594448"/>
    <w:rsid w:val="005A1D6F"/>
    <w:rsid w:val="005A4D82"/>
    <w:rsid w:val="005A52A6"/>
    <w:rsid w:val="005B0DEC"/>
    <w:rsid w:val="005B368E"/>
    <w:rsid w:val="005B6E69"/>
    <w:rsid w:val="005C0015"/>
    <w:rsid w:val="005C1E82"/>
    <w:rsid w:val="005C2BCE"/>
    <w:rsid w:val="005C2CA5"/>
    <w:rsid w:val="005C7062"/>
    <w:rsid w:val="005C7788"/>
    <w:rsid w:val="005D10B9"/>
    <w:rsid w:val="005D18DA"/>
    <w:rsid w:val="005E00DC"/>
    <w:rsid w:val="005E3BBC"/>
    <w:rsid w:val="005E3EC6"/>
    <w:rsid w:val="005E4E07"/>
    <w:rsid w:val="005E4E46"/>
    <w:rsid w:val="005E5275"/>
    <w:rsid w:val="005E7DC8"/>
    <w:rsid w:val="005E7EC9"/>
    <w:rsid w:val="005F7087"/>
    <w:rsid w:val="00611BE4"/>
    <w:rsid w:val="0061219B"/>
    <w:rsid w:val="00621419"/>
    <w:rsid w:val="00626446"/>
    <w:rsid w:val="00626BE8"/>
    <w:rsid w:val="00631827"/>
    <w:rsid w:val="00632804"/>
    <w:rsid w:val="006376DA"/>
    <w:rsid w:val="006459DA"/>
    <w:rsid w:val="006502E8"/>
    <w:rsid w:val="00654A2B"/>
    <w:rsid w:val="0065675C"/>
    <w:rsid w:val="0065793F"/>
    <w:rsid w:val="0066263B"/>
    <w:rsid w:val="0066713A"/>
    <w:rsid w:val="0067195C"/>
    <w:rsid w:val="006724F7"/>
    <w:rsid w:val="0067511A"/>
    <w:rsid w:val="0067539B"/>
    <w:rsid w:val="00675543"/>
    <w:rsid w:val="00677396"/>
    <w:rsid w:val="00677AD9"/>
    <w:rsid w:val="00681970"/>
    <w:rsid w:val="00690641"/>
    <w:rsid w:val="00690D88"/>
    <w:rsid w:val="00691844"/>
    <w:rsid w:val="00693DDF"/>
    <w:rsid w:val="00696F9E"/>
    <w:rsid w:val="006A374A"/>
    <w:rsid w:val="006A505E"/>
    <w:rsid w:val="006A513E"/>
    <w:rsid w:val="006A5265"/>
    <w:rsid w:val="006B0CB9"/>
    <w:rsid w:val="006B2609"/>
    <w:rsid w:val="006B2750"/>
    <w:rsid w:val="006B3678"/>
    <w:rsid w:val="006B7390"/>
    <w:rsid w:val="006C0084"/>
    <w:rsid w:val="006C107D"/>
    <w:rsid w:val="006C3600"/>
    <w:rsid w:val="006C4534"/>
    <w:rsid w:val="006C5205"/>
    <w:rsid w:val="006C75F6"/>
    <w:rsid w:val="006D3F53"/>
    <w:rsid w:val="006D60AF"/>
    <w:rsid w:val="006E4722"/>
    <w:rsid w:val="00701651"/>
    <w:rsid w:val="007049BF"/>
    <w:rsid w:val="00704E79"/>
    <w:rsid w:val="00707A26"/>
    <w:rsid w:val="0071120F"/>
    <w:rsid w:val="00716380"/>
    <w:rsid w:val="00722165"/>
    <w:rsid w:val="00724B1C"/>
    <w:rsid w:val="007428F0"/>
    <w:rsid w:val="007512EF"/>
    <w:rsid w:val="007551AC"/>
    <w:rsid w:val="0076101C"/>
    <w:rsid w:val="00763D87"/>
    <w:rsid w:val="007670B2"/>
    <w:rsid w:val="00771795"/>
    <w:rsid w:val="00774925"/>
    <w:rsid w:val="0079279F"/>
    <w:rsid w:val="00793E69"/>
    <w:rsid w:val="007A063C"/>
    <w:rsid w:val="007A16B0"/>
    <w:rsid w:val="007A19EA"/>
    <w:rsid w:val="007A6092"/>
    <w:rsid w:val="007A60B7"/>
    <w:rsid w:val="007A64A6"/>
    <w:rsid w:val="007A6EE1"/>
    <w:rsid w:val="007A7C89"/>
    <w:rsid w:val="007B1487"/>
    <w:rsid w:val="007B2A43"/>
    <w:rsid w:val="007B326F"/>
    <w:rsid w:val="007B6A58"/>
    <w:rsid w:val="007B6C06"/>
    <w:rsid w:val="007B7B78"/>
    <w:rsid w:val="007C32B1"/>
    <w:rsid w:val="007C7A22"/>
    <w:rsid w:val="007C7C62"/>
    <w:rsid w:val="007D1076"/>
    <w:rsid w:val="007D12B7"/>
    <w:rsid w:val="007D2A49"/>
    <w:rsid w:val="007D5E38"/>
    <w:rsid w:val="007D7AC4"/>
    <w:rsid w:val="007E0340"/>
    <w:rsid w:val="007E1D4A"/>
    <w:rsid w:val="007E53C0"/>
    <w:rsid w:val="007E7703"/>
    <w:rsid w:val="007F4558"/>
    <w:rsid w:val="007F64DF"/>
    <w:rsid w:val="008050EF"/>
    <w:rsid w:val="0080652C"/>
    <w:rsid w:val="0080715F"/>
    <w:rsid w:val="008113D6"/>
    <w:rsid w:val="00812BA7"/>
    <w:rsid w:val="00813A87"/>
    <w:rsid w:val="00813F63"/>
    <w:rsid w:val="00815926"/>
    <w:rsid w:val="00815F57"/>
    <w:rsid w:val="0081760B"/>
    <w:rsid w:val="008218AC"/>
    <w:rsid w:val="00825359"/>
    <w:rsid w:val="00825E13"/>
    <w:rsid w:val="00826F07"/>
    <w:rsid w:val="008337CB"/>
    <w:rsid w:val="00834A3C"/>
    <w:rsid w:val="008360A0"/>
    <w:rsid w:val="00837658"/>
    <w:rsid w:val="00837CD4"/>
    <w:rsid w:val="00837F78"/>
    <w:rsid w:val="008400EE"/>
    <w:rsid w:val="00840791"/>
    <w:rsid w:val="00845576"/>
    <w:rsid w:val="00850708"/>
    <w:rsid w:val="00851024"/>
    <w:rsid w:val="008526D7"/>
    <w:rsid w:val="0086238C"/>
    <w:rsid w:val="008655DC"/>
    <w:rsid w:val="0086732D"/>
    <w:rsid w:val="00870183"/>
    <w:rsid w:val="00875726"/>
    <w:rsid w:val="00877F10"/>
    <w:rsid w:val="0088225D"/>
    <w:rsid w:val="00882F8D"/>
    <w:rsid w:val="00884FB0"/>
    <w:rsid w:val="008853A5"/>
    <w:rsid w:val="008944DA"/>
    <w:rsid w:val="00894D78"/>
    <w:rsid w:val="008A6A18"/>
    <w:rsid w:val="008B033F"/>
    <w:rsid w:val="008B4003"/>
    <w:rsid w:val="008B7443"/>
    <w:rsid w:val="008C179E"/>
    <w:rsid w:val="008C2379"/>
    <w:rsid w:val="008C4FF7"/>
    <w:rsid w:val="008C5C4C"/>
    <w:rsid w:val="008C7056"/>
    <w:rsid w:val="008C706D"/>
    <w:rsid w:val="008D3145"/>
    <w:rsid w:val="008E1A54"/>
    <w:rsid w:val="008E1F95"/>
    <w:rsid w:val="008E36B6"/>
    <w:rsid w:val="008E4267"/>
    <w:rsid w:val="008E4847"/>
    <w:rsid w:val="008E5FF1"/>
    <w:rsid w:val="008E63D2"/>
    <w:rsid w:val="008E6E14"/>
    <w:rsid w:val="008F1528"/>
    <w:rsid w:val="008F1AE5"/>
    <w:rsid w:val="008F55D9"/>
    <w:rsid w:val="009057DE"/>
    <w:rsid w:val="00905F97"/>
    <w:rsid w:val="00906FA3"/>
    <w:rsid w:val="0091239D"/>
    <w:rsid w:val="00912825"/>
    <w:rsid w:val="009129B8"/>
    <w:rsid w:val="00912B99"/>
    <w:rsid w:val="00912C78"/>
    <w:rsid w:val="00927892"/>
    <w:rsid w:val="009319B9"/>
    <w:rsid w:val="009351E9"/>
    <w:rsid w:val="00937862"/>
    <w:rsid w:val="00942279"/>
    <w:rsid w:val="009524EB"/>
    <w:rsid w:val="00962013"/>
    <w:rsid w:val="00963942"/>
    <w:rsid w:val="0096716C"/>
    <w:rsid w:val="009672B2"/>
    <w:rsid w:val="00971C66"/>
    <w:rsid w:val="00972363"/>
    <w:rsid w:val="0098419C"/>
    <w:rsid w:val="009843EF"/>
    <w:rsid w:val="009867F2"/>
    <w:rsid w:val="00991347"/>
    <w:rsid w:val="00996018"/>
    <w:rsid w:val="0099738E"/>
    <w:rsid w:val="009A493E"/>
    <w:rsid w:val="009A531F"/>
    <w:rsid w:val="009A6931"/>
    <w:rsid w:val="009B1F9A"/>
    <w:rsid w:val="009B1FA9"/>
    <w:rsid w:val="009B349F"/>
    <w:rsid w:val="009B4293"/>
    <w:rsid w:val="009B6715"/>
    <w:rsid w:val="009C7B74"/>
    <w:rsid w:val="009D0BE2"/>
    <w:rsid w:val="009D114E"/>
    <w:rsid w:val="009D210F"/>
    <w:rsid w:val="009D309C"/>
    <w:rsid w:val="009D37B1"/>
    <w:rsid w:val="009D4717"/>
    <w:rsid w:val="009D694D"/>
    <w:rsid w:val="009E264E"/>
    <w:rsid w:val="009F0C98"/>
    <w:rsid w:val="009F0F81"/>
    <w:rsid w:val="009F2543"/>
    <w:rsid w:val="009F256D"/>
    <w:rsid w:val="009F341E"/>
    <w:rsid w:val="009F57CE"/>
    <w:rsid w:val="00A117CA"/>
    <w:rsid w:val="00A12225"/>
    <w:rsid w:val="00A14C18"/>
    <w:rsid w:val="00A25898"/>
    <w:rsid w:val="00A3071D"/>
    <w:rsid w:val="00A3182E"/>
    <w:rsid w:val="00A31A89"/>
    <w:rsid w:val="00A32F06"/>
    <w:rsid w:val="00A34934"/>
    <w:rsid w:val="00A34EFE"/>
    <w:rsid w:val="00A36546"/>
    <w:rsid w:val="00A4069C"/>
    <w:rsid w:val="00A413B5"/>
    <w:rsid w:val="00A429CB"/>
    <w:rsid w:val="00A44E87"/>
    <w:rsid w:val="00A5063C"/>
    <w:rsid w:val="00A52749"/>
    <w:rsid w:val="00A5422E"/>
    <w:rsid w:val="00A56EC1"/>
    <w:rsid w:val="00A6350C"/>
    <w:rsid w:val="00A6370B"/>
    <w:rsid w:val="00A63A73"/>
    <w:rsid w:val="00A6655C"/>
    <w:rsid w:val="00A66CBB"/>
    <w:rsid w:val="00A6704E"/>
    <w:rsid w:val="00A67EA4"/>
    <w:rsid w:val="00A773FF"/>
    <w:rsid w:val="00A83AA1"/>
    <w:rsid w:val="00A906F4"/>
    <w:rsid w:val="00A9343A"/>
    <w:rsid w:val="00A9706C"/>
    <w:rsid w:val="00A97B34"/>
    <w:rsid w:val="00AA1B5C"/>
    <w:rsid w:val="00AA7A27"/>
    <w:rsid w:val="00AB3FB0"/>
    <w:rsid w:val="00AB465D"/>
    <w:rsid w:val="00AB713D"/>
    <w:rsid w:val="00AC114C"/>
    <w:rsid w:val="00AC1478"/>
    <w:rsid w:val="00AC6C2D"/>
    <w:rsid w:val="00AC6E17"/>
    <w:rsid w:val="00AD2FF3"/>
    <w:rsid w:val="00AD7764"/>
    <w:rsid w:val="00AD7FE2"/>
    <w:rsid w:val="00AE1284"/>
    <w:rsid w:val="00AE1B18"/>
    <w:rsid w:val="00AE7339"/>
    <w:rsid w:val="00AF1B0B"/>
    <w:rsid w:val="00AF242C"/>
    <w:rsid w:val="00AF3CC4"/>
    <w:rsid w:val="00B05903"/>
    <w:rsid w:val="00B12C7A"/>
    <w:rsid w:val="00B12E10"/>
    <w:rsid w:val="00B22BC3"/>
    <w:rsid w:val="00B25865"/>
    <w:rsid w:val="00B272B6"/>
    <w:rsid w:val="00B2771B"/>
    <w:rsid w:val="00B336E9"/>
    <w:rsid w:val="00B33AE5"/>
    <w:rsid w:val="00B35BE5"/>
    <w:rsid w:val="00B46965"/>
    <w:rsid w:val="00B54ED0"/>
    <w:rsid w:val="00B55D47"/>
    <w:rsid w:val="00B6204E"/>
    <w:rsid w:val="00B649EC"/>
    <w:rsid w:val="00B728DD"/>
    <w:rsid w:val="00B72D43"/>
    <w:rsid w:val="00B74121"/>
    <w:rsid w:val="00B80ABA"/>
    <w:rsid w:val="00B859FF"/>
    <w:rsid w:val="00B85C1B"/>
    <w:rsid w:val="00B85FF0"/>
    <w:rsid w:val="00B86150"/>
    <w:rsid w:val="00B878F9"/>
    <w:rsid w:val="00B9044A"/>
    <w:rsid w:val="00B960F3"/>
    <w:rsid w:val="00B96A31"/>
    <w:rsid w:val="00BA05E6"/>
    <w:rsid w:val="00BA51B0"/>
    <w:rsid w:val="00BA6319"/>
    <w:rsid w:val="00BC03B0"/>
    <w:rsid w:val="00BC06A3"/>
    <w:rsid w:val="00BC0CEA"/>
    <w:rsid w:val="00BC2220"/>
    <w:rsid w:val="00BC26B9"/>
    <w:rsid w:val="00BC26FA"/>
    <w:rsid w:val="00BC4E01"/>
    <w:rsid w:val="00BC73F6"/>
    <w:rsid w:val="00BD1177"/>
    <w:rsid w:val="00BD1374"/>
    <w:rsid w:val="00BD3531"/>
    <w:rsid w:val="00BD4E35"/>
    <w:rsid w:val="00BE34CA"/>
    <w:rsid w:val="00BF116A"/>
    <w:rsid w:val="00C0623C"/>
    <w:rsid w:val="00C06A07"/>
    <w:rsid w:val="00C132B6"/>
    <w:rsid w:val="00C21A6C"/>
    <w:rsid w:val="00C24A10"/>
    <w:rsid w:val="00C27003"/>
    <w:rsid w:val="00C27597"/>
    <w:rsid w:val="00C32BD4"/>
    <w:rsid w:val="00C33E48"/>
    <w:rsid w:val="00C3618B"/>
    <w:rsid w:val="00C403FB"/>
    <w:rsid w:val="00C4316E"/>
    <w:rsid w:val="00C441A2"/>
    <w:rsid w:val="00C5076B"/>
    <w:rsid w:val="00C512D4"/>
    <w:rsid w:val="00C51CF4"/>
    <w:rsid w:val="00C531E2"/>
    <w:rsid w:val="00C53204"/>
    <w:rsid w:val="00C57E34"/>
    <w:rsid w:val="00C64659"/>
    <w:rsid w:val="00C662E9"/>
    <w:rsid w:val="00C66C2D"/>
    <w:rsid w:val="00C7190B"/>
    <w:rsid w:val="00C76852"/>
    <w:rsid w:val="00C77210"/>
    <w:rsid w:val="00C777FA"/>
    <w:rsid w:val="00C77989"/>
    <w:rsid w:val="00C811F4"/>
    <w:rsid w:val="00C81E51"/>
    <w:rsid w:val="00C87B73"/>
    <w:rsid w:val="00C92444"/>
    <w:rsid w:val="00C92FBB"/>
    <w:rsid w:val="00C93327"/>
    <w:rsid w:val="00C97B4D"/>
    <w:rsid w:val="00CA5602"/>
    <w:rsid w:val="00CA5CA9"/>
    <w:rsid w:val="00CA78E2"/>
    <w:rsid w:val="00CB1BBE"/>
    <w:rsid w:val="00CB65DB"/>
    <w:rsid w:val="00CB6BD9"/>
    <w:rsid w:val="00CC293A"/>
    <w:rsid w:val="00CE19F6"/>
    <w:rsid w:val="00CE6B76"/>
    <w:rsid w:val="00CF366B"/>
    <w:rsid w:val="00CF5D9D"/>
    <w:rsid w:val="00CF606C"/>
    <w:rsid w:val="00CF7423"/>
    <w:rsid w:val="00D001F5"/>
    <w:rsid w:val="00D03E80"/>
    <w:rsid w:val="00D1505F"/>
    <w:rsid w:val="00D15B9F"/>
    <w:rsid w:val="00D15DD6"/>
    <w:rsid w:val="00D25548"/>
    <w:rsid w:val="00D2601F"/>
    <w:rsid w:val="00D27759"/>
    <w:rsid w:val="00D30028"/>
    <w:rsid w:val="00D325D3"/>
    <w:rsid w:val="00D408D6"/>
    <w:rsid w:val="00D511DD"/>
    <w:rsid w:val="00D55C2A"/>
    <w:rsid w:val="00D571C1"/>
    <w:rsid w:val="00D602F4"/>
    <w:rsid w:val="00D6457E"/>
    <w:rsid w:val="00D742E2"/>
    <w:rsid w:val="00D7580E"/>
    <w:rsid w:val="00D87DAF"/>
    <w:rsid w:val="00D9446D"/>
    <w:rsid w:val="00DA2994"/>
    <w:rsid w:val="00DB08E8"/>
    <w:rsid w:val="00DB0DED"/>
    <w:rsid w:val="00DB3073"/>
    <w:rsid w:val="00DB3BA9"/>
    <w:rsid w:val="00DB50FE"/>
    <w:rsid w:val="00DB5EDA"/>
    <w:rsid w:val="00DC2349"/>
    <w:rsid w:val="00DC3026"/>
    <w:rsid w:val="00DD1EDB"/>
    <w:rsid w:val="00DD57AA"/>
    <w:rsid w:val="00DE1578"/>
    <w:rsid w:val="00DE7F67"/>
    <w:rsid w:val="00DF0529"/>
    <w:rsid w:val="00DF09EF"/>
    <w:rsid w:val="00DF0D0F"/>
    <w:rsid w:val="00DF13D6"/>
    <w:rsid w:val="00DF27D6"/>
    <w:rsid w:val="00DF2BEA"/>
    <w:rsid w:val="00DF4488"/>
    <w:rsid w:val="00DF5B98"/>
    <w:rsid w:val="00DF6FA8"/>
    <w:rsid w:val="00DF701E"/>
    <w:rsid w:val="00DF7BE5"/>
    <w:rsid w:val="00E00D49"/>
    <w:rsid w:val="00E019A8"/>
    <w:rsid w:val="00E03A46"/>
    <w:rsid w:val="00E03C6D"/>
    <w:rsid w:val="00E0476F"/>
    <w:rsid w:val="00E04899"/>
    <w:rsid w:val="00E0796F"/>
    <w:rsid w:val="00E10948"/>
    <w:rsid w:val="00E24371"/>
    <w:rsid w:val="00E243AB"/>
    <w:rsid w:val="00E26641"/>
    <w:rsid w:val="00E2778F"/>
    <w:rsid w:val="00E278B0"/>
    <w:rsid w:val="00E33023"/>
    <w:rsid w:val="00E331F3"/>
    <w:rsid w:val="00E3498D"/>
    <w:rsid w:val="00E42425"/>
    <w:rsid w:val="00E43E55"/>
    <w:rsid w:val="00E4554E"/>
    <w:rsid w:val="00E46D22"/>
    <w:rsid w:val="00E4768F"/>
    <w:rsid w:val="00E53C0E"/>
    <w:rsid w:val="00E54F7E"/>
    <w:rsid w:val="00E560CE"/>
    <w:rsid w:val="00E5674E"/>
    <w:rsid w:val="00E63783"/>
    <w:rsid w:val="00E650E2"/>
    <w:rsid w:val="00E75CAD"/>
    <w:rsid w:val="00E76922"/>
    <w:rsid w:val="00E8595B"/>
    <w:rsid w:val="00E915EC"/>
    <w:rsid w:val="00EA11B1"/>
    <w:rsid w:val="00EA2224"/>
    <w:rsid w:val="00EA7194"/>
    <w:rsid w:val="00EB1329"/>
    <w:rsid w:val="00EB2987"/>
    <w:rsid w:val="00EB2D75"/>
    <w:rsid w:val="00EB34BE"/>
    <w:rsid w:val="00EB571A"/>
    <w:rsid w:val="00EC2804"/>
    <w:rsid w:val="00EC6117"/>
    <w:rsid w:val="00EC6138"/>
    <w:rsid w:val="00ED1DCF"/>
    <w:rsid w:val="00ED43C9"/>
    <w:rsid w:val="00EE2C60"/>
    <w:rsid w:val="00EE2E58"/>
    <w:rsid w:val="00EE487A"/>
    <w:rsid w:val="00EE734C"/>
    <w:rsid w:val="00EF6907"/>
    <w:rsid w:val="00EF6D91"/>
    <w:rsid w:val="00F01F54"/>
    <w:rsid w:val="00F04D4D"/>
    <w:rsid w:val="00F11DD8"/>
    <w:rsid w:val="00F12745"/>
    <w:rsid w:val="00F13766"/>
    <w:rsid w:val="00F20A77"/>
    <w:rsid w:val="00F22C60"/>
    <w:rsid w:val="00F231A4"/>
    <w:rsid w:val="00F23252"/>
    <w:rsid w:val="00F27B2A"/>
    <w:rsid w:val="00F31762"/>
    <w:rsid w:val="00F345D3"/>
    <w:rsid w:val="00F356ED"/>
    <w:rsid w:val="00F359B5"/>
    <w:rsid w:val="00F4144F"/>
    <w:rsid w:val="00F433F3"/>
    <w:rsid w:val="00F47F64"/>
    <w:rsid w:val="00F522D9"/>
    <w:rsid w:val="00F52F54"/>
    <w:rsid w:val="00F53584"/>
    <w:rsid w:val="00F61B24"/>
    <w:rsid w:val="00F62DE5"/>
    <w:rsid w:val="00F63F8A"/>
    <w:rsid w:val="00F6514E"/>
    <w:rsid w:val="00F703DC"/>
    <w:rsid w:val="00F71D06"/>
    <w:rsid w:val="00F73B46"/>
    <w:rsid w:val="00F73D01"/>
    <w:rsid w:val="00F7642B"/>
    <w:rsid w:val="00F76A43"/>
    <w:rsid w:val="00F80334"/>
    <w:rsid w:val="00F8139D"/>
    <w:rsid w:val="00F83DF9"/>
    <w:rsid w:val="00F85DA0"/>
    <w:rsid w:val="00F930AF"/>
    <w:rsid w:val="00F9352C"/>
    <w:rsid w:val="00F975B0"/>
    <w:rsid w:val="00FA15F1"/>
    <w:rsid w:val="00FA19F5"/>
    <w:rsid w:val="00FA4A69"/>
    <w:rsid w:val="00FA649A"/>
    <w:rsid w:val="00FB1248"/>
    <w:rsid w:val="00FB208D"/>
    <w:rsid w:val="00FB3CF4"/>
    <w:rsid w:val="00FB4A27"/>
    <w:rsid w:val="00FB4A49"/>
    <w:rsid w:val="00FB69B3"/>
    <w:rsid w:val="00FC6FBE"/>
    <w:rsid w:val="00FD1162"/>
    <w:rsid w:val="00FD2232"/>
    <w:rsid w:val="00FD4AE7"/>
    <w:rsid w:val="00FD65A9"/>
    <w:rsid w:val="00FD7508"/>
    <w:rsid w:val="00FE1E51"/>
    <w:rsid w:val="00FE2496"/>
    <w:rsid w:val="00FE6A2B"/>
    <w:rsid w:val="00FF0275"/>
    <w:rsid w:val="00FF07B3"/>
    <w:rsid w:val="00FF1E37"/>
    <w:rsid w:val="02F120AB"/>
    <w:rsid w:val="032B5196"/>
    <w:rsid w:val="04C3537C"/>
    <w:rsid w:val="079004AC"/>
    <w:rsid w:val="0A3E36F7"/>
    <w:rsid w:val="0BA148CA"/>
    <w:rsid w:val="0C1165C4"/>
    <w:rsid w:val="0D6D544B"/>
    <w:rsid w:val="0DD136FE"/>
    <w:rsid w:val="0F8E2C57"/>
    <w:rsid w:val="1059665E"/>
    <w:rsid w:val="10AC13BA"/>
    <w:rsid w:val="10D7230F"/>
    <w:rsid w:val="11980797"/>
    <w:rsid w:val="145A6C1B"/>
    <w:rsid w:val="14B73493"/>
    <w:rsid w:val="167A2FF9"/>
    <w:rsid w:val="17E05399"/>
    <w:rsid w:val="18581C69"/>
    <w:rsid w:val="186D28E5"/>
    <w:rsid w:val="19776FE0"/>
    <w:rsid w:val="19E00326"/>
    <w:rsid w:val="19E716B5"/>
    <w:rsid w:val="1AEC0734"/>
    <w:rsid w:val="1C203C3A"/>
    <w:rsid w:val="1DEF20B0"/>
    <w:rsid w:val="214243FA"/>
    <w:rsid w:val="21AD613C"/>
    <w:rsid w:val="22467189"/>
    <w:rsid w:val="257A14F5"/>
    <w:rsid w:val="27196C26"/>
    <w:rsid w:val="29EF086F"/>
    <w:rsid w:val="2A014A0F"/>
    <w:rsid w:val="2B7E058C"/>
    <w:rsid w:val="2EFFE297"/>
    <w:rsid w:val="301437CA"/>
    <w:rsid w:val="32791381"/>
    <w:rsid w:val="33A224A8"/>
    <w:rsid w:val="349D1F0A"/>
    <w:rsid w:val="34DD0473"/>
    <w:rsid w:val="392F4087"/>
    <w:rsid w:val="3C181CA7"/>
    <w:rsid w:val="3C684897"/>
    <w:rsid w:val="3CC86CCC"/>
    <w:rsid w:val="3DC41242"/>
    <w:rsid w:val="41C6204F"/>
    <w:rsid w:val="433E495C"/>
    <w:rsid w:val="435C52A0"/>
    <w:rsid w:val="489F2FD7"/>
    <w:rsid w:val="4AC27CB3"/>
    <w:rsid w:val="4BF72BEF"/>
    <w:rsid w:val="4FA90297"/>
    <w:rsid w:val="4FC41A43"/>
    <w:rsid w:val="51DB3C59"/>
    <w:rsid w:val="54BA798C"/>
    <w:rsid w:val="550C0952"/>
    <w:rsid w:val="55762E42"/>
    <w:rsid w:val="57A7B272"/>
    <w:rsid w:val="57AD28EF"/>
    <w:rsid w:val="58470068"/>
    <w:rsid w:val="58747CAC"/>
    <w:rsid w:val="5A1720F9"/>
    <w:rsid w:val="5B9C37C2"/>
    <w:rsid w:val="5BA7C654"/>
    <w:rsid w:val="5D944335"/>
    <w:rsid w:val="60A54109"/>
    <w:rsid w:val="61D01CDF"/>
    <w:rsid w:val="64C0607C"/>
    <w:rsid w:val="65756C86"/>
    <w:rsid w:val="674D385B"/>
    <w:rsid w:val="676F09E1"/>
    <w:rsid w:val="71793A80"/>
    <w:rsid w:val="7357290B"/>
    <w:rsid w:val="74EF52EB"/>
    <w:rsid w:val="798524E4"/>
    <w:rsid w:val="7A7F1C49"/>
    <w:rsid w:val="7B5B7AE6"/>
    <w:rsid w:val="7B7B6628"/>
    <w:rsid w:val="7BA7071E"/>
    <w:rsid w:val="7BDF6DA8"/>
    <w:rsid w:val="7BDF7589"/>
    <w:rsid w:val="7C7EDC1A"/>
    <w:rsid w:val="7CCED98D"/>
    <w:rsid w:val="7D08410F"/>
    <w:rsid w:val="7D2759BE"/>
    <w:rsid w:val="7DB96DED"/>
    <w:rsid w:val="7DD3AD81"/>
    <w:rsid w:val="7E600DA5"/>
    <w:rsid w:val="7F7FE70F"/>
    <w:rsid w:val="7FFF772F"/>
    <w:rsid w:val="95F35EF6"/>
    <w:rsid w:val="9BFFD860"/>
    <w:rsid w:val="AC5F73DE"/>
    <w:rsid w:val="B5DDD2C8"/>
    <w:rsid w:val="B9DFABD9"/>
    <w:rsid w:val="BC0D83FC"/>
    <w:rsid w:val="BF3BDEFB"/>
    <w:rsid w:val="C75F6086"/>
    <w:rsid w:val="C7F7ED2D"/>
    <w:rsid w:val="CFAF854E"/>
    <w:rsid w:val="D8D7928E"/>
    <w:rsid w:val="D8FE3136"/>
    <w:rsid w:val="DDDE60B7"/>
    <w:rsid w:val="DE9F6A22"/>
    <w:rsid w:val="DF4FCE6A"/>
    <w:rsid w:val="E4FED278"/>
    <w:rsid w:val="EDAA365C"/>
    <w:rsid w:val="EDADFC12"/>
    <w:rsid w:val="F2FD229B"/>
    <w:rsid w:val="F7F709E9"/>
    <w:rsid w:val="F7FF3690"/>
    <w:rsid w:val="F9BD3900"/>
    <w:rsid w:val="FC8B9876"/>
    <w:rsid w:val="FEDFF218"/>
    <w:rsid w:val="FEDFFFF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qFormat="1"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name="Balloon Text"/>
    <w:lsdException w:uiPriority="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2"/>
    <w:basedOn w:val="1"/>
    <w:next w:val="1"/>
    <w:qFormat/>
    <w:uiPriority w:val="0"/>
    <w:pPr>
      <w:keepNext/>
      <w:keepLines/>
      <w:spacing w:before="100" w:beforeAutospacing="1" w:after="100" w:afterAutospacing="1"/>
      <w:outlineLvl w:val="1"/>
    </w:pPr>
    <w:rPr>
      <w:rFonts w:ascii="Cambria" w:hAnsi="Cambria" w:eastAsia="黑体"/>
      <w:b/>
      <w:bCs/>
      <w:kern w:val="0"/>
      <w:sz w:val="36"/>
      <w:szCs w:val="32"/>
    </w:rPr>
  </w:style>
  <w:style w:type="character" w:default="1" w:styleId="11">
    <w:name w:val="Default Paragraph Font"/>
    <w:semiHidden/>
    <w:unhideWhenUsed/>
    <w:qFormat/>
    <w:uiPriority w:val="1"/>
  </w:style>
  <w:style w:type="table" w:default="1" w:styleId="10">
    <w:name w:val="Normal Table"/>
    <w:semiHidden/>
    <w:unhideWhenUsed/>
    <w:qFormat/>
    <w:uiPriority w:val="99"/>
    <w:tblPr>
      <w:tblCellMar>
        <w:top w:w="0" w:type="dxa"/>
        <w:left w:w="108" w:type="dxa"/>
        <w:bottom w:w="0" w:type="dxa"/>
        <w:right w:w="108" w:type="dxa"/>
      </w:tblCellMar>
    </w:tblPr>
  </w:style>
  <w:style w:type="paragraph" w:styleId="3">
    <w:name w:val="Normal Indent"/>
    <w:basedOn w:val="1"/>
    <w:qFormat/>
    <w:uiPriority w:val="0"/>
    <w:pPr>
      <w:ind w:firstLine="200" w:firstLineChars="200"/>
    </w:pPr>
  </w:style>
  <w:style w:type="paragraph" w:styleId="4">
    <w:name w:val="Body Text Indent"/>
    <w:basedOn w:val="1"/>
    <w:qFormat/>
    <w:uiPriority w:val="0"/>
    <w:pPr>
      <w:ind w:firstLine="645"/>
    </w:pPr>
    <w:rPr>
      <w:rFonts w:ascii="仿宋_GB2312" w:hAnsi="Calibri" w:eastAsia="仿宋_GB2312"/>
      <w:sz w:val="32"/>
      <w:szCs w:val="32"/>
    </w:rPr>
  </w:style>
  <w:style w:type="paragraph" w:styleId="5">
    <w:name w:val="Date"/>
    <w:basedOn w:val="1"/>
    <w:next w:val="1"/>
    <w:qFormat/>
    <w:uiPriority w:val="0"/>
    <w:pPr>
      <w:ind w:left="100" w:leftChars="2500"/>
    </w:pPr>
  </w:style>
  <w:style w:type="paragraph" w:styleId="6">
    <w:name w:val="Balloon Text"/>
    <w:basedOn w:val="1"/>
    <w:semiHidden/>
    <w:qFormat/>
    <w:uiPriority w:val="0"/>
    <w:rPr>
      <w:sz w:val="18"/>
      <w:szCs w:val="18"/>
    </w:rPr>
  </w:style>
  <w:style w:type="paragraph" w:styleId="7">
    <w:name w:val="footer"/>
    <w:basedOn w:val="1"/>
    <w:link w:val="14"/>
    <w:qFormat/>
    <w:uiPriority w:val="0"/>
    <w:pPr>
      <w:tabs>
        <w:tab w:val="center" w:pos="4153"/>
        <w:tab w:val="right" w:pos="8306"/>
      </w:tabs>
      <w:snapToGrid w:val="0"/>
      <w:jc w:val="left"/>
    </w:pPr>
    <w:rPr>
      <w:sz w:val="18"/>
      <w:szCs w:val="18"/>
    </w:rPr>
  </w:style>
  <w:style w:type="paragraph" w:styleId="8">
    <w:name w:val="header"/>
    <w:basedOn w:val="1"/>
    <w:link w:val="15"/>
    <w:qFormat/>
    <w:uiPriority w:val="0"/>
    <w:pPr>
      <w:pBdr>
        <w:bottom w:val="single" w:color="auto" w:sz="6" w:space="1"/>
      </w:pBdr>
      <w:tabs>
        <w:tab w:val="center" w:pos="4153"/>
        <w:tab w:val="right" w:pos="8306"/>
      </w:tabs>
      <w:snapToGrid w:val="0"/>
      <w:jc w:val="center"/>
    </w:pPr>
    <w:rPr>
      <w:rFonts w:ascii="Calibri" w:hAnsi="Calibri"/>
      <w:sz w:val="18"/>
      <w:szCs w:val="18"/>
    </w:rPr>
  </w:style>
  <w:style w:type="paragraph" w:styleId="9">
    <w:name w:val="Normal (Web)"/>
    <w:basedOn w:val="1"/>
    <w:unhideWhenUsed/>
    <w:qFormat/>
    <w:uiPriority w:val="0"/>
    <w:pPr>
      <w:spacing w:before="100" w:beforeAutospacing="1" w:after="100" w:afterAutospacing="1"/>
      <w:ind w:right="238"/>
      <w:jc w:val="left"/>
    </w:pPr>
    <w:rPr>
      <w:b/>
      <w:kern w:val="0"/>
      <w:sz w:val="24"/>
      <w:szCs w:val="20"/>
    </w:rPr>
  </w:style>
  <w:style w:type="character" w:styleId="12">
    <w:name w:val="Strong"/>
    <w:qFormat/>
    <w:uiPriority w:val="0"/>
    <w:rPr>
      <w:b/>
    </w:rPr>
  </w:style>
  <w:style w:type="character" w:styleId="13">
    <w:name w:val="page number"/>
    <w:qFormat/>
    <w:uiPriority w:val="0"/>
  </w:style>
  <w:style w:type="character" w:customStyle="1" w:styleId="14">
    <w:name w:val="页脚 Char"/>
    <w:link w:val="7"/>
    <w:qFormat/>
    <w:uiPriority w:val="0"/>
    <w:rPr>
      <w:rFonts w:eastAsia="宋体"/>
      <w:kern w:val="2"/>
      <w:sz w:val="18"/>
      <w:szCs w:val="18"/>
      <w:lang w:val="en-US" w:eastAsia="zh-CN" w:bidi="ar-SA"/>
    </w:rPr>
  </w:style>
  <w:style w:type="character" w:customStyle="1" w:styleId="15">
    <w:name w:val="页眉 Char"/>
    <w:link w:val="8"/>
    <w:qFormat/>
    <w:uiPriority w:val="0"/>
    <w:rPr>
      <w:rFonts w:ascii="Calibri" w:hAnsi="Calibri" w:eastAsia="宋体"/>
      <w:kern w:val="2"/>
      <w:sz w:val="18"/>
      <w:szCs w:val="18"/>
      <w:lang w:val="en-US" w:eastAsia="zh-CN" w:bidi="ar-SA"/>
    </w:rPr>
  </w:style>
  <w:style w:type="paragraph" w:customStyle="1" w:styleId="16">
    <w:name w:val="Char Char Char Char Char Char Char"/>
    <w:basedOn w:val="1"/>
    <w:qFormat/>
    <w:uiPriority w:val="0"/>
    <w:rPr>
      <w:rFonts w:ascii="Tahoma" w:hAnsi="Tahoma"/>
      <w:sz w:val="24"/>
      <w:szCs w:val="20"/>
    </w:rPr>
  </w:style>
  <w:style w:type="paragraph" w:customStyle="1" w:styleId="17">
    <w:name w:val="Char1 Char Char Char"/>
    <w:basedOn w:val="1"/>
    <w:qFormat/>
    <w:uiPriority w:val="0"/>
    <w:pPr>
      <w:widowControl/>
      <w:spacing w:after="160" w:line="240" w:lineRule="exact"/>
      <w:jc w:val="left"/>
    </w:pPr>
    <w:rPr>
      <w:szCs w:val="20"/>
    </w:rPr>
  </w:style>
  <w:style w:type="paragraph" w:customStyle="1" w:styleId="18">
    <w:name w:val="Char"/>
    <w:basedOn w:val="1"/>
    <w:qFormat/>
    <w:uiPriority w:val="0"/>
    <w:rPr>
      <w:rFonts w:ascii="Tahoma" w:hAnsi="Tahoma"/>
      <w:sz w:val="24"/>
      <w:szCs w:val="20"/>
    </w:rPr>
  </w:style>
  <w:style w:type="paragraph" w:customStyle="1" w:styleId="19">
    <w:name w:val="Char Char3 Char Char"/>
    <w:basedOn w:val="1"/>
    <w:qFormat/>
    <w:uiPriority w:val="0"/>
    <w:rPr>
      <w:szCs w:val="21"/>
    </w:r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1.xml"/><Relationship Id="rId8" Type="http://schemas.openxmlformats.org/officeDocument/2006/relationships/chart" Target="charts/chart2.xml"/><Relationship Id="rId7" Type="http://schemas.openxmlformats.org/officeDocument/2006/relationships/chart" Target="charts/chart1.xml"/><Relationship Id="rId6" Type="http://schemas.openxmlformats.org/officeDocument/2006/relationships/theme" Target="theme/theme1.xml"/><Relationship Id="rId5" Type="http://schemas.openxmlformats.org/officeDocument/2006/relationships/footer" Target="footer3.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charts/_rels/chart1.xml.rels><?xml version="1.0" encoding="UTF-8" standalone="yes"?>
<Relationships xmlns="http://schemas.openxmlformats.org/package/2006/relationships"><Relationship Id="rId1" Type="http://schemas.openxmlformats.org/officeDocument/2006/relationships/package" Target="../embeddings/Workbook2.xlsx"/></Relationships>
</file>

<file path=word/charts/_rels/chart2.xml.rels><?xml version="1.0" encoding="UTF-8" standalone="yes"?>
<Relationships xmlns="http://schemas.openxmlformats.org/package/2006/relationships"><Relationship Id="rId1" Type="http://schemas.openxmlformats.org/officeDocument/2006/relationships/package" Target="../embeddings/Workbook1.xlsx"/></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pieChart>
        <c:varyColors val="1"/>
        <c:ser>
          <c:idx val="0"/>
          <c:order val="0"/>
          <c:tx>
            <c:strRef>
              <c:f>Sheet1!$B$1</c:f>
              <c:strCache>
                <c:ptCount val="1"/>
                <c:pt idx="0">
                  <c:v>收入</c:v>
                </c:pt>
              </c:strCache>
            </c:strRef>
          </c:tx>
          <c:explosion val="0"/>
          <c:dPt>
            <c:idx val="0"/>
            <c:bubble3D val="0"/>
          </c:dPt>
          <c:dPt>
            <c:idx val="1"/>
            <c:bubble3D val="0"/>
          </c:dPt>
          <c:dLbls>
            <c:numFmt formatCode="0.00%" sourceLinked="0"/>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solidFill>
                    <a:latin typeface="+mn-lt"/>
                    <a:ea typeface="+mn-ea"/>
                    <a:cs typeface="+mn-cs"/>
                  </a:defRPr>
                </a:pPr>
              </a:p>
            </c:txPr>
            <c:dLblPos val="bestFit"/>
            <c:showLegendKey val="0"/>
            <c:showVal val="0"/>
            <c:showCatName val="0"/>
            <c:showSerName val="0"/>
            <c:showPercent val="1"/>
            <c:showBubbleSize val="0"/>
            <c:showLeaderLines val="1"/>
            <c:extLst>
              <c:ext xmlns:c15="http://schemas.microsoft.com/office/drawing/2012/chart" uri="{CE6537A1-D6FC-4f65-9D91-7224C49458BB}">
                <c15:layout/>
                <c15:showLeaderLines val="1"/>
                <c15:leaderLines/>
              </c:ext>
            </c:extLst>
          </c:dLbls>
          <c:cat>
            <c:strRef>
              <c:f>Sheet1!$A$2:$A$3</c:f>
              <c:strCache>
                <c:ptCount val="2"/>
                <c:pt idx="0">
                  <c:v>财政拨款收入</c:v>
                </c:pt>
                <c:pt idx="1">
                  <c:v>其他收入</c:v>
                </c:pt>
              </c:strCache>
            </c:strRef>
          </c:cat>
          <c:val>
            <c:numRef>
              <c:f>Sheet1!$B$2:$B$3</c:f>
              <c:numCache>
                <c:formatCode>#,##0.00</c:formatCode>
                <c:ptCount val="2"/>
                <c:pt idx="0">
                  <c:v>98492100.57</c:v>
                </c:pt>
                <c:pt idx="1">
                  <c:v>11321992.77</c:v>
                </c:pt>
              </c:numCache>
            </c:numRef>
          </c:val>
        </c:ser>
        <c:dLbls>
          <c:showLegendKey val="0"/>
          <c:showVal val="1"/>
          <c:showCatName val="0"/>
          <c:showSerName val="0"/>
          <c:showPercent val="0"/>
          <c:showBubbleSize val="0"/>
          <c:showLeaderLines val="1"/>
        </c:dLbls>
        <c:firstSliceAng val="0"/>
      </c:pieChart>
    </c:plotArea>
    <c:legend>
      <c:legendPos val="r"/>
      <c:layout/>
      <c:overlay val="0"/>
      <c:txPr>
        <a:bodyPr rot="0" spcFirstLastPara="0" vertOverflow="ellipsis" vert="horz" wrap="square" anchor="ctr" anchorCtr="1"/>
        <a:lstStyle/>
        <a:p>
          <a:pPr>
            <a:defRPr lang="zh-CN" sz="1000" b="0" i="0" u="none" strike="noStrike" kern="1200" baseline="0">
              <a:solidFill>
                <a:schemeClr val="tx1"/>
              </a:solidFill>
              <a:latin typeface="+mn-lt"/>
              <a:ea typeface="+mn-ea"/>
              <a:cs typeface="+mn-cs"/>
            </a:defRPr>
          </a:pPr>
        </a:p>
      </c:txPr>
    </c:legend>
    <c:plotVisOnly val="1"/>
    <c:dispBlanksAs val="gap"/>
    <c:showDLblsOverMax val="0"/>
    <c:extLst>
      <c:ext uri="{0b15fc19-7d7d-44ad-8c2d-2c3a37ce22c3}">
        <chartProps xmlns="https://web.wps.cn/et/2018/main" chartId="{2ec82ea6-ed3f-49f9-b36d-2f86c1ff0307}"/>
      </c:ext>
    </c:extLst>
  </c:chart>
  <c:txPr>
    <a:bodyPr/>
    <a:lstStyle/>
    <a:p>
      <a:pPr>
        <a:defRPr lang="zh-CN"/>
      </a:pPr>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pieChart>
        <c:varyColors val="1"/>
        <c:ser>
          <c:idx val="0"/>
          <c:order val="0"/>
          <c:tx>
            <c:strRef>
              <c:f>Sheet0!$B$1</c:f>
              <c:strCache>
                <c:ptCount val="1"/>
                <c:pt idx="0">
                  <c:v>支出</c:v>
                </c:pt>
              </c:strCache>
            </c:strRef>
          </c:tx>
          <c:explosion val="0"/>
          <c:dPt>
            <c:idx val="0"/>
            <c:bubble3D val="0"/>
            <c:spPr>
              <a:solidFill>
                <a:srgbClr val="4F81BD"/>
              </a:solidFill>
              <a:ln w="19050">
                <a:solidFill>
                  <a:srgbClr val="FFFFFF"/>
                </a:solidFill>
              </a:ln>
              <a:effectLst/>
            </c:spPr>
          </c:dPt>
          <c:dPt>
            <c:idx val="1"/>
            <c:bubble3D val="0"/>
            <c:spPr>
              <a:solidFill>
                <a:srgbClr val="C0504D"/>
              </a:solidFill>
              <a:ln w="19050">
                <a:solidFill>
                  <a:srgbClr val="FFFFFF"/>
                </a:solidFill>
              </a:ln>
              <a:effectLst/>
            </c:spPr>
          </c:dPt>
          <c:dLbls>
            <c:numFmt formatCode="0.00%" sourceLinked="0"/>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solidFill>
                    <a:latin typeface="+mn-lt"/>
                    <a:ea typeface="+mn-ea"/>
                    <a:cs typeface="+mn-cs"/>
                  </a:defRPr>
                </a:pPr>
              </a:p>
            </c:txPr>
            <c:dLblPos val="bestFit"/>
            <c:showLegendKey val="0"/>
            <c:showVal val="0"/>
            <c:showCatName val="0"/>
            <c:showSerName val="0"/>
            <c:showPercent val="1"/>
            <c:showBubbleSize val="0"/>
            <c:showLeaderLines val="1"/>
            <c:extLst>
              <c:ext xmlns:c15="http://schemas.microsoft.com/office/drawing/2012/chart" uri="{CE6537A1-D6FC-4f65-9D91-7224C49458BB}">
                <c15:layout/>
                <c15:showLeaderLines val="1"/>
                <c15:leaderLines>
                  <c:spPr>
                    <a:ln w="9525" cap="flat" cmpd="sng" algn="ctr">
                      <a:solidFill>
                        <a:srgbClr val="A6A6A6">
                          <a:lumMod val="35000"/>
                          <a:lumOff val="65000"/>
                        </a:srgbClr>
                      </a:solidFill>
                      <a:prstDash val="solid"/>
                      <a:round/>
                    </a:ln>
                    <a:effectLst/>
                  </c:spPr>
                </c15:leaderLines>
              </c:ext>
            </c:extLst>
          </c:dLbls>
          <c:cat>
            <c:strRef>
              <c:f>Sheet0!$A$2:$A$3</c:f>
              <c:strCache>
                <c:ptCount val="2"/>
                <c:pt idx="0">
                  <c:v>基本支出</c:v>
                </c:pt>
                <c:pt idx="1">
                  <c:v>项目支出</c:v>
                </c:pt>
              </c:strCache>
            </c:strRef>
          </c:cat>
          <c:val>
            <c:numRef>
              <c:f>Sheet0!$B$2:$B$3</c:f>
              <c:numCache>
                <c:formatCode>#,##0.00</c:formatCode>
                <c:ptCount val="2"/>
                <c:pt idx="0">
                  <c:v>19344708.58</c:v>
                </c:pt>
                <c:pt idx="1">
                  <c:v>97869396.75</c:v>
                </c:pt>
              </c:numCache>
            </c:numRef>
          </c:val>
        </c:ser>
        <c:dLbls>
          <c:showLegendKey val="0"/>
          <c:showVal val="0"/>
          <c:showCatName val="0"/>
          <c:showSerName val="0"/>
          <c:showPercent val="1"/>
          <c:showBubbleSize val="0"/>
          <c:showLeaderLines val="1"/>
        </c:dLbls>
        <c:firstSliceAng val="0"/>
      </c:pieChart>
      <c:spPr>
        <a:noFill/>
        <a:ln>
          <a:noFill/>
        </a:ln>
        <a:effectLst/>
      </c:spPr>
    </c:plotArea>
    <c:legend>
      <c:legendPos val="b"/>
      <c:legendEntry>
        <c:idx val="0"/>
        <c:txPr>
          <a:bodyPr rot="0" spcFirstLastPara="0" vertOverflow="ellipsis" vert="horz" wrap="square" anchor="ctr" anchorCtr="1"/>
          <a:lstStyle/>
          <a:p>
            <a:pPr>
              <a:defRPr lang="zh-CN" sz="900" b="0" i="0" u="none" strike="noStrike" kern="1200" baseline="0">
                <a:solidFill>
                  <a:schemeClr val="tx1"/>
                </a:solidFill>
                <a:latin typeface="+mn-lt"/>
                <a:ea typeface="+mn-ea"/>
                <a:cs typeface="+mn-cs"/>
              </a:defRPr>
            </a:pPr>
          </a:p>
        </c:txPr>
      </c:legendEntry>
      <c:legendEntry>
        <c:idx val="1"/>
        <c:txPr>
          <a:bodyPr rot="0" spcFirstLastPara="0" vertOverflow="ellipsis" vert="horz" wrap="square" anchor="ctr" anchorCtr="1"/>
          <a:lstStyle/>
          <a:p>
            <a:pPr>
              <a:defRPr lang="zh-CN" sz="900" b="0" i="0" u="none" strike="noStrike" kern="1200" baseline="0">
                <a:solidFill>
                  <a:schemeClr val="tx1"/>
                </a:solidFill>
                <a:latin typeface="+mn-lt"/>
                <a:ea typeface="+mn-ea"/>
                <a:cs typeface="+mn-cs"/>
              </a:defRPr>
            </a:pPr>
          </a:p>
        </c:txPr>
      </c:legendEntry>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solidFill>
              <a:latin typeface="+mn-lt"/>
              <a:ea typeface="+mn-ea"/>
              <a:cs typeface="+mn-cs"/>
            </a:defRPr>
          </a:pPr>
        </a:p>
      </c:txPr>
    </c:legend>
    <c:plotVisOnly val="1"/>
    <c:dispBlanksAs val="gap"/>
    <c:showDLblsOverMax val="0"/>
    <c:extLst>
      <c:ext uri="{0b15fc19-7d7d-44ad-8c2d-2c3a37ce22c3}">
        <chartProps xmlns="https://web.wps.cn/et/2018/main" chartId="{3ac51809-7e98-44cf-8c13-34dc043351c8}"/>
      </c:ext>
    </c:extLst>
  </c:chart>
  <c:spPr>
    <a:ln w="9525" cap="flat" cmpd="sng" algn="ctr">
      <a:solidFill>
        <a:srgbClr val="D9D9D9">
          <a:lumMod val="15000"/>
          <a:lumOff val="85000"/>
        </a:srgbClr>
      </a:solidFill>
      <a:prstDash val="solid"/>
      <a:round/>
    </a:ln>
    <a:effectLst/>
  </c:spPr>
  <c:txPr>
    <a:bodyPr/>
    <a:lstStyle/>
    <a:p>
      <a:pPr>
        <a:defRPr lang="zh-CN"/>
      </a:pPr>
    </a:p>
  </c:txPr>
  <c:externalData r:id="rId1">
    <c:autoUpdate val="0"/>
  </c:externalData>
</c:chartSpace>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contractReview xmlns="http://schemas.wps.cn/vas-ai-hub/contract-review">
  <reviewItems>
    <reviewItem>
      <errorID>7383d911-d49a-40c0-824e-d25d816e8978</errorID>
      <errorWord>法律、法规</errorWord>
      <group>L1_Word</group>
      <groupName>字词问题</groupName>
      <ability>L2_Typo</ability>
      <abilityName>字词错误</abilityName>
      <candidateList>
        <item>法律法规</item>
      </candidateList>
      <explain/>
      <paraID>36823328</paraID>
      <start>6</start>
      <end>11</end>
      <status>ignored</status>
      <modifiedWord/>
      <trackRevisions>false</trackRevisions>
    </reviewItem>
    <reviewItem>
      <errorID>c8aad225-c565-4c24-8dc9-db36b76556bc</errorID>
      <errorWord>党风建设和反腐败工作</errorWord>
      <group>L1_Political</group>
      <groupName>政治性问题</groupName>
      <ability>L2_Unpolitical</ability>
      <abilityName>政治敏感错误</abilityName>
      <candidateList>
        <item>党风廉政建设和反腐败工作</item>
      </candidateList>
      <explain/>
      <paraID> FE375EA</paraID>
      <start>52</start>
      <end>62</end>
      <status>ignored</status>
      <modifiedWord/>
      <trackRevisions>false</trackRevisions>
    </reviewItem>
    <reviewItem>
      <errorID>64b1fb9a-43d6-409e-8e54-7fbb479c31da</errorID>
      <errorWord>经常性地</errorWord>
      <group>L1_Word</group>
      <groupName>字词问题</groupName>
      <ability>L2_Typo</ability>
      <abilityName>字词错误</abilityName>
      <candidateList>
        <item>经常性</item>
      </candidateList>
      <explain/>
      <paraID> FE375EA</paraID>
      <start>167</start>
      <end>171</end>
      <status>ignored</status>
      <modifiedWord/>
      <trackRevisions>false</trackRevisions>
    </reviewItem>
    <reviewItem>
      <errorID>02ec0237-92bd-46e5-89f1-a5671cb87060</errorID>
      <errorWord>开展法制宣传</errorWord>
      <group>L1_Political</group>
      <groupName>政治性问题</groupName>
      <ability>L2_Unpolitical</ability>
      <abilityName>政治敏感错误</abilityName>
      <candidateList>
        <item>开展法治宣传</item>
      </candidateList>
      <explain/>
      <paraID> 4B6F7DF</paraID>
      <start>157</start>
      <end>163</end>
      <status>ignored</status>
      <modifiedWord/>
      <trackRevisions>false</trackRevisions>
    </reviewItem>
    <reviewItem>
      <errorID>1cd4c5c3-e2d9-42af-af5d-65ca6ea6bb1e</errorID>
      <errorWord>精神障碍患者康复</errorWord>
      <group>L1_Political</group>
      <groupName>政治性问题</groupName>
      <ability>L2_Keyword</ability>
      <abilityName>固定表述</abilityName>
      <candidateList>
        <item>精神障碍社区康复</item>
      </candidateList>
      <explain>词汇“精神障碍社区康复”在特定场景下为固定表述形式，请确认此处的“精神障碍患者康复”是否存在不当。</explain>
      <paraID> 54E2CDD</paraID>
      <start>389</start>
      <end>397</end>
      <status>ignored</status>
      <modifiedWord/>
      <trackRevisions>false</trackRevisions>
    </reviewItem>
    <reviewItem>
      <errorID>1ad8766e-4c08-42ee-8467-02cb35720963</errorID>
      <errorWord>法律、法规</errorWord>
      <group>L1_Word</group>
      <groupName>字词问题</groupName>
      <ability>L2_Typo</ability>
      <abilityName>字词错误</abilityName>
      <candidateList>
        <item>法律法规</item>
      </candidateList>
      <explain/>
      <paraID>4BF3F514</paraID>
      <start>7</start>
      <end>12</end>
      <status>ignored</status>
      <modifiedWord/>
      <trackRevisions>false</trackRevisions>
    </reviewItem>
    <reviewItem>
      <errorID>60120fa9-45d2-4653-9112-c6377695563b</errorID>
      <errorWord>坚守底线思维</errorWord>
      <group>L1_Political</group>
      <groupName>政治性问题</groupName>
      <ability>L2_Keyword</ability>
      <abilityName>固定表述</abilityName>
      <candidateList>
        <item>坚持底线思维</item>
      </candidateList>
      <explain>词汇“坚持底线思维”在特定场景下为固定表述形式，请确认此处的“坚守底线思维”是否存在不当。</explain>
      <paraID> 6896FEA</paraID>
      <start>21</start>
      <end>27</end>
      <status>ignored</status>
      <modifiedWord/>
      <trackRevisions>false</trackRevisions>
    </reviewItem>
    <reviewItem>
      <errorID>851abe51-5fae-4a78-9a3e-b489b371f9c1</errorID>
      <errorWord>-</errorWord>
      <group>L1_Punc</group>
      <groupName>标点问题</groupName>
      <ability>L2_Punc_CN</ability>
      <abilityName>标点符号检查</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68462124</paraID>
      <start>103</start>
      <end>104</end>
      <status>ignored</status>
      <modifiedWord/>
      <trackRevisions>false</trackRevisions>
    </reviewItem>
    <reviewItem>
      <errorID>0e658e72-6add-46a1-828a-aca04ff20aa8</errorID>
      <errorWord>-</errorWord>
      <group>L1_Punc</group>
      <groupName>标点问题</groupName>
      <ability>L2_Punc_CN</ability>
      <abilityName>标点符号检查</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68462124</paraID>
      <start>124</start>
      <end>125</end>
      <status>ignored</status>
      <modifiedWord/>
      <trackRevisions>false</trackRevisions>
    </reviewItem>
    <reviewItem>
      <errorID>d367ffc1-bdc7-43ac-8144-a796889557dc</errorID>
      <errorWord>（</errorWord>
      <group>L1_Punc</group>
      <groupName>标点问题</groupName>
      <ability>L2_Punc_CN</ability>
      <abilityName>标点符号检查</abilityName>
      <candidateList/>
      <explain>同一形式括号套用。</explain>
      <paraID>4952EBA3</paraID>
      <start>29</start>
      <end>30</end>
      <status>ignored</status>
      <modifiedWord/>
      <trackRevisions>false</trackRevisions>
    </reviewItem>
    <reviewItem>
      <errorID>527d8e8c-2267-426a-9562-e05654b0edc6</errorID>
      <errorWord>）</errorWord>
      <group>L1_Punc</group>
      <groupName>标点问题</groupName>
      <ability>L2_Punc_CN</ability>
      <abilityName>标点符号检查</abilityName>
      <candidateList/>
      <explain>同一形式括号套用。</explain>
      <paraID>4952EBA3</paraID>
      <start>31</start>
      <end>32</end>
      <status>ignored</status>
      <modifiedWord/>
      <trackRevisions>false</trackRevisions>
    </reviewItem>
  </reviewItems>
  <config/>
</contractReview>
</file>

<file path=customXml/itemProps1.xml><?xml version="1.0" encoding="utf-8"?>
<ds:datastoreItem xmlns:ds="http://schemas.openxmlformats.org/officeDocument/2006/customXml" ds:itemID="{eb2feb34-7111-4e4b-8af1-90d63a488ecf}">
  <ds:schemaRefs/>
</ds:datastoreItem>
</file>

<file path=docProps/app.xml><?xml version="1.0" encoding="utf-8"?>
<Properties xmlns="http://schemas.openxmlformats.org/officeDocument/2006/extended-properties" xmlns:vt="http://schemas.openxmlformats.org/officeDocument/2006/docPropsVTypes">
  <Template>Normal</Template>
  <Pages>33</Pages>
  <Words>12058</Words>
  <Characters>13972</Characters>
  <Lines>47</Lines>
  <Paragraphs>13</Paragraphs>
  <TotalTime>15</TotalTime>
  <ScaleCrop>false</ScaleCrop>
  <LinksUpToDate>false</LinksUpToDate>
  <CharactersWithSpaces>13990</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2017-07-11T15:16:00Z</dcterms:created>
  <dc:creator>常程</dc:creator>
  <cp:lastModifiedBy>陈贝贝</cp:lastModifiedBy>
  <cp:lastPrinted>2020-08-07T11:39:00Z</cp:lastPrinted>
  <dcterms:modified xsi:type="dcterms:W3CDTF">2026-08-18T04:59:05Z</dcterms:modified>
  <dc:title>北京市财政局关于做好向市人大常委会报送2015年度市级部门决算（草案）</dc:title>
  <cp:revision>24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435078ACFECC4A5A8A519EF4C3681114_13</vt:lpwstr>
  </property>
  <property fmtid="{D5CDD505-2E9C-101B-9397-08002B2CF9AE}" pid="4" name="KSOTemplateDocerSaveRecord">
    <vt:lpwstr>eyJoZGlkIjoiYjc0ZDhhZmUzNTQyNzIzY2YxMzFhMDVlYmM5MTA4NTQiLCJ1c2VySWQiOiI0OTcwMzEyMzYifQ==</vt:lpwstr>
  </property>
</Properties>
</file>