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both"/>
        <w:rPr>
          <w:rFonts w:ascii="黑体" w:eastAsia="黑体"/>
          <w:sz w:val="72"/>
          <w:szCs w:val="72"/>
        </w:rPr>
      </w:pPr>
    </w:p>
    <w:p>
      <w:pPr>
        <w:jc w:val="center"/>
        <w:rPr>
          <w:rFonts w:ascii="黑体" w:eastAsia="黑体"/>
          <w:sz w:val="72"/>
          <w:szCs w:val="7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2025年度</w:t>
      </w:r>
      <w:r>
        <w:rPr>
          <w:rFonts w:hint="eastAsia" w:ascii="方正小标宋简体" w:hAnsi="方正小标宋简体" w:eastAsia="方正小标宋简体" w:cs="方正小标宋简体"/>
          <w:sz w:val="44"/>
          <w:szCs w:val="44"/>
          <w:lang w:val="en-US" w:eastAsia="zh-CN"/>
        </w:rPr>
        <w:t>东辛房街道办事处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部门决算（公开）</w:t>
      </w:r>
    </w:p>
    <w:p>
      <w:pPr>
        <w:jc w:val="center"/>
        <w:rPr>
          <w:rFonts w:ascii="黑体" w:eastAsia="黑体"/>
          <w:sz w:val="52"/>
          <w:szCs w:val="52"/>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topLinePunct w:val="0"/>
        <w:autoSpaceDE/>
        <w:autoSpaceDN/>
        <w:bidi w:val="0"/>
        <w:adjustRightInd/>
        <w:snapToGrid/>
        <w:spacing w:line="560" w:lineRule="exact"/>
        <w:ind w:firstLine="3960" w:firstLineChars="900"/>
        <w:jc w:val="both"/>
        <w:textAlignment w:val="auto"/>
        <w:rPr>
          <w:rFonts w:hint="eastAsia" w:ascii="宋体" w:hAnsi="宋体" w:cs="宋体"/>
          <w:b/>
          <w:bCs/>
          <w:kern w:val="0"/>
          <w:sz w:val="44"/>
          <w:szCs w:val="36"/>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val="0"/>
          <w:kern w:val="0"/>
          <w:sz w:val="44"/>
          <w:szCs w:val="36"/>
        </w:rPr>
      </w:pPr>
      <w:r>
        <w:rPr>
          <w:rFonts w:hint="eastAsia" w:ascii="方正小标宋简体" w:hAnsi="方正小标宋简体" w:eastAsia="方正小标宋简体" w:cs="方正小标宋简体"/>
          <w:b w:val="0"/>
          <w:bCs w:val="0"/>
          <w:kern w:val="0"/>
          <w:sz w:val="44"/>
          <w:szCs w:val="36"/>
        </w:rPr>
        <w:t>目    录</w:t>
      </w:r>
    </w:p>
    <w:p>
      <w:pPr>
        <w:keepNext w:val="0"/>
        <w:keepLines w:val="0"/>
        <w:pageBreakBefore w:val="0"/>
        <w:widowControl w:val="0"/>
        <w:kinsoku/>
        <w:wordWrap/>
        <w:overflowPunct/>
        <w:topLinePunct w:val="0"/>
        <w:autoSpaceDE/>
        <w:autoSpaceDN/>
        <w:bidi w:val="0"/>
        <w:adjustRightInd/>
        <w:snapToGrid/>
        <w:spacing w:line="560" w:lineRule="exact"/>
        <w:ind w:firstLine="645"/>
        <w:jc w:val="center"/>
        <w:textAlignment w:val="auto"/>
        <w:outlineLvl w:val="9"/>
        <w:rPr>
          <w:rFonts w:ascii="宋体" w:hAnsi="宋体" w:cs="宋体"/>
          <w:b/>
          <w:bCs/>
          <w:kern w:val="0"/>
          <w:sz w:val="36"/>
          <w:szCs w:val="36"/>
        </w:rPr>
      </w:pP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hint="eastAsia" w:ascii="黑体" w:hAnsi="黑体" w:eastAsia="黑体" w:cs="黑体"/>
          <w:bCs/>
          <w:spacing w:val="40"/>
          <w:kern w:val="0"/>
          <w:sz w:val="32"/>
          <w:szCs w:val="32"/>
        </w:rPr>
      </w:pPr>
      <w:r>
        <w:rPr>
          <w:rFonts w:hint="eastAsia" w:ascii="黑体" w:hAnsi="黑体" w:eastAsia="黑体" w:cs="黑体"/>
          <w:bCs/>
          <w:spacing w:val="40"/>
          <w:kern w:val="0"/>
          <w:sz w:val="32"/>
          <w:szCs w:val="32"/>
        </w:rPr>
        <w:t>第一部分 2025年度部门决算报表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hint="eastAsia" w:ascii="黑体" w:hAnsi="黑体" w:eastAsia="黑体" w:cs="黑体"/>
          <w:b w:val="0"/>
          <w:bCs/>
          <w:spacing w:val="40"/>
          <w:kern w:val="0"/>
          <w:sz w:val="32"/>
          <w:szCs w:val="32"/>
        </w:rPr>
      </w:pPr>
      <w:r>
        <w:rPr>
          <w:rFonts w:hint="eastAsia" w:ascii="黑体" w:hAnsi="黑体" w:eastAsia="黑体" w:cs="黑体"/>
          <w:b w:val="0"/>
          <w:bCs/>
          <w:spacing w:val="40"/>
          <w:kern w:val="0"/>
          <w:sz w:val="32"/>
          <w:szCs w:val="32"/>
        </w:rPr>
        <w:t xml:space="preserve">第二部分 </w:t>
      </w:r>
      <w:r>
        <w:rPr>
          <w:rFonts w:hint="eastAsia" w:ascii="黑体" w:hAnsi="黑体" w:eastAsia="黑体" w:cs="黑体"/>
          <w:b w:val="0"/>
          <w:bCs/>
          <w:spacing w:val="40"/>
          <w:sz w:val="32"/>
          <w:szCs w:val="32"/>
        </w:rPr>
        <w:t>2025年度部门决算说明</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hint="eastAsia" w:ascii="黑体" w:hAnsi="黑体" w:eastAsia="黑体" w:cs="黑体"/>
          <w:b w:val="0"/>
          <w:bCs/>
          <w:spacing w:val="40"/>
          <w:kern w:val="0"/>
          <w:sz w:val="32"/>
          <w:szCs w:val="32"/>
        </w:rPr>
      </w:pPr>
      <w:r>
        <w:rPr>
          <w:rFonts w:hint="eastAsia" w:ascii="黑体" w:hAnsi="黑体" w:eastAsia="黑体" w:cs="黑体"/>
          <w:b w:val="0"/>
          <w:bCs/>
          <w:spacing w:val="40"/>
          <w:kern w:val="0"/>
          <w:sz w:val="32"/>
          <w:szCs w:val="32"/>
        </w:rPr>
        <w:t xml:space="preserve">第三部分 </w:t>
      </w:r>
      <w:r>
        <w:rPr>
          <w:rFonts w:hint="eastAsia" w:ascii="黑体" w:hAnsi="黑体" w:eastAsia="黑体" w:cs="黑体"/>
          <w:b w:val="0"/>
          <w:bCs/>
          <w:spacing w:val="40"/>
          <w:sz w:val="32"/>
          <w:szCs w:val="32"/>
        </w:rPr>
        <w:t>2025年度</w:t>
      </w:r>
      <w:r>
        <w:rPr>
          <w:rFonts w:hint="eastAsia" w:ascii="黑体" w:hAnsi="黑体" w:eastAsia="黑体" w:cs="黑体"/>
          <w:b w:val="0"/>
          <w:bCs/>
          <w:spacing w:val="40"/>
          <w:kern w:val="0"/>
          <w:sz w:val="32"/>
          <w:szCs w:val="32"/>
        </w:rPr>
        <w:t>其他重要事项的情况说明</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left"/>
        <w:textAlignment w:val="auto"/>
        <w:outlineLvl w:val="9"/>
        <w:rPr>
          <w:rFonts w:hint="eastAsia" w:ascii="黑体" w:hAnsi="黑体" w:eastAsia="黑体" w:cs="黑体"/>
          <w:b w:val="0"/>
          <w:bCs/>
          <w:spacing w:val="40"/>
          <w:kern w:val="0"/>
          <w:sz w:val="36"/>
          <w:szCs w:val="32"/>
        </w:rPr>
      </w:pPr>
      <w:r>
        <w:rPr>
          <w:rFonts w:hint="eastAsia" w:ascii="黑体" w:hAnsi="黑体" w:eastAsia="黑体" w:cs="黑体"/>
          <w:b w:val="0"/>
          <w:bCs/>
          <w:spacing w:val="40"/>
          <w:kern w:val="0"/>
          <w:sz w:val="32"/>
          <w:szCs w:val="32"/>
        </w:rPr>
        <w:t>第四部分 2025年度部门绩效评价情况</w:t>
      </w:r>
    </w:p>
    <w:p>
      <w:pPr>
        <w:keepNext w:val="0"/>
        <w:keepLines w:val="0"/>
        <w:pageBreakBefore w:val="0"/>
        <w:widowControl w:val="0"/>
        <w:tabs>
          <w:tab w:val="center" w:pos="6979"/>
        </w:tabs>
        <w:kinsoku/>
        <w:wordWrap/>
        <w:overflowPunct/>
        <w:topLinePunct w:val="0"/>
        <w:autoSpaceDE/>
        <w:autoSpaceDN/>
        <w:bidi w:val="0"/>
        <w:adjustRightInd/>
        <w:snapToGrid/>
        <w:spacing w:before="156" w:beforeLines="50" w:after="156" w:afterLines="50" w:line="560" w:lineRule="exact"/>
        <w:ind w:firstLine="0" w:firstLineChars="0"/>
        <w:jc w:val="left"/>
        <w:textAlignment w:val="auto"/>
        <w:outlineLvl w:val="9"/>
        <w:rPr>
          <w:rFonts w:ascii="宋体" w:hAnsi="宋体" w:cs="宋体"/>
          <w:b/>
          <w:bCs/>
          <w:spacing w:val="40"/>
          <w:kern w:val="0"/>
          <w:sz w:val="32"/>
          <w:szCs w:val="32"/>
        </w:rPr>
      </w:pPr>
    </w:p>
    <w:p>
      <w:pPr>
        <w:keepNext w:val="0"/>
        <w:keepLines w:val="0"/>
        <w:pageBreakBefore w:val="0"/>
        <w:widowControl w:val="0"/>
        <w:tabs>
          <w:tab w:val="center" w:pos="6979"/>
        </w:tabs>
        <w:kinsoku/>
        <w:wordWrap/>
        <w:overflowPunct/>
        <w:topLinePunct w:val="0"/>
        <w:autoSpaceDE/>
        <w:autoSpaceDN/>
        <w:bidi w:val="0"/>
        <w:adjustRightInd/>
        <w:snapToGrid/>
        <w:spacing w:before="156" w:beforeLines="50" w:after="156" w:afterLines="50" w:line="560" w:lineRule="exact"/>
        <w:jc w:val="center"/>
        <w:textAlignment w:val="auto"/>
        <w:rPr>
          <w:rFonts w:ascii="宋体" w:hAnsi="宋体" w:cs="宋体"/>
          <w:b/>
          <w:bCs/>
          <w:spacing w:val="40"/>
          <w:kern w:val="0"/>
          <w:sz w:val="32"/>
          <w:szCs w:val="32"/>
        </w:rPr>
      </w:pPr>
    </w:p>
    <w:p>
      <w:pPr>
        <w:keepNext w:val="0"/>
        <w:keepLines w:val="0"/>
        <w:pageBreakBefore w:val="0"/>
        <w:widowControl w:val="0"/>
        <w:tabs>
          <w:tab w:val="center" w:pos="6979"/>
        </w:tabs>
        <w:kinsoku/>
        <w:wordWrap/>
        <w:overflowPunct/>
        <w:topLinePunct w:val="0"/>
        <w:autoSpaceDE/>
        <w:autoSpaceDN/>
        <w:bidi w:val="0"/>
        <w:adjustRightInd/>
        <w:snapToGrid/>
        <w:spacing w:before="156" w:beforeLines="50" w:after="156" w:afterLines="50" w:line="560" w:lineRule="exact"/>
        <w:jc w:val="center"/>
        <w:textAlignment w:val="auto"/>
        <w:rPr>
          <w:rFonts w:ascii="宋体" w:hAnsi="宋体" w:cs="宋体"/>
          <w:b/>
          <w:bCs/>
          <w:spacing w:val="40"/>
          <w:kern w:val="0"/>
          <w:sz w:val="32"/>
          <w:szCs w:val="32"/>
        </w:rPr>
      </w:pPr>
    </w:p>
    <w:p>
      <w:pPr>
        <w:keepNext w:val="0"/>
        <w:keepLines w:val="0"/>
        <w:pageBreakBefore w:val="0"/>
        <w:widowControl w:val="0"/>
        <w:tabs>
          <w:tab w:val="center" w:pos="6979"/>
        </w:tabs>
        <w:kinsoku/>
        <w:wordWrap/>
        <w:overflowPunct/>
        <w:topLinePunct w:val="0"/>
        <w:autoSpaceDE/>
        <w:autoSpaceDN/>
        <w:bidi w:val="0"/>
        <w:adjustRightInd/>
        <w:snapToGrid/>
        <w:spacing w:before="156" w:beforeLines="50" w:after="156" w:afterLines="50" w:line="560" w:lineRule="exact"/>
        <w:jc w:val="center"/>
        <w:textAlignment w:val="auto"/>
        <w:rPr>
          <w:rFonts w:ascii="宋体" w:hAnsi="宋体" w:cs="宋体"/>
          <w:b/>
          <w:bCs/>
          <w:spacing w:val="40"/>
          <w:kern w:val="0"/>
          <w:sz w:val="32"/>
          <w:szCs w:val="32"/>
        </w:rPr>
      </w:pPr>
    </w:p>
    <w:p>
      <w:pPr>
        <w:keepNext w:val="0"/>
        <w:keepLines w:val="0"/>
        <w:pageBreakBefore w:val="0"/>
        <w:widowControl w:val="0"/>
        <w:tabs>
          <w:tab w:val="center" w:pos="6979"/>
        </w:tabs>
        <w:kinsoku/>
        <w:wordWrap/>
        <w:overflowPunct/>
        <w:topLinePunct w:val="0"/>
        <w:autoSpaceDE/>
        <w:autoSpaceDN/>
        <w:bidi w:val="0"/>
        <w:adjustRightInd/>
        <w:snapToGrid/>
        <w:spacing w:before="156" w:beforeLines="50" w:after="156" w:afterLines="50" w:line="560" w:lineRule="exact"/>
        <w:jc w:val="center"/>
        <w:textAlignment w:val="auto"/>
        <w:rPr>
          <w:rFonts w:ascii="宋体" w:hAnsi="宋体" w:cs="宋体"/>
          <w:b/>
          <w:bCs/>
          <w:spacing w:val="40"/>
          <w:kern w:val="0"/>
          <w:sz w:val="32"/>
          <w:szCs w:val="32"/>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jc w:val="center"/>
        <w:textAlignment w:val="auto"/>
        <w:rPr>
          <w:rFonts w:hint="eastAsia" w:ascii="方正小标宋简体" w:hAnsi="方正小标宋简体" w:eastAsia="方正小标宋简体" w:cs="方正小标宋简体"/>
          <w:b w:val="0"/>
          <w:bCs w:val="0"/>
          <w:spacing w:val="40"/>
          <w:kern w:val="0"/>
          <w:sz w:val="44"/>
          <w:szCs w:val="44"/>
        </w:rPr>
      </w:pPr>
      <w:r>
        <w:rPr>
          <w:rFonts w:hint="eastAsia" w:ascii="方正小标宋简体" w:hAnsi="方正小标宋简体" w:eastAsia="方正小标宋简体" w:cs="方正小标宋简体"/>
          <w:b w:val="0"/>
          <w:bCs w:val="0"/>
          <w:spacing w:val="40"/>
          <w:kern w:val="0"/>
          <w:sz w:val="44"/>
          <w:szCs w:val="44"/>
          <w:lang w:eastAsia="zh-CN"/>
        </w:rPr>
        <w:t>第一部分</w:t>
      </w:r>
      <w:r>
        <w:rPr>
          <w:rFonts w:hint="eastAsia" w:ascii="方正小标宋简体" w:hAnsi="方正小标宋简体" w:eastAsia="方正小标宋简体" w:cs="方正小标宋简体"/>
          <w:b w:val="0"/>
          <w:bCs w:val="0"/>
          <w:spacing w:val="40"/>
          <w:kern w:val="0"/>
          <w:sz w:val="44"/>
          <w:szCs w:val="44"/>
        </w:rPr>
        <w:t>2025年度部门决算报表</w:t>
      </w:r>
    </w:p>
    <w:p>
      <w:pPr>
        <w:pageBreakBefore w:val="0"/>
        <w:tabs>
          <w:tab w:val="center" w:pos="6979"/>
        </w:tabs>
        <w:kinsoku/>
        <w:wordWrap/>
        <w:overflowPunct/>
        <w:topLinePunct w:val="0"/>
        <w:bidi w:val="0"/>
        <w:spacing w:before="156" w:beforeLines="50" w:after="156" w:afterLines="50" w:line="560" w:lineRule="exact"/>
        <w:jc w:val="center"/>
        <w:textAlignment w:val="auto"/>
        <w:rPr>
          <w:rFonts w:hint="eastAsia" w:ascii="仿宋_GB2312" w:hAnsi="仿宋_GB2312" w:eastAsia="仿宋_GB2312" w:cs="仿宋_GB2312"/>
          <w:b w:val="0"/>
          <w:bCs w:val="0"/>
          <w:spacing w:val="40"/>
          <w:kern w:val="0"/>
          <w:sz w:val="32"/>
          <w:szCs w:val="32"/>
        </w:rPr>
      </w:pPr>
      <w:r>
        <w:rPr>
          <w:rFonts w:hint="eastAsia" w:ascii="仿宋_GB2312" w:hAnsi="仿宋_GB2312" w:eastAsia="仿宋_GB2312" w:cs="仿宋_GB2312"/>
          <w:b w:val="0"/>
          <w:bCs w:val="0"/>
          <w:spacing w:val="40"/>
          <w:kern w:val="0"/>
          <w:sz w:val="32"/>
          <w:szCs w:val="32"/>
        </w:rPr>
        <w:t>（报表详见附件）</w:t>
      </w:r>
    </w:p>
    <w:p>
      <w:pPr>
        <w:pStyle w:val="2"/>
        <w:numPr>
          <w:ilvl w:val="0"/>
          <w:numId w:val="0"/>
        </w:numPr>
        <w:rPr>
          <w:rFonts w:hint="eastAsia"/>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ind w:leftChars="200"/>
        <w:jc w:val="center"/>
        <w:textAlignment w:val="auto"/>
        <w:rPr>
          <w:rFonts w:hint="eastAsia" w:ascii="方正小标宋简体" w:hAnsi="方正小标宋简体" w:eastAsia="方正小标宋简体" w:cs="方正小标宋简体"/>
          <w:b w:val="0"/>
          <w:bCs w:val="0"/>
          <w:spacing w:val="40"/>
          <w:kern w:val="0"/>
          <w:sz w:val="44"/>
          <w:szCs w:val="44"/>
          <w:lang w:eastAsia="zh-CN"/>
        </w:rPr>
      </w:pPr>
    </w:p>
    <w:p>
      <w:pPr>
        <w:pageBreakBefore w:val="0"/>
        <w:numPr>
          <w:ilvl w:val="0"/>
          <w:numId w:val="0"/>
        </w:numPr>
        <w:tabs>
          <w:tab w:val="center" w:pos="6979"/>
        </w:tabs>
        <w:kinsoku/>
        <w:wordWrap/>
        <w:overflowPunct/>
        <w:topLinePunct w:val="0"/>
        <w:autoSpaceDE/>
        <w:autoSpaceDN/>
        <w:bidi w:val="0"/>
        <w:spacing w:before="156" w:beforeLines="50" w:after="156" w:afterLines="50" w:line="560" w:lineRule="exact"/>
        <w:jc w:val="center"/>
        <w:textAlignment w:val="auto"/>
        <w:rPr>
          <w:rFonts w:hint="eastAsia" w:ascii="方正小标宋简体" w:hAnsi="方正小标宋简体" w:eastAsia="方正小标宋简体" w:cs="方正小标宋简体"/>
          <w:b w:val="0"/>
          <w:bCs w:val="0"/>
          <w:spacing w:val="40"/>
          <w:kern w:val="0"/>
          <w:sz w:val="44"/>
          <w:szCs w:val="44"/>
        </w:rPr>
      </w:pPr>
      <w:r>
        <w:rPr>
          <w:rFonts w:hint="eastAsia" w:ascii="方正小标宋简体" w:hAnsi="方正小标宋简体" w:eastAsia="方正小标宋简体" w:cs="方正小标宋简体"/>
          <w:b w:val="0"/>
          <w:bCs w:val="0"/>
          <w:spacing w:val="40"/>
          <w:kern w:val="0"/>
          <w:sz w:val="44"/>
          <w:szCs w:val="44"/>
          <w:lang w:eastAsia="zh-CN"/>
        </w:rPr>
        <w:t>第二部分</w:t>
      </w:r>
      <w:r>
        <w:rPr>
          <w:rFonts w:hint="eastAsia" w:ascii="方正小标宋简体" w:hAnsi="方正小标宋简体" w:eastAsia="方正小标宋简体" w:cs="方正小标宋简体"/>
          <w:b w:val="0"/>
          <w:bCs w:val="0"/>
          <w:spacing w:val="40"/>
          <w:kern w:val="0"/>
          <w:sz w:val="44"/>
          <w:szCs w:val="44"/>
        </w:rPr>
        <w:t>2025年度部门决算说明</w:t>
      </w:r>
    </w:p>
    <w:p>
      <w:pPr>
        <w:pStyle w:val="2"/>
        <w:numPr>
          <w:ilvl w:val="0"/>
          <w:numId w:val="0"/>
        </w:numPr>
        <w:rPr>
          <w:rFonts w:hint="eastAsia"/>
        </w:rPr>
      </w:pP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一、部门基本情况</w:t>
      </w:r>
    </w:p>
    <w:p>
      <w:pPr>
        <w:pageBreakBefore w:val="0"/>
        <w:tabs>
          <w:tab w:val="center" w:pos="6979"/>
        </w:tabs>
        <w:kinsoku/>
        <w:wordWrap/>
        <w:overflowPunct/>
        <w:topLinePunct w:val="0"/>
        <w:autoSpaceDE/>
        <w:autoSpaceDN/>
        <w:bidi w:val="0"/>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（一）本部门职责情况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东辛房</w:t>
      </w:r>
      <w:r>
        <w:rPr>
          <w:rFonts w:hint="eastAsia" w:ascii="仿宋_GB2312" w:hAnsi="仿宋_GB2312" w:eastAsia="仿宋_GB2312" w:cs="仿宋_GB2312"/>
          <w:sz w:val="32"/>
          <w:szCs w:val="32"/>
        </w:rPr>
        <w:t>街道办事处是门头沟区人民政府的派出机构，受区人民政府领导。依照法律法规的规定，在本辖区内行使政府管理职能，对辖区内的地区性、社区性和群众性工作负总责，承</w:t>
      </w:r>
      <w:r>
        <w:rPr>
          <w:rFonts w:hint="eastAsia" w:ascii="仿宋_GB2312" w:hAnsi="仿宋_GB2312" w:eastAsia="仿宋_GB2312" w:cs="仿宋_GB2312"/>
          <w:sz w:val="32"/>
          <w:szCs w:val="32"/>
          <w:lang w:eastAsia="zh-CN"/>
        </w:rPr>
        <w:t>担</w:t>
      </w:r>
      <w:r>
        <w:rPr>
          <w:rFonts w:hint="eastAsia" w:ascii="仿宋_GB2312" w:hAnsi="仿宋_GB2312" w:eastAsia="仿宋_GB2312" w:cs="仿宋_GB2312"/>
          <w:sz w:val="32"/>
          <w:szCs w:val="32"/>
          <w:lang w:val="en-US" w:eastAsia="zh-CN"/>
        </w:rPr>
        <w:t>制定</w:t>
      </w:r>
      <w:r>
        <w:rPr>
          <w:rFonts w:hint="eastAsia" w:ascii="仿宋_GB2312" w:hAnsi="仿宋_GB2312" w:eastAsia="仿宋_GB2312" w:cs="仿宋_GB2312"/>
          <w:sz w:val="32"/>
          <w:szCs w:val="32"/>
        </w:rPr>
        <w:t>本辖区社区建设总体规划以及组织、指导和协调的职能。</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机构设置情况</w:t>
      </w:r>
    </w:p>
    <w:p>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东辛房街道办事处部门共设8个内设机构，下设3个事业单位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分别为东辛房街道便民服务中心(退役军人服务站）、东辛房街道市民活动中心（党群服务中心）、东辛房街道市民诉求处置中心（综治中心）。</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二、收入支出决算总体情况说明</w:t>
      </w:r>
    </w:p>
    <w:p>
      <w:pPr>
        <w:pageBreakBefore w:val="0"/>
        <w:tabs>
          <w:tab w:val="center" w:pos="6979"/>
        </w:tabs>
        <w:kinsoku/>
        <w:wordWrap/>
        <w:overflowPunct/>
        <w:topLinePunct w:val="0"/>
        <w:autoSpaceDE/>
        <w:autoSpaceDN/>
        <w:bidi w:val="0"/>
        <w:spacing w:line="560" w:lineRule="exact"/>
        <w:ind w:firstLine="57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2025年度收、支总计91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974.37元，比上年减少6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552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794.27元，下降</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w:t>
      </w:r>
    </w:p>
    <w:p>
      <w:pPr>
        <w:pageBreakBefore w:val="0"/>
        <w:tabs>
          <w:tab w:val="center" w:pos="6979"/>
        </w:tabs>
        <w:kinsoku/>
        <w:wordWrap/>
        <w:overflowPunct/>
        <w:topLinePunct w:val="0"/>
        <w:autoSpaceDE/>
        <w:autoSpaceDN/>
        <w:bidi w:val="0"/>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（一）收入决算说明</w:t>
      </w:r>
    </w:p>
    <w:p>
      <w:pPr>
        <w:pageBreakBefore w:val="0"/>
        <w:tabs>
          <w:tab w:val="center" w:pos="6979"/>
        </w:tabs>
        <w:kinsoku/>
        <w:wordWrap/>
        <w:overflowPunct/>
        <w:topLinePunct w:val="0"/>
        <w:autoSpaceDE/>
        <w:autoSpaceDN/>
        <w:bidi w:val="0"/>
        <w:spacing w:line="560" w:lineRule="exact"/>
        <w:ind w:firstLine="57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2025年度本年收入合计</w:t>
      </w:r>
      <w:bookmarkStart w:id="0" w:name="OLE_LINK1"/>
      <w:r>
        <w:rPr>
          <w:rFonts w:hint="eastAsia" w:ascii="仿宋_GB2312" w:hAnsi="仿宋_GB2312" w:eastAsia="仿宋_GB2312" w:cs="仿宋_GB2312"/>
          <w:sz w:val="32"/>
          <w:szCs w:val="32"/>
        </w:rPr>
        <w:t>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974.37</w:t>
      </w:r>
      <w:bookmarkEnd w:id="0"/>
      <w:r>
        <w:rPr>
          <w:rFonts w:hint="eastAsia" w:ascii="仿宋_GB2312" w:hAnsi="仿宋_GB2312" w:eastAsia="仿宋_GB2312" w:cs="仿宋_GB2312"/>
          <w:sz w:val="32"/>
          <w:szCs w:val="32"/>
        </w:rPr>
        <w:t>元，比上年</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170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295.88元，</w:t>
      </w:r>
      <w:r>
        <w:rPr>
          <w:rFonts w:hint="eastAsia" w:ascii="仿宋_GB2312" w:hAnsi="仿宋_GB2312" w:eastAsia="仿宋_GB2312" w:cs="仿宋_GB2312"/>
          <w:sz w:val="32"/>
          <w:szCs w:val="32"/>
          <w:lang w:val="en-US" w:eastAsia="zh-CN"/>
        </w:rPr>
        <w:t>增长12.5</w:t>
      </w:r>
      <w:r>
        <w:rPr>
          <w:rFonts w:hint="eastAsia" w:ascii="仿宋_GB2312" w:hAnsi="仿宋_GB2312" w:eastAsia="仿宋_GB2312" w:cs="仿宋_GB2312"/>
          <w:sz w:val="32"/>
          <w:szCs w:val="32"/>
        </w:rPr>
        <w:t>%。</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1.财政拨款收入91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974.37元，占收入合计的100%。其中：一般公共预算财政拨款收入90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902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011.32元，占收入合计的99.</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%；政府性基金预算财政拨款收入0元，占收入合计的0%；国有资本经营预算财政拨款收入561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963.05元，占收入合计的0.6%；</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2.上级补助收入0元，占收入合计的0%；</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3.事业收入0元，占收入合计的0%；</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4.经营收入0元，占收入合计的0%；</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5.附属单位上缴收入0元，占收入合计的0%；</w:t>
      </w:r>
    </w:p>
    <w:p>
      <w:pPr>
        <w:pageBreakBefore w:val="0"/>
        <w:tabs>
          <w:tab w:val="center" w:pos="6979"/>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6.其他收入0元，占收入合计的0%。</w:t>
      </w:r>
    </w:p>
    <w:p>
      <w:pPr>
        <w:pStyle w:val="4"/>
        <w:jc w:val="center"/>
      </w:pPr>
      <w:r>
        <w:rPr>
          <w:rFonts w:hint="eastAsia" w:ascii="仿宋_GB2312" w:eastAsia="仿宋_GB2312"/>
          <w:color w:val="000000"/>
          <w:sz w:val="32"/>
        </w:rPr>
        <w:t>图1：收入决算</w:t>
      </w:r>
    </w:p>
    <w:p>
      <w:pPr>
        <w:pStyle w:val="5"/>
        <w:ind w:firstLine="420"/>
        <w:jc w:val="both"/>
      </w:pPr>
      <w: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ageBreakBefore w:val="0"/>
        <w:tabs>
          <w:tab w:val="center" w:pos="6979"/>
        </w:tabs>
        <w:kinsoku/>
        <w:wordWrap/>
        <w:overflowPunct/>
        <w:topLinePunct w:val="0"/>
        <w:autoSpaceDE/>
        <w:autoSpaceDN/>
        <w:bidi w:val="0"/>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（二）支出决算说明</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2025年度本年支出合计</w:t>
      </w:r>
      <w:r>
        <w:rPr>
          <w:rFonts w:ascii="仿宋_GB2312" w:eastAsia="仿宋_GB2312"/>
          <w:sz w:val="32"/>
          <w:szCs w:val="32"/>
        </w:rPr>
        <w:t>91</w:t>
      </w:r>
      <w:r>
        <w:rPr>
          <w:rFonts w:hint="eastAsia" w:ascii="仿宋_GB2312" w:eastAsia="仿宋_GB2312"/>
          <w:sz w:val="32"/>
          <w:szCs w:val="32"/>
          <w:lang w:val="en-US" w:eastAsia="zh-CN"/>
        </w:rPr>
        <w:t>,</w:t>
      </w:r>
      <w:r>
        <w:rPr>
          <w:rFonts w:ascii="仿宋_GB2312" w:eastAsia="仿宋_GB2312"/>
          <w:sz w:val="32"/>
          <w:szCs w:val="32"/>
        </w:rPr>
        <w:t>463</w:t>
      </w:r>
      <w:r>
        <w:rPr>
          <w:rFonts w:hint="eastAsia" w:ascii="仿宋_GB2312" w:eastAsia="仿宋_GB2312"/>
          <w:sz w:val="32"/>
          <w:szCs w:val="32"/>
          <w:lang w:val="en-US" w:eastAsia="zh-CN"/>
        </w:rPr>
        <w:t>,</w:t>
      </w:r>
      <w:r>
        <w:rPr>
          <w:rFonts w:ascii="仿宋_GB2312" w:eastAsia="仿宋_GB2312"/>
          <w:sz w:val="32"/>
          <w:szCs w:val="32"/>
        </w:rPr>
        <w:t>974.37</w:t>
      </w:r>
      <w:r>
        <w:rPr>
          <w:rFonts w:hint="eastAsia" w:ascii="仿宋_GB2312" w:eastAsia="仿宋_GB2312"/>
          <w:sz w:val="32"/>
          <w:szCs w:val="32"/>
        </w:rPr>
        <w:t>元，</w:t>
      </w:r>
      <w:r>
        <w:rPr>
          <w:rFonts w:ascii="仿宋_GB2312" w:eastAsia="仿宋_GB2312"/>
          <w:sz w:val="32"/>
          <w:szCs w:val="32"/>
        </w:rPr>
        <w:t>比上年</w:t>
      </w:r>
      <w:r>
        <w:rPr>
          <w:rFonts w:hint="eastAsia" w:ascii="仿宋_GB2312" w:eastAsia="仿宋_GB2312"/>
          <w:sz w:val="32"/>
          <w:szCs w:val="32"/>
        </w:rPr>
        <w:t>减少6</w:t>
      </w:r>
      <w:r>
        <w:rPr>
          <w:rFonts w:hint="eastAsia" w:ascii="仿宋_GB2312" w:eastAsia="仿宋_GB2312"/>
          <w:sz w:val="32"/>
          <w:szCs w:val="32"/>
          <w:lang w:val="en-US" w:eastAsia="zh-CN"/>
        </w:rPr>
        <w:t>,</w:t>
      </w:r>
      <w:r>
        <w:rPr>
          <w:rFonts w:hint="eastAsia" w:ascii="仿宋_GB2312" w:eastAsia="仿宋_GB2312"/>
          <w:sz w:val="32"/>
          <w:szCs w:val="32"/>
        </w:rPr>
        <w:t>552</w:t>
      </w:r>
      <w:r>
        <w:rPr>
          <w:rFonts w:hint="eastAsia" w:ascii="仿宋_GB2312" w:eastAsia="仿宋_GB2312"/>
          <w:sz w:val="32"/>
          <w:szCs w:val="32"/>
          <w:lang w:val="en-US" w:eastAsia="zh-CN"/>
        </w:rPr>
        <w:t>,</w:t>
      </w:r>
      <w:r>
        <w:rPr>
          <w:rFonts w:hint="eastAsia" w:ascii="仿宋_GB2312" w:eastAsia="仿宋_GB2312"/>
          <w:sz w:val="32"/>
          <w:szCs w:val="32"/>
        </w:rPr>
        <w:t>794.27元，下降</w:t>
      </w:r>
      <w:r>
        <w:rPr>
          <w:rFonts w:hint="eastAsia" w:ascii="仿宋_GB2312" w:eastAsia="仿宋_GB2312"/>
          <w:sz w:val="32"/>
          <w:szCs w:val="32"/>
          <w:lang w:val="en-US" w:eastAsia="zh-CN"/>
        </w:rPr>
        <w:t>6.7</w:t>
      </w:r>
      <w:r>
        <w:rPr>
          <w:rFonts w:hint="eastAsia" w:ascii="仿宋_GB2312" w:eastAsia="仿宋_GB2312"/>
          <w:sz w:val="32"/>
          <w:szCs w:val="32"/>
        </w:rPr>
        <w:t>%，其中：基本支出</w:t>
      </w:r>
      <w:r>
        <w:rPr>
          <w:rFonts w:ascii="仿宋_GB2312" w:eastAsia="仿宋_GB2312"/>
          <w:sz w:val="32"/>
          <w:szCs w:val="32"/>
        </w:rPr>
        <w:t>31</w:t>
      </w:r>
      <w:r>
        <w:rPr>
          <w:rFonts w:hint="eastAsia" w:ascii="仿宋_GB2312" w:eastAsia="仿宋_GB2312"/>
          <w:sz w:val="32"/>
          <w:szCs w:val="32"/>
          <w:lang w:val="en-US" w:eastAsia="zh-CN"/>
        </w:rPr>
        <w:t>,</w:t>
      </w:r>
      <w:r>
        <w:rPr>
          <w:rFonts w:ascii="仿宋_GB2312" w:eastAsia="仿宋_GB2312"/>
          <w:sz w:val="32"/>
          <w:szCs w:val="32"/>
        </w:rPr>
        <w:t>250</w:t>
      </w:r>
      <w:r>
        <w:rPr>
          <w:rFonts w:hint="eastAsia" w:ascii="仿宋_GB2312" w:eastAsia="仿宋_GB2312"/>
          <w:sz w:val="32"/>
          <w:szCs w:val="32"/>
          <w:lang w:val="en-US" w:eastAsia="zh-CN"/>
        </w:rPr>
        <w:t>,</w:t>
      </w:r>
      <w:r>
        <w:rPr>
          <w:rFonts w:ascii="仿宋_GB2312" w:eastAsia="仿宋_GB2312"/>
          <w:sz w:val="32"/>
          <w:szCs w:val="32"/>
        </w:rPr>
        <w:t>934.91</w:t>
      </w:r>
      <w:r>
        <w:rPr>
          <w:rFonts w:hint="eastAsia" w:ascii="仿宋_GB2312" w:eastAsia="仿宋_GB2312"/>
          <w:sz w:val="32"/>
          <w:szCs w:val="32"/>
        </w:rPr>
        <w:t>元，占支出合计的34.</w:t>
      </w:r>
      <w:r>
        <w:rPr>
          <w:rFonts w:hint="eastAsia" w:ascii="仿宋_GB2312" w:eastAsia="仿宋_GB2312"/>
          <w:sz w:val="32"/>
          <w:szCs w:val="32"/>
          <w:lang w:val="en-US" w:eastAsia="zh-CN"/>
        </w:rPr>
        <w:t>2</w:t>
      </w:r>
      <w:r>
        <w:rPr>
          <w:rFonts w:hint="eastAsia" w:ascii="仿宋_GB2312" w:eastAsia="仿宋_GB2312"/>
          <w:sz w:val="32"/>
          <w:szCs w:val="32"/>
        </w:rPr>
        <w:t>%；项目支出</w:t>
      </w:r>
      <w:r>
        <w:rPr>
          <w:rFonts w:ascii="仿宋_GB2312" w:eastAsia="仿宋_GB2312"/>
          <w:sz w:val="32"/>
          <w:szCs w:val="32"/>
        </w:rPr>
        <w:t>60</w:t>
      </w:r>
      <w:r>
        <w:rPr>
          <w:rFonts w:hint="eastAsia" w:ascii="仿宋_GB2312" w:eastAsia="仿宋_GB2312"/>
          <w:sz w:val="32"/>
          <w:szCs w:val="32"/>
          <w:lang w:val="en-US" w:eastAsia="zh-CN"/>
        </w:rPr>
        <w:t>,</w:t>
      </w:r>
      <w:r>
        <w:rPr>
          <w:rFonts w:ascii="仿宋_GB2312" w:eastAsia="仿宋_GB2312"/>
          <w:sz w:val="32"/>
          <w:szCs w:val="32"/>
        </w:rPr>
        <w:t>213</w:t>
      </w:r>
      <w:r>
        <w:rPr>
          <w:rFonts w:hint="eastAsia" w:ascii="仿宋_GB2312" w:eastAsia="仿宋_GB2312"/>
          <w:sz w:val="32"/>
          <w:szCs w:val="32"/>
          <w:lang w:val="en-US" w:eastAsia="zh-CN"/>
        </w:rPr>
        <w:t>,</w:t>
      </w:r>
      <w:r>
        <w:rPr>
          <w:rFonts w:ascii="仿宋_GB2312" w:eastAsia="仿宋_GB2312"/>
          <w:sz w:val="32"/>
          <w:szCs w:val="32"/>
        </w:rPr>
        <w:t>039.46</w:t>
      </w:r>
      <w:r>
        <w:rPr>
          <w:rFonts w:hint="eastAsia" w:ascii="仿宋_GB2312" w:eastAsia="仿宋_GB2312"/>
          <w:sz w:val="32"/>
          <w:szCs w:val="32"/>
        </w:rPr>
        <w:t>元，占支出合计的65.8%;上缴上级支出</w:t>
      </w:r>
      <w:r>
        <w:rPr>
          <w:rFonts w:ascii="仿宋_GB2312" w:eastAsia="仿宋_GB2312"/>
          <w:sz w:val="32"/>
          <w:szCs w:val="32"/>
        </w:rPr>
        <w:t>0</w:t>
      </w:r>
      <w:r>
        <w:rPr>
          <w:rFonts w:hint="eastAsia" w:ascii="仿宋_GB2312" w:eastAsia="仿宋_GB2312"/>
          <w:sz w:val="32"/>
          <w:szCs w:val="32"/>
        </w:rPr>
        <w:t>元，占支出合计的0%；经营支出</w:t>
      </w:r>
      <w:r>
        <w:rPr>
          <w:rFonts w:ascii="仿宋_GB2312" w:eastAsia="仿宋_GB2312"/>
          <w:sz w:val="32"/>
          <w:szCs w:val="32"/>
        </w:rPr>
        <w:t>0</w:t>
      </w:r>
      <w:r>
        <w:rPr>
          <w:rFonts w:hint="eastAsia" w:ascii="仿宋_GB2312" w:eastAsia="仿宋_GB2312"/>
          <w:sz w:val="32"/>
          <w:szCs w:val="32"/>
        </w:rPr>
        <w:t>元，占支出合计的0%；对附属单位补助支出</w:t>
      </w:r>
      <w:r>
        <w:rPr>
          <w:rFonts w:ascii="仿宋_GB2312" w:eastAsia="仿宋_GB2312"/>
          <w:sz w:val="32"/>
          <w:szCs w:val="32"/>
        </w:rPr>
        <w:t>0</w:t>
      </w:r>
      <w:r>
        <w:rPr>
          <w:rFonts w:hint="eastAsia" w:ascii="仿宋_GB2312" w:eastAsia="仿宋_GB2312"/>
          <w:sz w:val="32"/>
          <w:szCs w:val="32"/>
        </w:rPr>
        <w:t>元，占支出合计的0%。</w:t>
      </w:r>
    </w:p>
    <w:p>
      <w:pPr>
        <w:pStyle w:val="4"/>
        <w:jc w:val="center"/>
        <w:rPr>
          <w:rFonts w:ascii="仿宋_GB2312" w:eastAsia="仿宋_GB2312"/>
          <w:color w:val="000000"/>
          <w:sz w:val="32"/>
        </w:rPr>
      </w:pPr>
      <w:r>
        <w:rPr>
          <w:rFonts w:hint="eastAsia" w:ascii="仿宋_GB2312" w:eastAsia="仿宋_GB2312"/>
          <w:color w:val="000000"/>
          <w:sz w:val="32"/>
        </w:rPr>
        <w:t>图2：支出决算</w:t>
      </w:r>
    </w:p>
    <w:p>
      <w:pPr>
        <w:jc w:val="both"/>
        <w:rPr>
          <w:rFonts w:ascii="黑体" w:eastAsia="黑体"/>
          <w:b/>
          <w:sz w:val="28"/>
          <w:szCs w:val="28"/>
        </w:rPr>
      </w:pPr>
      <w:r>
        <w:rPr>
          <w:rFonts w:hint="eastAsia" w:ascii="黑体" w:eastAsia="黑体"/>
          <w:b/>
          <w:sz w:val="28"/>
          <w:szCs w:val="28"/>
          <w:lang w:val="en-US" w:eastAsia="zh-CN"/>
        </w:rPr>
        <w:t xml:space="preserve">             </w:t>
      </w:r>
      <w:r>
        <w:rPr>
          <w:rFonts w:hint="eastAsia" w:ascii="黑体" w:eastAsia="黑体"/>
          <w:b/>
          <w:sz w:val="28"/>
          <w:szCs w:val="28"/>
          <w:lang w:eastAsia="zh-CN"/>
        </w:rPr>
        <w:drawing>
          <wp:inline distT="0" distB="0" distL="114300" distR="114300">
            <wp:extent cx="3453765" cy="2162175"/>
            <wp:effectExtent l="0" t="0" r="13335" b="9525"/>
            <wp:docPr id="2" name="图片 2" descr="22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222222"/>
                    <pic:cNvPicPr>
                      <a:picLocks noChangeAspect="1"/>
                    </pic:cNvPicPr>
                  </pic:nvPicPr>
                  <pic:blipFill>
                    <a:blip r:embed="rId7"/>
                    <a:stretch>
                      <a:fillRect/>
                    </a:stretch>
                  </pic:blipFill>
                  <pic:spPr>
                    <a:xfrm>
                      <a:off x="0" y="0"/>
                      <a:ext cx="3453765" cy="2162175"/>
                    </a:xfrm>
                    <a:prstGeom prst="rect">
                      <a:avLst/>
                    </a:prstGeom>
                  </pic:spPr>
                </pic:pic>
              </a:graphicData>
            </a:graphic>
          </wp:inline>
        </w:drawing>
      </w:r>
      <w:r>
        <w:rPr>
          <w:rFonts w:hint="eastAsia" w:ascii="黑体" w:eastAsia="黑体"/>
          <w:b/>
          <w:sz w:val="28"/>
          <w:szCs w:val="28"/>
          <w:lang w:val="en-US" w:eastAsia="zh-CN"/>
        </w:rPr>
        <w:t xml:space="preserve">       </w:t>
      </w:r>
    </w:p>
    <w:p>
      <w:pPr>
        <w:keepNext w:val="0"/>
        <w:keepLines w:val="0"/>
        <w:pageBreakBefore w:val="0"/>
        <w:widowControl w:val="0"/>
        <w:tabs>
          <w:tab w:val="center" w:pos="6979"/>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b/>
          <w:sz w:val="32"/>
          <w:szCs w:val="32"/>
        </w:rPr>
      </w:pPr>
      <w:r>
        <w:rPr>
          <w:rFonts w:hint="eastAsia" w:ascii="黑体" w:hAnsi="黑体" w:eastAsia="黑体" w:cs="黑体"/>
          <w:b w:val="0"/>
          <w:bCs/>
          <w:sz w:val="32"/>
          <w:szCs w:val="32"/>
        </w:rPr>
        <w:t>三、财政拨款收入支出决算总体情况说明</w:t>
      </w:r>
    </w:p>
    <w:p>
      <w:pPr>
        <w:keepNext w:val="0"/>
        <w:keepLines w:val="0"/>
        <w:pageBreakBefore w:val="0"/>
        <w:widowControl w:val="0"/>
        <w:kinsoku/>
        <w:wordWrap/>
        <w:overflowPunct/>
        <w:topLinePunct w:val="0"/>
        <w:bidi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rPr>
        <w:t>2025年度财政拨款收、支总计91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974.37元，比上年减少6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552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794.27元，下降</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highlight w:val="none"/>
          <w:u w:val="none"/>
          <w:lang w:val="en-US" w:eastAsia="zh-CN"/>
        </w:rPr>
        <w:t>上年含统余指标项目,本年无统余指标项目支出。</w:t>
      </w:r>
    </w:p>
    <w:p>
      <w:pPr>
        <w:keepNext w:val="0"/>
        <w:keepLines w:val="0"/>
        <w:pageBreakBefore w:val="0"/>
        <w:widowControl w:val="0"/>
        <w:tabs>
          <w:tab w:val="center" w:pos="6979"/>
        </w:tabs>
        <w:kinsoku/>
        <w:wordWrap/>
        <w:overflowPunct/>
        <w:topLinePunct w:val="0"/>
        <w:bidi w:val="0"/>
        <w:spacing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四、一般公共预算财政拨款支出决算情况说明</w:t>
      </w:r>
    </w:p>
    <w:p>
      <w:pPr>
        <w:keepNext w:val="0"/>
        <w:keepLines w:val="0"/>
        <w:pageBreakBefore w:val="0"/>
        <w:widowControl w:val="0"/>
        <w:tabs>
          <w:tab w:val="center" w:pos="6979"/>
        </w:tabs>
        <w:kinsoku/>
        <w:wordWrap/>
        <w:overflowPunct/>
        <w:topLinePunct w:val="0"/>
        <w:autoSpaceDE/>
        <w:autoSpaceDN/>
        <w:bidi w:val="0"/>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（一）一般公共预算财政拨款支出决算总体情况</w:t>
      </w:r>
    </w:p>
    <w:p>
      <w:pPr>
        <w:keepNext w:val="0"/>
        <w:keepLines w:val="0"/>
        <w:pageBreakBefore w:val="0"/>
        <w:widowControl w:val="0"/>
        <w:tabs>
          <w:tab w:val="center" w:pos="6979"/>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2025年度一般公共预算财政拨款支出90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902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011.32元，主要用于以下方面（按大类）：</w:t>
      </w:r>
      <w:r>
        <w:rPr>
          <w:rFonts w:hint="eastAsia" w:ascii="仿宋_GB2312" w:hAnsi="仿宋_GB2312" w:eastAsia="仿宋_GB2312" w:cs="仿宋_GB2312"/>
          <w:sz w:val="32"/>
          <w:szCs w:val="32"/>
          <w:highlight w:val="none"/>
        </w:rPr>
        <w:t>一般公共服务</w:t>
      </w:r>
      <w:r>
        <w:rPr>
          <w:rFonts w:hint="eastAsia" w:ascii="仿宋_GB2312" w:hAnsi="仿宋_GB2312" w:eastAsia="仿宋_GB2312" w:cs="仿宋_GB2312"/>
          <w:sz w:val="32"/>
          <w:szCs w:val="32"/>
        </w:rPr>
        <w:t>支出68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914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307.38元，占本年财政拨款支出</w:t>
      </w:r>
      <w:r>
        <w:rPr>
          <w:rFonts w:hint="eastAsia" w:ascii="仿宋_GB2312" w:hAnsi="仿宋_GB2312" w:eastAsia="仿宋_GB2312" w:cs="仿宋_GB2312"/>
          <w:sz w:val="32"/>
          <w:szCs w:val="32"/>
          <w:lang w:val="en-US" w:eastAsia="zh-CN"/>
        </w:rPr>
        <w:t>75.8</w:t>
      </w:r>
      <w:r>
        <w:rPr>
          <w:rFonts w:hint="eastAsia" w:ascii="仿宋_GB2312" w:hAnsi="仿宋_GB2312" w:eastAsia="仿宋_GB2312" w:cs="仿宋_GB2312"/>
          <w:sz w:val="32"/>
          <w:szCs w:val="32"/>
        </w:rPr>
        <w:t>%；国防支出6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341.68元，占本年财政拨款支出</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lang w:eastAsia="zh-CN"/>
        </w:rPr>
        <w:t>；文化旅游体育与传媒支出2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181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276.11</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2.4%；社会保障和就业支出4,034,840.17</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4.4%；卫生健康支出1,133,478.41</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1.2%；节能环保支出3,807,000.00</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4.2%；城乡社区支出10,804,594.37</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11.9%；资源勘探工业信息等支出20,173.20</w:t>
      </w:r>
      <w:r>
        <w:rPr>
          <w:rFonts w:hint="eastAsia" w:ascii="仿宋_GB2312" w:hAnsi="仿宋_GB2312" w:eastAsia="仿宋_GB2312" w:cs="仿宋_GB2312"/>
          <w:sz w:val="32"/>
          <w:szCs w:val="32"/>
        </w:rPr>
        <w:t>元，占本年财政拨款支出</w:t>
      </w:r>
      <w:r>
        <w:rPr>
          <w:rFonts w:hint="eastAsia" w:ascii="仿宋_GB2312" w:hAnsi="仿宋_GB2312" w:eastAsia="仿宋_GB2312" w:cs="仿宋_GB2312"/>
          <w:sz w:val="32"/>
          <w:szCs w:val="32"/>
          <w:lang w:val="en-US" w:eastAsia="zh-CN"/>
        </w:rPr>
        <w:t>0.1%。</w:t>
      </w:r>
    </w:p>
    <w:p>
      <w:pPr>
        <w:keepNext w:val="0"/>
        <w:keepLines w:val="0"/>
        <w:pageBreakBefore w:val="0"/>
        <w:widowControl w:val="0"/>
        <w:tabs>
          <w:tab w:val="center" w:pos="6979"/>
        </w:tabs>
        <w:kinsoku/>
        <w:wordWrap/>
        <w:overflowPunct/>
        <w:topLinePunct w:val="0"/>
        <w:autoSpaceDE/>
        <w:autoSpaceDN/>
        <w:bidi w:val="0"/>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（二）一般公共预算财政拨款支出决算具体情况</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“一般公共服务支出”（类）2025年度年初预算</w:t>
      </w:r>
      <w:r>
        <w:rPr>
          <w:rFonts w:hint="eastAsia" w:ascii="仿宋_GB2312" w:hAnsi="仿宋_GB2312" w:eastAsia="仿宋_GB2312" w:cs="仿宋_GB2312"/>
          <w:sz w:val="32"/>
          <w:szCs w:val="32"/>
          <w:lang w:val="en-US" w:eastAsia="zh-CN"/>
        </w:rPr>
        <w:t>53,333,103.38</w:t>
      </w:r>
      <w:r>
        <w:rPr>
          <w:rFonts w:hint="eastAsia" w:ascii="仿宋_GB2312" w:hAnsi="仿宋_GB2312" w:eastAsia="仿宋_GB2312" w:cs="仿宋_GB2312"/>
          <w:sz w:val="32"/>
          <w:szCs w:val="32"/>
        </w:rPr>
        <w:t>元，2025年度决算68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914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307.38元，完成</w:t>
      </w:r>
      <w:r>
        <w:rPr>
          <w:rFonts w:hint="eastAsia" w:ascii="仿宋_GB2312" w:hAnsi="仿宋_GB2312" w:eastAsia="仿宋_GB2312" w:cs="仿宋_GB2312"/>
          <w:sz w:val="32"/>
          <w:szCs w:val="32"/>
          <w:highlight w:val="none"/>
        </w:rPr>
        <w:t>年初预算的</w:t>
      </w:r>
      <w:r>
        <w:rPr>
          <w:rFonts w:hint="eastAsia" w:ascii="仿宋_GB2312" w:hAnsi="仿宋_GB2312" w:eastAsia="仿宋_GB2312" w:cs="仿宋_GB2312"/>
          <w:sz w:val="32"/>
          <w:szCs w:val="32"/>
          <w:highlight w:val="none"/>
          <w:lang w:val="en-US" w:eastAsia="zh-CN"/>
        </w:rPr>
        <w:t>129.2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。其中：“政府办公厅（室）及相关机构事务”（款）2025年度年初预算36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842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032.81元，2025年度决算37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458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163.09元，完成年初预算的</w:t>
      </w:r>
      <w:r>
        <w:rPr>
          <w:rFonts w:hint="eastAsia" w:ascii="仿宋_GB2312" w:hAnsi="仿宋_GB2312" w:eastAsia="仿宋_GB2312" w:cs="仿宋_GB2312"/>
          <w:sz w:val="32"/>
          <w:szCs w:val="32"/>
          <w:lang w:val="en-US" w:eastAsia="zh-CN"/>
        </w:rPr>
        <w:t>101.7</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人员保险和公积金调整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“发展与改革事务”（款）2025年度年初预算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999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999.25元</w:t>
      </w:r>
      <w:r>
        <w:rPr>
          <w:rFonts w:hint="eastAsia" w:ascii="仿宋_GB2312" w:hAnsi="仿宋_GB2312" w:eastAsia="仿宋_GB2312" w:cs="仿宋_GB2312"/>
          <w:sz w:val="32"/>
          <w:szCs w:val="32"/>
          <w:lang w:val="en-US" w:eastAsia="zh-CN"/>
        </w:rPr>
        <w:t>。主要原因：追加东辛房街道石门营公共活动空间改造项目；</w:t>
      </w:r>
      <w:r>
        <w:rPr>
          <w:rFonts w:hint="eastAsia" w:ascii="仿宋_GB2312" w:hAnsi="仿宋_GB2312" w:eastAsia="仿宋_GB2312" w:cs="仿宋_GB2312"/>
          <w:sz w:val="32"/>
          <w:szCs w:val="32"/>
        </w:rPr>
        <w:t>“财政事务”（款）2025年度年初预算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20,000.00元。</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w:t>
      </w:r>
      <w:r>
        <w:rPr>
          <w:rFonts w:hint="eastAsia" w:ascii="仿宋_GB2312" w:hAnsi="仿宋_GB2312" w:eastAsia="仿宋_GB2312" w:cs="仿宋_GB2312"/>
          <w:sz w:val="32"/>
          <w:szCs w:val="32"/>
        </w:rPr>
        <w:t>成本预算绩效分析服务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“纪检监察事务”（款）2025年度年初预算</w:t>
      </w:r>
      <w:r>
        <w:rPr>
          <w:rFonts w:hint="eastAsia" w:ascii="仿宋_GB2312" w:hAnsi="仿宋_GB2312" w:eastAsia="仿宋_GB2312" w:cs="仿宋_GB2312"/>
          <w:sz w:val="32"/>
          <w:szCs w:val="32"/>
          <w:lang w:val="en-US" w:eastAsia="zh-CN"/>
        </w:rPr>
        <w:t>45,000.00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45,000.00</w:t>
      </w:r>
      <w:r>
        <w:rPr>
          <w:rFonts w:hint="eastAsia" w:ascii="仿宋_GB2312" w:hAnsi="仿宋_GB2312" w:eastAsia="仿宋_GB2312" w:cs="仿宋_GB2312"/>
          <w:sz w:val="32"/>
          <w:szCs w:val="32"/>
        </w:rPr>
        <w:t>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“组织事务”（款）2025年度年初预算</w:t>
      </w:r>
      <w:r>
        <w:rPr>
          <w:rFonts w:hint="eastAsia" w:ascii="仿宋_GB2312" w:hAnsi="仿宋_GB2312" w:eastAsia="仿宋_GB2312" w:cs="仿宋_GB2312"/>
          <w:sz w:val="32"/>
          <w:szCs w:val="32"/>
          <w:lang w:val="en-US" w:eastAsia="zh-CN"/>
        </w:rPr>
        <w:t>2,087,960.00</w:t>
      </w:r>
      <w:r>
        <w:rPr>
          <w:rFonts w:hint="eastAsia" w:ascii="仿宋_GB2312" w:hAnsi="仿宋_GB2312" w:eastAsia="仿宋_GB2312" w:cs="仿宋_GB2312"/>
          <w:sz w:val="32"/>
          <w:szCs w:val="32"/>
        </w:rPr>
        <w:t>元，2025年度决算3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358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652.96元，完成年初预算的</w:t>
      </w:r>
      <w:r>
        <w:rPr>
          <w:rFonts w:hint="eastAsia" w:ascii="仿宋_GB2312" w:hAnsi="仿宋_GB2312" w:eastAsia="仿宋_GB2312" w:cs="仿宋_GB2312"/>
          <w:sz w:val="32"/>
          <w:szCs w:val="32"/>
          <w:lang w:val="en-US" w:eastAsia="zh-CN"/>
        </w:rPr>
        <w:t>160.9%。</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年中追加的党组织服务群众经费和党建经费剩余部分；</w:t>
      </w:r>
      <w:r>
        <w:rPr>
          <w:rFonts w:hint="eastAsia" w:ascii="仿宋_GB2312" w:hAnsi="仿宋_GB2312" w:eastAsia="仿宋_GB2312" w:cs="仿宋_GB2312"/>
          <w:sz w:val="32"/>
          <w:szCs w:val="32"/>
        </w:rPr>
        <w:t>“社会工作事务”（款）2025年度年初预算14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358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110.57元，2025年度决算24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032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492.08元，完成年初预算的</w:t>
      </w:r>
      <w:r>
        <w:rPr>
          <w:rFonts w:hint="eastAsia" w:ascii="仿宋_GB2312" w:hAnsi="仿宋_GB2312" w:eastAsia="仿宋_GB2312" w:cs="仿宋_GB2312"/>
          <w:sz w:val="32"/>
          <w:szCs w:val="32"/>
          <w:lang w:val="en-US" w:eastAsia="zh-CN"/>
        </w:rPr>
        <w:t>167.4%。</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追加社工部专项资金。</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“国防支出”(类)2025年度年初预算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6,341.68</w:t>
      </w:r>
      <w:r>
        <w:rPr>
          <w:rFonts w:hint="eastAsia" w:ascii="仿宋_GB2312" w:hAnsi="仿宋_GB2312" w:eastAsia="仿宋_GB2312" w:cs="仿宋_GB2312"/>
          <w:sz w:val="32"/>
          <w:szCs w:val="32"/>
        </w:rPr>
        <w:t>元。其中：“国防动员”（款）2025年度年初预算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6,341.68</w:t>
      </w:r>
      <w:r>
        <w:rPr>
          <w:rFonts w:hint="eastAsia" w:ascii="仿宋_GB2312" w:hAnsi="仿宋_GB2312" w:eastAsia="仿宋_GB2312" w:cs="仿宋_GB2312"/>
          <w:sz w:val="32"/>
          <w:szCs w:val="32"/>
        </w:rPr>
        <w:t>元。主要原因：</w:t>
      </w:r>
      <w:r>
        <w:rPr>
          <w:rFonts w:hint="eastAsia" w:ascii="仿宋_GB2312" w:hAnsi="仿宋_GB2312" w:eastAsia="仿宋_GB2312" w:cs="仿宋_GB2312"/>
          <w:sz w:val="32"/>
          <w:szCs w:val="32"/>
          <w:lang w:val="en-US" w:eastAsia="zh-CN"/>
        </w:rPr>
        <w:t>追加</w:t>
      </w:r>
      <w:r>
        <w:rPr>
          <w:rFonts w:hint="eastAsia" w:ascii="仿宋_GB2312" w:hAnsi="仿宋_GB2312" w:eastAsia="仿宋_GB2312" w:cs="仿宋_GB2312"/>
          <w:sz w:val="32"/>
          <w:szCs w:val="32"/>
        </w:rPr>
        <w:t>疏整促地下空间专项行动项目。</w:t>
      </w:r>
    </w:p>
    <w:p>
      <w:pPr>
        <w:keepNext w:val="0"/>
        <w:keepLines w:val="0"/>
        <w:pageBreakBefore w:val="0"/>
        <w:widowControl w:val="0"/>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“文化旅游体育与传媒支出”（类）2025年度年初预算</w:t>
      </w:r>
      <w:r>
        <w:rPr>
          <w:rFonts w:hint="eastAsia" w:ascii="仿宋_GB2312" w:hAnsi="仿宋_GB2312" w:eastAsia="仿宋_GB2312" w:cs="仿宋_GB2312"/>
          <w:sz w:val="32"/>
          <w:szCs w:val="32"/>
          <w:lang w:val="en-US" w:eastAsia="zh-CN"/>
        </w:rPr>
        <w:t>932,700.00</w:t>
      </w:r>
      <w:r>
        <w:rPr>
          <w:rFonts w:hint="eastAsia" w:ascii="仿宋_GB2312" w:hAnsi="仿宋_GB2312" w:eastAsia="仿宋_GB2312" w:cs="仿宋_GB2312"/>
          <w:sz w:val="32"/>
          <w:szCs w:val="32"/>
        </w:rPr>
        <w:t>元，2025年度决算2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181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276.11元，完成年初预算的</w:t>
      </w:r>
      <w:r>
        <w:rPr>
          <w:rFonts w:hint="eastAsia" w:ascii="仿宋_GB2312" w:hAnsi="仿宋_GB2312" w:eastAsia="仿宋_GB2312" w:cs="仿宋_GB2312"/>
          <w:sz w:val="32"/>
          <w:szCs w:val="32"/>
          <w:lang w:val="en-US" w:eastAsia="zh-CN"/>
        </w:rPr>
        <w:t>233.9</w:t>
      </w:r>
      <w:r>
        <w:rPr>
          <w:rFonts w:hint="eastAsia" w:ascii="仿宋_GB2312" w:hAnsi="仿宋_GB2312" w:eastAsia="仿宋_GB2312" w:cs="仿宋_GB2312"/>
          <w:sz w:val="32"/>
          <w:szCs w:val="32"/>
        </w:rPr>
        <w:t>%。其中：“文化和旅游”（款）2025年度年初预算932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1,981,332.51</w:t>
      </w:r>
      <w:r>
        <w:rPr>
          <w:rFonts w:hint="eastAsia" w:ascii="仿宋_GB2312" w:hAnsi="仿宋_GB2312" w:eastAsia="仿宋_GB2312" w:cs="仿宋_GB2312"/>
          <w:sz w:val="32"/>
          <w:szCs w:val="32"/>
        </w:rPr>
        <w:t>元，完成年初预算的</w:t>
      </w:r>
      <w:r>
        <w:rPr>
          <w:rFonts w:hint="eastAsia" w:ascii="仿宋_GB2312" w:hAnsi="仿宋_GB2312" w:eastAsia="仿宋_GB2312" w:cs="仿宋_GB2312"/>
          <w:sz w:val="32"/>
          <w:szCs w:val="32"/>
          <w:lang w:val="en-US" w:eastAsia="zh-CN"/>
        </w:rPr>
        <w:t>212.4%，</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1、追加</w:t>
      </w:r>
      <w:r>
        <w:rPr>
          <w:rFonts w:hint="eastAsia" w:ascii="仿宋_GB2312" w:hAnsi="仿宋_GB2312" w:eastAsia="仿宋_GB2312" w:cs="仿宋_GB2312"/>
          <w:sz w:val="32"/>
          <w:szCs w:val="32"/>
        </w:rPr>
        <w:t>2024年门头沟区创城重点难点硬件设施项目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2、年中追加年初预算不足部分；</w:t>
      </w:r>
      <w:r>
        <w:rPr>
          <w:rFonts w:hint="eastAsia" w:ascii="仿宋_GB2312" w:hAnsi="仿宋_GB2312" w:eastAsia="仿宋_GB2312" w:cs="仿宋_GB2312"/>
          <w:sz w:val="32"/>
          <w:szCs w:val="32"/>
        </w:rPr>
        <w:t>“体育”（款）2025年度年初预算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元，2025年度决算199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943.6</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追加乡镇（街道）全民健身场地器材补短板工程项目。</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“社会保障和就业支出”（类）2025年度年初预算</w:t>
      </w:r>
      <w:r>
        <w:rPr>
          <w:rFonts w:hint="eastAsia" w:ascii="仿宋_GB2312" w:hAnsi="仿宋_GB2312" w:eastAsia="仿宋_GB2312" w:cs="仿宋_GB2312"/>
          <w:sz w:val="32"/>
          <w:szCs w:val="32"/>
          <w:lang w:val="en-US" w:eastAsia="zh-CN"/>
        </w:rPr>
        <w:t>1,432,235.00</w:t>
      </w:r>
      <w:r>
        <w:rPr>
          <w:rFonts w:hint="eastAsia" w:ascii="仿宋_GB2312" w:hAnsi="仿宋_GB2312" w:eastAsia="仿宋_GB2312" w:cs="仿宋_GB2312"/>
          <w:sz w:val="32"/>
          <w:szCs w:val="32"/>
        </w:rPr>
        <w:t>元，2025年度决算4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034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840.17元，完成年初预算的</w:t>
      </w:r>
      <w:r>
        <w:rPr>
          <w:rFonts w:hint="eastAsia" w:ascii="仿宋_GB2312" w:hAnsi="仿宋_GB2312" w:eastAsia="仿宋_GB2312" w:cs="仿宋_GB2312"/>
          <w:sz w:val="32"/>
          <w:szCs w:val="32"/>
          <w:lang w:val="en-US" w:eastAsia="zh-CN"/>
        </w:rPr>
        <w:t>281.7</w:t>
      </w:r>
      <w:r>
        <w:rPr>
          <w:rFonts w:hint="eastAsia" w:ascii="仿宋_GB2312" w:hAnsi="仿宋_GB2312" w:eastAsia="仿宋_GB2312" w:cs="仿宋_GB2312"/>
          <w:sz w:val="32"/>
          <w:szCs w:val="32"/>
        </w:rPr>
        <w:t>%。其中：“人力资源和社会保障管理事务”（款）2025年度年初预算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元，2025年度决算46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172.7</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w:t>
      </w:r>
      <w:r>
        <w:rPr>
          <w:rFonts w:hint="eastAsia" w:ascii="仿宋_GB2312" w:hAnsi="仿宋_GB2312" w:eastAsia="仿宋_GB2312" w:cs="仿宋_GB2312"/>
          <w:sz w:val="32"/>
          <w:szCs w:val="32"/>
        </w:rPr>
        <w:t>失业人员自采暖补贴</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社区管理企业退休人员自采暖补贴</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“民政管理事务”（款）2025年度年初预算33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元，2025年度决算27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81.8%。</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调整拥军优属慰问经费项目；</w:t>
      </w:r>
      <w:r>
        <w:rPr>
          <w:rFonts w:hint="eastAsia" w:ascii="仿宋_GB2312" w:hAnsi="仿宋_GB2312" w:eastAsia="仿宋_GB2312" w:cs="仿宋_GB2312"/>
          <w:sz w:val="32"/>
          <w:szCs w:val="32"/>
        </w:rPr>
        <w:t>“行政事业单位养老支出”（款）2025年度年初预算249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196</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元，2025年度决算432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240.63</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173.4%。</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追加退休人员经费；</w:t>
      </w:r>
      <w:r>
        <w:rPr>
          <w:rFonts w:hint="eastAsia" w:ascii="仿宋_GB2312" w:hAnsi="仿宋_GB2312" w:eastAsia="仿宋_GB2312" w:cs="仿宋_GB2312"/>
          <w:sz w:val="32"/>
          <w:szCs w:val="32"/>
        </w:rPr>
        <w:t>“就业补助”（款）2025年度年初预算1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149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239</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401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592.94</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296.0%。</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w:t>
      </w:r>
      <w:r>
        <w:rPr>
          <w:rFonts w:hint="eastAsia" w:ascii="仿宋_GB2312" w:hAnsi="仿宋_GB2312" w:eastAsia="仿宋_GB2312" w:cs="仿宋_GB2312"/>
          <w:sz w:val="32"/>
          <w:szCs w:val="32"/>
        </w:rPr>
        <w:t>灵活就业补贴</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“抚恤”（款）2025年度年初预算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元，2025年度决算995.8</w:t>
      </w:r>
      <w:r>
        <w:rPr>
          <w:rFonts w:hint="eastAsia" w:ascii="仿宋_GB2312" w:hAnsi="仿宋_GB2312" w:eastAsia="仿宋_GB2312" w:cs="仿宋_GB2312"/>
          <w:sz w:val="32"/>
          <w:szCs w:val="32"/>
          <w:lang w:val="en-US" w:eastAsia="zh-CN"/>
        </w:rPr>
        <w:t>0元。</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追加慰问品购买经费项目；</w:t>
      </w:r>
      <w:r>
        <w:rPr>
          <w:rFonts w:hint="eastAsia" w:ascii="仿宋_GB2312" w:hAnsi="仿宋_GB2312" w:eastAsia="仿宋_GB2312" w:cs="仿宋_GB2312"/>
          <w:sz w:val="32"/>
          <w:szCs w:val="32"/>
        </w:rPr>
        <w:t>“社会福利”（款）2025年度年初预算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元，2025年度决算40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追加城乡无丧葬补助居民丧葬补贴项目；</w:t>
      </w:r>
      <w:r>
        <w:rPr>
          <w:rFonts w:hint="eastAsia" w:ascii="仿宋_GB2312" w:hAnsi="仿宋_GB2312" w:eastAsia="仿宋_GB2312" w:cs="仿宋_GB2312"/>
          <w:sz w:val="32"/>
          <w:szCs w:val="32"/>
        </w:rPr>
        <w:t>“临时救助”（款）2025年度年初预算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元，2025年度决算86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438.1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追加临时救助项目；</w:t>
      </w:r>
      <w:r>
        <w:rPr>
          <w:rFonts w:hint="eastAsia" w:ascii="仿宋_GB2312" w:hAnsi="仿宋_GB2312" w:eastAsia="仿宋_GB2312" w:cs="仿宋_GB2312"/>
          <w:sz w:val="32"/>
          <w:szCs w:val="32"/>
        </w:rPr>
        <w:t>“其他社会保障和就业支出”（款）2025年度年初预算800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400.00元，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四就近人员去世一人。</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“卫生健康支出”（类）2025年度年初预算</w:t>
      </w:r>
      <w:r>
        <w:rPr>
          <w:rFonts w:hint="eastAsia" w:ascii="仿宋_GB2312" w:hAnsi="仿宋_GB2312" w:eastAsia="仿宋_GB2312" w:cs="仿宋_GB2312"/>
          <w:sz w:val="32"/>
          <w:szCs w:val="32"/>
          <w:lang w:val="en-US" w:eastAsia="zh-CN"/>
        </w:rPr>
        <w:t>596,000.00</w:t>
      </w:r>
      <w:r>
        <w:rPr>
          <w:rFonts w:hint="eastAsia" w:ascii="仿宋_GB2312" w:hAnsi="仿宋_GB2312" w:eastAsia="仿宋_GB2312" w:cs="仿宋_GB2312"/>
          <w:sz w:val="32"/>
          <w:szCs w:val="32"/>
        </w:rPr>
        <w:t>元，2025年度决算1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133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478.41元，完成年初预算的</w:t>
      </w:r>
      <w:r>
        <w:rPr>
          <w:rFonts w:hint="eastAsia" w:ascii="仿宋_GB2312" w:hAnsi="仿宋_GB2312" w:eastAsia="仿宋_GB2312" w:cs="仿宋_GB2312"/>
          <w:sz w:val="32"/>
          <w:szCs w:val="32"/>
          <w:lang w:val="en-US" w:eastAsia="zh-CN"/>
        </w:rPr>
        <w:t>190.2</w:t>
      </w:r>
      <w:r>
        <w:rPr>
          <w:rFonts w:hint="eastAsia" w:ascii="仿宋_GB2312" w:hAnsi="仿宋_GB2312" w:eastAsia="仿宋_GB2312" w:cs="仿宋_GB2312"/>
          <w:sz w:val="32"/>
          <w:szCs w:val="32"/>
        </w:rPr>
        <w:t>%。其中：“公共卫生”（款）2025年度年初预算198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372,788.41元，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188.3%。</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年中追加严重精神障碍患者监护人看护管理补贴；</w:t>
      </w:r>
      <w:r>
        <w:rPr>
          <w:rFonts w:hint="eastAsia" w:ascii="仿宋_GB2312" w:hAnsi="仿宋_GB2312" w:eastAsia="仿宋_GB2312" w:cs="仿宋_GB2312"/>
          <w:sz w:val="32"/>
          <w:szCs w:val="32"/>
        </w:rPr>
        <w:t>“计划生育事务”（款）2025年度年初预算398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408,360.00元，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102.6%。</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调整辖区计划生育工作经费；</w:t>
      </w:r>
      <w:r>
        <w:rPr>
          <w:rFonts w:hint="eastAsia" w:ascii="仿宋_GB2312" w:hAnsi="仿宋_GB2312" w:eastAsia="仿宋_GB2312" w:cs="仿宋_GB2312"/>
          <w:sz w:val="32"/>
          <w:szCs w:val="32"/>
        </w:rPr>
        <w:t>“医疗救助”（款）2025年度年初预算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352,330.00元。</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追加退养人员医疗费项目。</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“节能环保支出”（类）2025年度年初预算</w:t>
      </w:r>
      <w:r>
        <w:rPr>
          <w:rFonts w:hint="eastAsia" w:ascii="仿宋_GB2312" w:hAnsi="仿宋_GB2312" w:eastAsia="仿宋_GB2312" w:cs="仿宋_GB2312"/>
          <w:sz w:val="32"/>
          <w:szCs w:val="32"/>
          <w:lang w:val="en-US" w:eastAsia="zh-CN"/>
        </w:rPr>
        <w:t>4,255,000.00</w:t>
      </w:r>
      <w:r>
        <w:rPr>
          <w:rFonts w:hint="eastAsia" w:ascii="仿宋_GB2312" w:hAnsi="仿宋_GB2312" w:eastAsia="仿宋_GB2312" w:cs="仿宋_GB2312"/>
          <w:sz w:val="32"/>
          <w:szCs w:val="32"/>
        </w:rPr>
        <w:t>元，2025年度决算3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807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元，完成年初预算的</w:t>
      </w:r>
      <w:r>
        <w:rPr>
          <w:rFonts w:hint="eastAsia" w:ascii="仿宋_GB2312" w:hAnsi="仿宋_GB2312" w:eastAsia="仿宋_GB2312" w:cs="仿宋_GB2312"/>
          <w:sz w:val="32"/>
          <w:szCs w:val="32"/>
          <w:lang w:val="en-US" w:eastAsia="zh-CN"/>
        </w:rPr>
        <w:t>89.5</w:t>
      </w:r>
      <w:r>
        <w:rPr>
          <w:rFonts w:hint="eastAsia" w:ascii="仿宋_GB2312" w:hAnsi="仿宋_GB2312" w:eastAsia="仿宋_GB2312" w:cs="仿宋_GB2312"/>
          <w:sz w:val="32"/>
          <w:szCs w:val="32"/>
        </w:rPr>
        <w:t>%。其中：污染防治”（款）2025年度年初预算</w:t>
      </w:r>
      <w:r>
        <w:rPr>
          <w:rFonts w:hint="eastAsia" w:ascii="仿宋_GB2312" w:hAnsi="仿宋_GB2312" w:eastAsia="仿宋_GB2312" w:cs="仿宋_GB2312"/>
          <w:sz w:val="32"/>
          <w:szCs w:val="32"/>
          <w:lang w:val="en-US" w:eastAsia="zh-CN"/>
        </w:rPr>
        <w:t>4,255,000.00</w:t>
      </w:r>
      <w:r>
        <w:rPr>
          <w:rFonts w:hint="eastAsia" w:ascii="仿宋_GB2312" w:hAnsi="仿宋_GB2312" w:eastAsia="仿宋_GB2312" w:cs="仿宋_GB2312"/>
          <w:sz w:val="32"/>
          <w:szCs w:val="32"/>
        </w:rPr>
        <w:t>元，2025年度决算3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807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元，完成年初预算的</w:t>
      </w:r>
      <w:r>
        <w:rPr>
          <w:rFonts w:hint="eastAsia" w:ascii="仿宋_GB2312" w:hAnsi="仿宋_GB2312" w:eastAsia="仿宋_GB2312" w:cs="仿宋_GB2312"/>
          <w:sz w:val="32"/>
          <w:szCs w:val="32"/>
          <w:lang w:val="en-US" w:eastAsia="zh-CN"/>
        </w:rPr>
        <w:t>89.5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大气污染防治精细化治理服务尾款结转下年支付。</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“城乡社区支出”（类）2025年度年初预算</w:t>
      </w:r>
      <w:r>
        <w:rPr>
          <w:rFonts w:hint="eastAsia" w:ascii="仿宋_GB2312" w:hAnsi="仿宋_GB2312" w:eastAsia="仿宋_GB2312" w:cs="仿宋_GB2312"/>
          <w:sz w:val="32"/>
          <w:szCs w:val="32"/>
          <w:lang w:val="en-US" w:eastAsia="zh-CN"/>
        </w:rPr>
        <w:t>1,626,000.00</w:t>
      </w:r>
      <w:r>
        <w:rPr>
          <w:rFonts w:hint="eastAsia" w:ascii="仿宋_GB2312" w:hAnsi="仿宋_GB2312" w:eastAsia="仿宋_GB2312" w:cs="仿宋_GB2312"/>
          <w:sz w:val="32"/>
          <w:szCs w:val="32"/>
        </w:rPr>
        <w:t>元，2025年度决算10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804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594.37元，完成年初预算的</w:t>
      </w:r>
      <w:r>
        <w:rPr>
          <w:rFonts w:hint="eastAsia" w:ascii="仿宋_GB2312" w:hAnsi="仿宋_GB2312" w:eastAsia="仿宋_GB2312" w:cs="仿宋_GB2312"/>
          <w:sz w:val="32"/>
          <w:szCs w:val="32"/>
          <w:lang w:val="en-US" w:eastAsia="zh-CN"/>
        </w:rPr>
        <w:t>664.5</w:t>
      </w:r>
      <w:r>
        <w:rPr>
          <w:rFonts w:hint="eastAsia" w:ascii="仿宋_GB2312" w:hAnsi="仿宋_GB2312" w:eastAsia="仿宋_GB2312" w:cs="仿宋_GB2312"/>
          <w:sz w:val="32"/>
          <w:szCs w:val="32"/>
        </w:rPr>
        <w:t>%。其中：“城乡社区管理事务”（款）2025年度年初预算</w:t>
      </w:r>
      <w:r>
        <w:rPr>
          <w:rFonts w:hint="eastAsia" w:ascii="仿宋_GB2312" w:hAnsi="仿宋_GB2312" w:eastAsia="仿宋_GB2312" w:cs="仿宋_GB2312"/>
          <w:sz w:val="32"/>
          <w:szCs w:val="32"/>
          <w:lang w:val="en-US" w:eastAsia="zh-CN"/>
        </w:rPr>
        <w:t>546,000.00</w:t>
      </w:r>
      <w:r>
        <w:rPr>
          <w:rFonts w:hint="eastAsia" w:ascii="仿宋_GB2312" w:hAnsi="仿宋_GB2312" w:eastAsia="仿宋_GB2312" w:cs="仿宋_GB2312"/>
          <w:sz w:val="32"/>
          <w:szCs w:val="32"/>
        </w:rPr>
        <w:t>元，2025年度决算1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491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532.57元，完成年初预算的</w:t>
      </w:r>
      <w:r>
        <w:rPr>
          <w:rFonts w:hint="eastAsia" w:ascii="仿宋_GB2312" w:hAnsi="仿宋_GB2312" w:eastAsia="仿宋_GB2312" w:cs="仿宋_GB2312"/>
          <w:sz w:val="32"/>
          <w:szCs w:val="32"/>
          <w:lang w:val="en-US" w:eastAsia="zh-CN"/>
        </w:rPr>
        <w:t>273.2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追加创城灾后损毁硬件设施修复项目、购买社会服务参与重点点位环境秩序保障资金等项目等；</w:t>
      </w:r>
      <w:r>
        <w:rPr>
          <w:rFonts w:hint="eastAsia" w:ascii="仿宋_GB2312" w:hAnsi="仿宋_GB2312" w:eastAsia="仿宋_GB2312" w:cs="仿宋_GB2312"/>
          <w:sz w:val="32"/>
          <w:szCs w:val="32"/>
        </w:rPr>
        <w:t>“城乡社区环境卫生”（款）2025年度年初预算</w:t>
      </w:r>
      <w:r>
        <w:rPr>
          <w:rFonts w:hint="eastAsia" w:ascii="仿宋_GB2312" w:hAnsi="仿宋_GB2312" w:eastAsia="仿宋_GB2312" w:cs="仿宋_GB2312"/>
          <w:sz w:val="32"/>
          <w:szCs w:val="32"/>
          <w:lang w:val="en-US" w:eastAsia="zh-CN"/>
        </w:rPr>
        <w:t>120,000.00</w:t>
      </w:r>
      <w:r>
        <w:rPr>
          <w:rFonts w:hint="eastAsia" w:ascii="仿宋_GB2312" w:hAnsi="仿宋_GB2312" w:eastAsia="仿宋_GB2312" w:cs="仿宋_GB2312"/>
          <w:sz w:val="32"/>
          <w:szCs w:val="32"/>
        </w:rPr>
        <w:t>元，2025年度决算2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832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863.16元，完成年初预算的</w:t>
      </w:r>
      <w:r>
        <w:rPr>
          <w:rFonts w:hint="eastAsia" w:ascii="仿宋_GB2312" w:hAnsi="仿宋_GB2312" w:eastAsia="仿宋_GB2312" w:cs="仿宋_GB2312"/>
          <w:sz w:val="32"/>
          <w:szCs w:val="32"/>
          <w:lang w:val="en-US" w:eastAsia="zh-CN"/>
        </w:rPr>
        <w:t>2360.8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追加2025年购买垃圾分类指导员专业运营服务相关费用；</w:t>
      </w:r>
      <w:r>
        <w:rPr>
          <w:rFonts w:hint="eastAsia" w:ascii="仿宋_GB2312" w:hAnsi="仿宋_GB2312" w:eastAsia="仿宋_GB2312" w:cs="仿宋_GB2312"/>
          <w:sz w:val="32"/>
          <w:szCs w:val="32"/>
        </w:rPr>
        <w:t>“其他城乡社区支出”（款）2025年度年初预算</w:t>
      </w:r>
      <w:r>
        <w:rPr>
          <w:rFonts w:hint="eastAsia" w:ascii="仿宋_GB2312" w:hAnsi="仿宋_GB2312" w:eastAsia="仿宋_GB2312" w:cs="仿宋_GB2312"/>
          <w:sz w:val="32"/>
          <w:szCs w:val="32"/>
          <w:lang w:val="en-US" w:eastAsia="zh-CN"/>
        </w:rPr>
        <w:t>960,000.00</w:t>
      </w:r>
      <w:r>
        <w:rPr>
          <w:rFonts w:hint="eastAsia" w:ascii="仿宋_GB2312" w:hAnsi="仿宋_GB2312" w:eastAsia="仿宋_GB2312" w:cs="仿宋_GB2312"/>
          <w:sz w:val="32"/>
          <w:szCs w:val="32"/>
        </w:rPr>
        <w:t>元，2025年度决算6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480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198.64元，完成年初预算的</w:t>
      </w:r>
      <w:r>
        <w:rPr>
          <w:rFonts w:hint="eastAsia" w:ascii="仿宋_GB2312" w:hAnsi="仿宋_GB2312" w:eastAsia="仿宋_GB2312" w:cs="仿宋_GB2312"/>
          <w:sz w:val="32"/>
          <w:szCs w:val="32"/>
          <w:lang w:val="en-US" w:eastAsia="zh-CN"/>
        </w:rPr>
        <w:t>675.0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追加“身边事基金”、2025年“接诉即办”基层保障资金等接诉类项目。</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“资源勘探工业信息等支出”（类）2025年度年初预算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20,173.20</w:t>
      </w:r>
      <w:r>
        <w:rPr>
          <w:rFonts w:hint="eastAsia" w:ascii="仿宋_GB2312" w:hAnsi="仿宋_GB2312" w:eastAsia="仿宋_GB2312" w:cs="仿宋_GB2312"/>
          <w:sz w:val="32"/>
          <w:szCs w:val="32"/>
        </w:rPr>
        <w:t>元。其中：“制造业”（款）2025年度年初预算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元，2025年度决算</w:t>
      </w:r>
      <w:r>
        <w:rPr>
          <w:rFonts w:hint="eastAsia" w:ascii="仿宋_GB2312" w:hAnsi="仿宋_GB2312" w:eastAsia="仿宋_GB2312" w:cs="仿宋_GB2312"/>
          <w:sz w:val="32"/>
          <w:szCs w:val="32"/>
          <w:lang w:val="en-US" w:eastAsia="zh-CN"/>
        </w:rPr>
        <w:t>20,173.20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val="en-US" w:eastAsia="zh-CN"/>
        </w:rPr>
        <w:t>追加能力提升项目。</w:t>
      </w:r>
    </w:p>
    <w:p>
      <w:pPr>
        <w:keepNext w:val="0"/>
        <w:keepLines w:val="0"/>
        <w:pageBreakBefore w:val="0"/>
        <w:widowControl w:val="0"/>
        <w:kinsoku/>
        <w:wordWrap/>
        <w:overflowPunct/>
        <w:topLinePunct w:val="0"/>
        <w:bidi w:val="0"/>
        <w:spacing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五、政府性基金预算财政拨款支出决算情况说明</w:t>
      </w:r>
    </w:p>
    <w:p>
      <w:pPr>
        <w:keepNext w:val="0"/>
        <w:keepLines w:val="0"/>
        <w:pageBreakBefore w:val="0"/>
        <w:widowControl w:val="0"/>
        <w:tabs>
          <w:tab w:val="center" w:pos="6979"/>
        </w:tabs>
        <w:kinsoku/>
        <w:wordWrap/>
        <w:overflowPunct/>
        <w:topLinePunct w:val="0"/>
        <w:bidi w:val="0"/>
        <w:snapToGrid/>
        <w:spacing w:line="560" w:lineRule="exact"/>
        <w:ind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本年度无此项支出</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b/>
          <w:sz w:val="32"/>
          <w:szCs w:val="32"/>
        </w:rPr>
      </w:pPr>
      <w:r>
        <w:rPr>
          <w:rFonts w:hint="eastAsia" w:ascii="黑体" w:hAnsi="黑体" w:eastAsia="黑体" w:cs="黑体"/>
          <w:b w:val="0"/>
          <w:bCs/>
          <w:sz w:val="32"/>
          <w:szCs w:val="32"/>
        </w:rPr>
        <w:t>六、国有资本经营预算财政拨款收支情况</w:t>
      </w:r>
    </w:p>
    <w:p>
      <w:pPr>
        <w:keepNext w:val="0"/>
        <w:keepLines w:val="0"/>
        <w:pageBreakBefore w:val="0"/>
        <w:widowControl w:val="0"/>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2025年度国有资本经营预算财政拨款收入总计561,963.05元，国有资本经营预算财政拨款支出总计561,963.05元。</w:t>
      </w:r>
    </w:p>
    <w:p>
      <w:pPr>
        <w:keepNext w:val="0"/>
        <w:keepLines w:val="0"/>
        <w:pageBreakBefore w:val="0"/>
        <w:widowControl w:val="0"/>
        <w:kinsoku/>
        <w:wordWrap/>
        <w:overflowPunct/>
        <w:topLinePunct w:val="0"/>
        <w:bidi w:val="0"/>
        <w:spacing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七、财政拨款基本支出决算情况说明</w:t>
      </w:r>
    </w:p>
    <w:p>
      <w:pPr>
        <w:keepNext w:val="0"/>
        <w:keepLines w:val="0"/>
        <w:pageBreakBefore w:val="0"/>
        <w:widowControl w:val="0"/>
        <w:tabs>
          <w:tab w:val="center" w:pos="6979"/>
        </w:tabs>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2025年度使用一般公共预算财政拨款安排基本支出31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250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934.91元，使用政府性基金财政拨款安排基本支出0元，（1）工资福利支出包括基本工资、津贴补贴、奖金、伙食补助费、绩效工资、其他社会保障缴费、其他工资福利等支出；（2）商品和服务支出包括办公费、印刷费、手续费、水费、电费、邮电费、取暖费、物业管理费、差旅费、因公出国（境）费、维修（护）费、租赁费、会议费、培训费、公务接待费、专用材料费、劳务费、委托业务费、工会经费、福利费、公务用车运行维护费、其他交通费用、其他商品和服务等支出；（3）对个人和家庭补助支出包括离休费、退休费、抚恤金、生活补助、救济费、医疗费补助、助学金、奖励金、其他对个人和家庭的补助等支出。（4）其他资本性支出包括办公设备购置、专用设备购置等。</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hint="eastAsia" w:ascii="宋体" w:hAnsi="宋体" w:cs="宋体"/>
          <w:b/>
          <w:bCs/>
          <w:spacing w:val="40"/>
          <w:kern w:val="0"/>
          <w:sz w:val="32"/>
          <w:szCs w:val="32"/>
        </w:rPr>
      </w:pPr>
      <w:r>
        <w:rPr>
          <w:rFonts w:hint="eastAsia" w:ascii="宋体" w:hAnsi="宋体" w:cs="宋体"/>
          <w:b/>
          <w:bCs/>
          <w:spacing w:val="40"/>
          <w:kern w:val="0"/>
          <w:sz w:val="32"/>
          <w:szCs w:val="32"/>
        </w:rPr>
        <w:br w:type="page"/>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pacing w:val="40"/>
          <w:kern w:val="0"/>
          <w:sz w:val="44"/>
          <w:szCs w:val="44"/>
        </w:rPr>
      </w:pPr>
      <w:r>
        <w:rPr>
          <w:rFonts w:hint="eastAsia" w:ascii="方正小标宋简体" w:hAnsi="方正小标宋简体" w:eastAsia="方正小标宋简体" w:cs="方正小标宋简体"/>
          <w:b w:val="0"/>
          <w:bCs w:val="0"/>
          <w:spacing w:val="40"/>
          <w:kern w:val="0"/>
          <w:sz w:val="44"/>
          <w:szCs w:val="44"/>
        </w:rPr>
        <w:t>第三部分</w:t>
      </w:r>
      <w:r>
        <w:rPr>
          <w:rFonts w:hint="eastAsia" w:ascii="方正小标宋简体" w:hAnsi="方正小标宋简体" w:eastAsia="方正小标宋简体" w:cs="方正小标宋简体"/>
          <w:b w:val="0"/>
          <w:bCs w:val="0"/>
          <w:spacing w:val="40"/>
          <w:sz w:val="44"/>
          <w:szCs w:val="44"/>
        </w:rPr>
        <w:t>2025年度</w:t>
      </w:r>
      <w:r>
        <w:rPr>
          <w:rFonts w:hint="eastAsia" w:ascii="方正小标宋简体" w:hAnsi="方正小标宋简体" w:eastAsia="方正小标宋简体" w:cs="方正小标宋简体"/>
          <w:b w:val="0"/>
          <w:bCs w:val="0"/>
          <w:spacing w:val="40"/>
          <w:kern w:val="0"/>
          <w:sz w:val="44"/>
          <w:szCs w:val="44"/>
        </w:rPr>
        <w:t>其他重要事项</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pacing w:val="40"/>
          <w:kern w:val="0"/>
          <w:sz w:val="44"/>
          <w:szCs w:val="44"/>
        </w:rPr>
      </w:pPr>
      <w:r>
        <w:rPr>
          <w:rFonts w:hint="eastAsia" w:ascii="方正小标宋简体" w:hAnsi="方正小标宋简体" w:eastAsia="方正小标宋简体" w:cs="方正小标宋简体"/>
          <w:b w:val="0"/>
          <w:bCs w:val="0"/>
          <w:spacing w:val="40"/>
          <w:kern w:val="0"/>
          <w:sz w:val="44"/>
          <w:szCs w:val="44"/>
        </w:rPr>
        <w:t>的情况说明</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一、“三公”经费财政拨款决算情况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2025年度“三公”经费财政拨款决算数24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286.21元，比2025年度“三公”经费财政拨款年初预算57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655</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元减少33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368.79元。其中：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因公出国（境）费用。2025年度决算数0元，</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2025年度年初预算数</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无变化</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2.公务接待费。2025年度决算数0元，比2025年度年初预算数13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655</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元减少13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655</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元。主要原因：</w:t>
      </w:r>
      <w:r>
        <w:rPr>
          <w:rFonts w:hint="eastAsia" w:ascii="仿宋_GB2312" w:hAnsi="仿宋_GB2312" w:eastAsia="仿宋_GB2312" w:cs="仿宋_GB2312"/>
          <w:sz w:val="32"/>
          <w:szCs w:val="32"/>
          <w:lang w:val="en-US" w:eastAsia="zh-CN"/>
        </w:rPr>
        <w:t>本年无公务接待费支出</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3.公务用车购置及运行维护费。2025年度决算数24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286.21元，比2025年度年初预算数44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元减少19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713.79元。其中，公务用车购置费2025年度决算数0元。公务用车运行维护费2025年度决算数24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286.21元，主要原因：</w:t>
      </w:r>
      <w:r>
        <w:rPr>
          <w:rFonts w:hint="eastAsia" w:ascii="仿宋_GB2312" w:hAnsi="仿宋_GB2312" w:eastAsia="仿宋_GB2312" w:cs="仿宋_GB2312"/>
          <w:sz w:val="32"/>
          <w:szCs w:val="32"/>
          <w:lang w:val="en-US" w:eastAsia="zh-CN"/>
        </w:rPr>
        <w:t>公车改革后，本单位严格管控应急车的使用范围，车辆燃油费支出减少</w:t>
      </w:r>
      <w:r>
        <w:rPr>
          <w:rFonts w:hint="eastAsia" w:ascii="仿宋_GB2312" w:hAnsi="仿宋_GB2312" w:eastAsia="仿宋_GB2312" w:cs="仿宋_GB2312"/>
          <w:sz w:val="32"/>
          <w:szCs w:val="32"/>
        </w:rPr>
        <w:t>。2025年度公务用车保有量2辆。</w:t>
      </w:r>
    </w:p>
    <w:p>
      <w:pPr>
        <w:keepNext w:val="0"/>
        <w:keepLines w:val="0"/>
        <w:pageBreakBefore w:val="0"/>
        <w:widowControl w:val="0"/>
        <w:tabs>
          <w:tab w:val="center" w:pos="6979"/>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二、机关运行经费支出情况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2025年度机关运行经费支出合计3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219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696.8</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元，比上年增加597,675.18元，增加原因：</w:t>
      </w:r>
      <w:r>
        <w:rPr>
          <w:rFonts w:hint="eastAsia" w:ascii="仿宋_GB2312" w:hAnsi="仿宋_GB2312" w:eastAsia="仿宋_GB2312" w:cs="仿宋_GB2312"/>
          <w:sz w:val="32"/>
          <w:szCs w:val="32"/>
          <w:lang w:val="en-US" w:eastAsia="zh-CN"/>
        </w:rPr>
        <w:t>调整福利费结余，用于</w:t>
      </w:r>
      <w:r>
        <w:rPr>
          <w:rFonts w:hint="eastAsia" w:ascii="仿宋_GB2312" w:hAnsi="仿宋_GB2312" w:eastAsia="仿宋_GB2312" w:cs="仿宋_GB2312"/>
          <w:sz w:val="32"/>
          <w:szCs w:val="32"/>
        </w:rPr>
        <w:t>支付</w:t>
      </w:r>
      <w:r>
        <w:rPr>
          <w:rFonts w:hint="eastAsia" w:ascii="仿宋_GB2312" w:hAnsi="仿宋_GB2312" w:eastAsia="仿宋_GB2312" w:cs="仿宋_GB2312"/>
          <w:sz w:val="32"/>
          <w:szCs w:val="32"/>
          <w:lang w:eastAsia="zh-CN"/>
        </w:rPr>
        <w:t>上年剩余</w:t>
      </w:r>
      <w:r>
        <w:rPr>
          <w:rFonts w:hint="eastAsia" w:ascii="仿宋_GB2312" w:hAnsi="仿宋_GB2312" w:eastAsia="仿宋_GB2312" w:cs="仿宋_GB2312"/>
          <w:sz w:val="32"/>
          <w:szCs w:val="32"/>
          <w:lang w:val="en-US" w:eastAsia="zh-CN"/>
        </w:rPr>
        <w:t>机关</w:t>
      </w:r>
      <w:r>
        <w:rPr>
          <w:rFonts w:hint="eastAsia" w:ascii="仿宋_GB2312" w:hAnsi="仿宋_GB2312" w:eastAsia="仿宋_GB2312" w:cs="仿宋_GB2312"/>
          <w:sz w:val="32"/>
          <w:szCs w:val="32"/>
        </w:rPr>
        <w:t>运维费。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三、政府采购支出情况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2025年度政府采购支出总额8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123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646.12元，其中：政府采购货物支出174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278</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元，政府采购工程支出3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079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468.97元，政府采购服务支出4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869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899.15元。授予中小企业合同金额727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347.06元，占政府采购支出总额的</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%，其中：授予小微企业合同金额660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103.06元，占政府采购支出总额的8.1%。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四、国有资产占用情况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截至12月31日，北京市门头沟区人民政府东辛房街道办事处共有车辆2台；单位价值100元（含）以上的设备0台（套）。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五、专业名词解释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1.基本支出</w:t>
      </w:r>
      <w:r>
        <w:rPr>
          <w:rFonts w:hint="eastAsia" w:ascii="仿宋_GB2312" w:hAnsi="仿宋_GB2312" w:eastAsia="仿宋_GB2312" w:cs="仿宋_GB2312"/>
          <w:sz w:val="32"/>
          <w:szCs w:val="32"/>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2.项目支出：</w:t>
      </w:r>
      <w:r>
        <w:rPr>
          <w:rFonts w:hint="eastAsia" w:ascii="仿宋_GB2312" w:hAnsi="仿宋_GB2312" w:eastAsia="仿宋_GB2312" w:cs="仿宋_GB2312"/>
          <w:sz w:val="32"/>
          <w:szCs w:val="32"/>
        </w:rPr>
        <w:t>指在基本支出之外为完成特定行政任务或事业发展目标所发生的支出。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3.“三公”经费</w:t>
      </w:r>
      <w:r>
        <w:rPr>
          <w:rFonts w:hint="eastAsia" w:ascii="仿宋_GB2312" w:hAnsi="仿宋_GB2312" w:eastAsia="仿宋_GB2312" w:cs="仿宋_GB2312"/>
          <w:sz w:val="32"/>
          <w:szCs w:val="32"/>
        </w:rPr>
        <w:t>：是指单位通过财政拨款资金安排的因公出国（境）费、公务用车购置及运行费和公务接待费。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4.机关运行经费：</w:t>
      </w:r>
      <w:r>
        <w:rPr>
          <w:rFonts w:hint="eastAsia" w:ascii="仿宋_GB2312" w:hAnsi="仿宋_GB2312" w:eastAsia="仿宋_GB2312" w:cs="仿宋_GB2312"/>
          <w:sz w:val="32"/>
          <w:szCs w:val="32"/>
        </w:rPr>
        <w:t>反映为保障行政单位（包括参照公务员法管理的事业单位）运行用于购买货物和服务的各项资金，包括办公费、会议费、培训费、委托业务费、公务接待费、公务用车运行维护费、维修（护）费及其他费用。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5.政府采购：</w:t>
      </w:r>
      <w:r>
        <w:rPr>
          <w:rFonts w:hint="eastAsia" w:ascii="仿宋_GB2312" w:hAnsi="仿宋_GB2312" w:eastAsia="仿宋_GB2312" w:cs="仿宋_GB2312"/>
          <w:sz w:val="32"/>
          <w:szCs w:val="32"/>
        </w:rPr>
        <w:t>指各级国家机关、事业单位和团体组织，使用财政性资金采购依法制定的集中目录以内的或者采购限额标准以上的货物、工程和服务的行为，是规范财政支出管理和强化预算约束的有效措施。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lang w:eastAsia="zh-CN"/>
        </w:rPr>
        <w:t>一般公共服务支出（类）</w:t>
      </w:r>
      <w:r>
        <w:rPr>
          <w:rFonts w:hint="eastAsia" w:ascii="仿宋_GB2312" w:hAnsi="仿宋_GB2312" w:eastAsia="仿宋_GB2312" w:cs="仿宋_GB2312"/>
          <w:b/>
          <w:bCs/>
          <w:sz w:val="32"/>
          <w:szCs w:val="32"/>
          <w:lang w:val="en-US" w:eastAsia="zh-CN"/>
        </w:rPr>
        <w:t>政府办公厅（室）及相关机构事务</w:t>
      </w:r>
      <w:r>
        <w:rPr>
          <w:rFonts w:hint="eastAsia" w:ascii="仿宋_GB2312" w:hAnsi="仿宋_GB2312" w:eastAsia="仿宋_GB2312" w:cs="仿宋_GB2312"/>
          <w:b/>
          <w:bCs/>
          <w:sz w:val="32"/>
          <w:szCs w:val="32"/>
          <w:lang w:eastAsia="zh-CN"/>
        </w:rPr>
        <w:t>（款）行政运行（项）</w:t>
      </w:r>
      <w:r>
        <w:rPr>
          <w:rFonts w:hint="eastAsia" w:ascii="仿宋_GB2312" w:hAnsi="仿宋_GB2312" w:eastAsia="仿宋_GB2312" w:cs="仿宋_GB2312"/>
          <w:b/>
          <w:bCs/>
          <w:color w:val="000000"/>
          <w:spacing w:val="-2"/>
          <w:sz w:val="32"/>
          <w:szCs w:val="32"/>
          <w:lang w:val="en-US" w:eastAsia="zh-CN"/>
        </w:rPr>
        <w:t>:</w:t>
      </w:r>
      <w:bookmarkStart w:id="1" w:name="OLE_LINK27"/>
      <w:r>
        <w:rPr>
          <w:rFonts w:hint="eastAsia" w:ascii="仿宋_GB2312" w:hAnsi="仿宋_GB2312" w:eastAsia="仿宋_GB2312" w:cs="仿宋_GB2312"/>
          <w:b w:val="0"/>
          <w:bCs/>
          <w:color w:val="000000"/>
          <w:spacing w:val="-2"/>
          <w:sz w:val="32"/>
          <w:szCs w:val="32"/>
        </w:rPr>
        <w:t>反映行政单位（包括实行公务员管理的事业单位）</w:t>
      </w:r>
      <w:bookmarkEnd w:id="1"/>
      <w:r>
        <w:rPr>
          <w:rFonts w:hint="eastAsia" w:ascii="仿宋_GB2312" w:hAnsi="仿宋_GB2312" w:eastAsia="仿宋_GB2312" w:cs="仿宋_GB2312"/>
          <w:b w:val="0"/>
          <w:bCs/>
          <w:color w:val="000000"/>
          <w:spacing w:val="-2"/>
          <w:sz w:val="32"/>
          <w:szCs w:val="32"/>
        </w:rPr>
        <w:t>的基本支出</w:t>
      </w:r>
      <w:r>
        <w:rPr>
          <w:rFonts w:hint="eastAsia" w:ascii="仿宋_GB2312" w:hAnsi="仿宋_GB2312" w:eastAsia="仿宋_GB2312" w:cs="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一般公共服务支出（类）</w:t>
      </w:r>
      <w:r>
        <w:rPr>
          <w:rFonts w:hint="eastAsia" w:ascii="仿宋_GB2312" w:hAnsi="仿宋_GB2312" w:eastAsia="仿宋_GB2312" w:cs="仿宋_GB2312"/>
          <w:b/>
          <w:bCs/>
          <w:sz w:val="32"/>
          <w:szCs w:val="32"/>
          <w:lang w:val="en-US" w:eastAsia="zh-CN"/>
        </w:rPr>
        <w:t>政府办公厅（室）及相关机构事务</w:t>
      </w:r>
      <w:r>
        <w:rPr>
          <w:rFonts w:hint="eastAsia" w:ascii="仿宋_GB2312" w:hAnsi="仿宋_GB2312" w:eastAsia="仿宋_GB2312" w:cs="仿宋_GB2312"/>
          <w:b/>
          <w:bCs/>
          <w:sz w:val="32"/>
          <w:szCs w:val="32"/>
          <w:lang w:eastAsia="zh-CN"/>
        </w:rPr>
        <w:t>（款）</w:t>
      </w:r>
      <w:r>
        <w:rPr>
          <w:rFonts w:hint="eastAsia" w:ascii="仿宋_GB2312" w:hAnsi="仿宋_GB2312" w:eastAsia="仿宋_GB2312" w:cs="仿宋_GB2312"/>
          <w:b/>
          <w:bCs/>
          <w:sz w:val="32"/>
          <w:szCs w:val="32"/>
          <w:lang w:val="en-US" w:eastAsia="zh-CN"/>
        </w:rPr>
        <w:t>一般行政管理事务</w:t>
      </w:r>
      <w:r>
        <w:rPr>
          <w:rFonts w:hint="eastAsia" w:ascii="仿宋_GB2312" w:hAnsi="仿宋_GB2312" w:eastAsia="仿宋_GB2312" w:cs="仿宋_GB2312"/>
          <w:b/>
          <w:bCs/>
          <w:sz w:val="32"/>
          <w:szCs w:val="32"/>
          <w:lang w:eastAsia="zh-CN"/>
        </w:rPr>
        <w:t>（项）</w:t>
      </w:r>
      <w:r>
        <w:rPr>
          <w:rFonts w:hint="eastAsia" w:ascii="仿宋_GB2312" w:hAnsi="仿宋_GB2312" w:eastAsia="仿宋_GB2312" w:cs="仿宋_GB2312"/>
          <w:b/>
          <w:bCs/>
          <w:color w:val="000000"/>
          <w:spacing w:val="-2"/>
          <w:sz w:val="32"/>
          <w:szCs w:val="32"/>
          <w:lang w:val="en-US" w:eastAsia="zh-CN"/>
        </w:rPr>
        <w:t>:</w:t>
      </w:r>
      <w:r>
        <w:rPr>
          <w:rFonts w:hint="eastAsia" w:ascii="仿宋_GB2312" w:hAnsi="仿宋_GB2312" w:eastAsia="仿宋_GB2312" w:cs="仿宋_GB2312"/>
          <w:b w:val="0"/>
          <w:bCs/>
          <w:color w:val="000000"/>
          <w:spacing w:val="-2"/>
          <w:sz w:val="32"/>
          <w:szCs w:val="32"/>
          <w:lang w:val="en-US" w:eastAsia="zh-CN"/>
        </w:rPr>
        <w:t>反映行政单位（包括实行公务员管理的事业单位）未单独设置项级科目的其他项目支出。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lang w:eastAsia="zh-CN"/>
        </w:rPr>
        <w:t>一般公共服务支出（类）</w:t>
      </w:r>
      <w:r>
        <w:rPr>
          <w:rFonts w:hint="eastAsia" w:ascii="仿宋_GB2312" w:hAnsi="仿宋_GB2312" w:eastAsia="仿宋_GB2312" w:cs="仿宋_GB2312"/>
          <w:b/>
          <w:bCs/>
          <w:sz w:val="32"/>
          <w:szCs w:val="32"/>
          <w:lang w:val="en-US" w:eastAsia="zh-CN"/>
        </w:rPr>
        <w:t>政府办公厅（室）及相关机构事务</w:t>
      </w:r>
      <w:r>
        <w:rPr>
          <w:rFonts w:hint="eastAsia" w:ascii="仿宋_GB2312" w:hAnsi="仿宋_GB2312" w:eastAsia="仿宋_GB2312" w:cs="仿宋_GB2312"/>
          <w:b/>
          <w:bCs/>
          <w:sz w:val="32"/>
          <w:szCs w:val="32"/>
          <w:lang w:eastAsia="zh-CN"/>
        </w:rPr>
        <w:t>（款）</w:t>
      </w:r>
      <w:r>
        <w:rPr>
          <w:rFonts w:hint="eastAsia" w:ascii="仿宋_GB2312" w:hAnsi="仿宋_GB2312" w:eastAsia="仿宋_GB2312" w:cs="仿宋_GB2312"/>
          <w:b/>
          <w:bCs/>
          <w:sz w:val="32"/>
          <w:szCs w:val="32"/>
          <w:lang w:val="en-US" w:eastAsia="zh-CN"/>
        </w:rPr>
        <w:t>事业运行（项）</w:t>
      </w:r>
      <w:r>
        <w:rPr>
          <w:rFonts w:hint="eastAsia" w:ascii="仿宋_GB2312" w:hAnsi="仿宋_GB2312" w:eastAsia="仿宋_GB2312" w:cs="仿宋_GB2312"/>
          <w:b/>
          <w:bCs/>
          <w:color w:val="000000"/>
          <w:spacing w:val="-2"/>
          <w:sz w:val="32"/>
          <w:szCs w:val="32"/>
          <w:lang w:val="en-US" w:eastAsia="zh-CN"/>
        </w:rPr>
        <w:t>:</w:t>
      </w:r>
      <w:r>
        <w:rPr>
          <w:rFonts w:hint="eastAsia" w:ascii="仿宋_GB2312" w:hAnsi="仿宋_GB2312" w:eastAsia="仿宋_GB2312" w:cs="仿宋_GB2312"/>
          <w:b w:val="0"/>
          <w:bCs/>
          <w:color w:val="000000"/>
          <w:spacing w:val="-2"/>
          <w:sz w:val="32"/>
          <w:szCs w:val="32"/>
          <w:lang w:val="en-US" w:eastAsia="zh-CN"/>
        </w:rPr>
        <w:t>反映事业单位的基本支出，不包含行政单位（包括实行公务员管理的事业单位）后勤服务中心、医务室等附属事业单位。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9.一般公共服务支出（类）政府办公厅（室）及相关机构事务（款）其他政府办公厅（室）及相关机构事务支出:</w:t>
      </w:r>
      <w:r>
        <w:rPr>
          <w:rFonts w:hint="eastAsia" w:ascii="仿宋_GB2312" w:hAnsi="仿宋_GB2312" w:eastAsia="仿宋_GB2312" w:cs="仿宋_GB2312"/>
          <w:b w:val="0"/>
          <w:bCs/>
          <w:color w:val="000000"/>
          <w:spacing w:val="-2"/>
          <w:sz w:val="32"/>
          <w:szCs w:val="32"/>
          <w:lang w:val="en-US" w:eastAsia="zh-CN"/>
        </w:rPr>
        <w:t>反映除上述项目以外的其他政府办公厅（室）及相关机构事务支出。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10.一般公共服务支出（类）发展与改革事务（款）其他社会发展与改革事务支出（项）:</w:t>
      </w:r>
      <w:r>
        <w:rPr>
          <w:rFonts w:hint="eastAsia" w:ascii="仿宋_GB2312" w:hAnsi="仿宋_GB2312" w:eastAsia="仿宋_GB2312" w:cs="仿宋_GB2312"/>
          <w:b w:val="0"/>
          <w:bCs/>
          <w:color w:val="000000"/>
          <w:spacing w:val="-2"/>
          <w:sz w:val="32"/>
          <w:szCs w:val="32"/>
          <w:lang w:val="en-US" w:eastAsia="zh-CN"/>
        </w:rPr>
        <w:t>反映除上述项目以外的其他发展与改革事务支出。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11.一般公共服务支出（类）统计信息事务（款）专项普查活动（项）</w:t>
      </w:r>
      <w:r>
        <w:rPr>
          <w:rFonts w:hint="eastAsia" w:ascii="仿宋_GB2312" w:hAnsi="仿宋_GB2312" w:eastAsia="仿宋_GB2312" w:cs="仿宋_GB2312"/>
          <w:b/>
          <w:bCs/>
          <w:color w:val="000000"/>
          <w:spacing w:val="-2"/>
          <w:sz w:val="32"/>
          <w:szCs w:val="32"/>
          <w:lang w:val="en-US" w:eastAsia="zh-CN"/>
        </w:rPr>
        <w:t>：</w:t>
      </w:r>
      <w:r>
        <w:rPr>
          <w:rFonts w:hint="eastAsia" w:ascii="仿宋_GB2312" w:hAnsi="仿宋_GB2312" w:eastAsia="仿宋_GB2312" w:cs="仿宋_GB2312"/>
          <w:b w:val="0"/>
          <w:bCs/>
          <w:color w:val="000000"/>
          <w:spacing w:val="-2"/>
          <w:sz w:val="32"/>
          <w:szCs w:val="32"/>
          <w:lang w:val="en-US" w:eastAsia="zh-CN"/>
        </w:rPr>
        <w:t>反映统计部门开展人口普查、经济普查、农业普查、投入产出调查等周期性普查工作的支出。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12.一般公共服务支出（类）财政事务（款）一般行政管理事务（项）：</w:t>
      </w:r>
      <w:r>
        <w:rPr>
          <w:rFonts w:hint="eastAsia" w:ascii="仿宋_GB2312" w:hAnsi="仿宋_GB2312" w:eastAsia="仿宋_GB2312" w:cs="仿宋_GB2312"/>
          <w:b w:val="0"/>
          <w:bCs/>
          <w:color w:val="000000"/>
          <w:spacing w:val="-2"/>
          <w:sz w:val="32"/>
          <w:szCs w:val="32"/>
          <w:lang w:val="en-US" w:eastAsia="zh-CN"/>
        </w:rPr>
        <w:t>反映行政单位（包括实行公务员管理的事业单位）未单独设置顶级科目的其他项目支出。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13.一般公共服务支出（类）纪检监察事务（款）其他纪检监察事务支出（项）：</w:t>
      </w:r>
      <w:r>
        <w:rPr>
          <w:rFonts w:hint="eastAsia" w:ascii="仿宋_GB2312" w:hAnsi="仿宋_GB2312" w:eastAsia="仿宋_GB2312" w:cs="仿宋_GB2312"/>
          <w:b w:val="0"/>
          <w:bCs/>
          <w:color w:val="000000"/>
          <w:spacing w:val="-2"/>
          <w:sz w:val="32"/>
          <w:szCs w:val="32"/>
          <w:lang w:val="en-US" w:eastAsia="zh-CN"/>
        </w:rPr>
        <w:t>反映除上述项目以外其他纪检监察事务方面的支出。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14.一般公共服务支出（类）组织事务（款）一般行政管理事务（项）：</w:t>
      </w:r>
      <w:r>
        <w:rPr>
          <w:rFonts w:hint="eastAsia" w:ascii="仿宋_GB2312" w:hAnsi="仿宋_GB2312" w:eastAsia="仿宋_GB2312" w:cs="仿宋_GB2312"/>
          <w:b w:val="0"/>
          <w:bCs/>
          <w:color w:val="000000"/>
          <w:spacing w:val="-2"/>
          <w:sz w:val="32"/>
          <w:szCs w:val="32"/>
        </w:rPr>
        <w:t>反映行政单位（包括实行公务员管理的事业单位）</w:t>
      </w:r>
      <w:r>
        <w:rPr>
          <w:rFonts w:hint="eastAsia" w:ascii="仿宋_GB2312" w:hAnsi="仿宋_GB2312" w:eastAsia="仿宋_GB2312" w:cs="仿宋_GB2312"/>
          <w:b w:val="0"/>
          <w:bCs/>
          <w:color w:val="000000"/>
          <w:spacing w:val="-2"/>
          <w:sz w:val="32"/>
          <w:szCs w:val="32"/>
          <w:lang w:val="en-US" w:eastAsia="zh-CN"/>
        </w:rPr>
        <w:t>未单独设置项级科目的其他项目支出。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15.一般公共服务支出（类）社会工作事务（款）一般行政管理事务（项）：</w:t>
      </w:r>
      <w:r>
        <w:rPr>
          <w:rFonts w:hint="eastAsia" w:ascii="仿宋_GB2312" w:hAnsi="仿宋_GB2312" w:eastAsia="仿宋_GB2312" w:cs="仿宋_GB2312"/>
          <w:b w:val="0"/>
          <w:bCs/>
          <w:color w:val="000000"/>
          <w:spacing w:val="-2"/>
          <w:sz w:val="32"/>
          <w:szCs w:val="32"/>
        </w:rPr>
        <w:t>反映行政单位（包括实行公务员管理的事业单位）</w:t>
      </w:r>
      <w:r>
        <w:rPr>
          <w:rFonts w:hint="eastAsia" w:ascii="仿宋_GB2312" w:hAnsi="仿宋_GB2312" w:eastAsia="仿宋_GB2312" w:cs="仿宋_GB2312"/>
          <w:b w:val="0"/>
          <w:bCs/>
          <w:color w:val="000000"/>
          <w:spacing w:val="-2"/>
          <w:sz w:val="32"/>
          <w:szCs w:val="32"/>
          <w:lang w:val="en-US" w:eastAsia="zh-CN"/>
        </w:rPr>
        <w:t>未单独设置项级科目的其他项目支出。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16.国防支出（类）国防动员（款）人民防空（项）：</w:t>
      </w:r>
      <w:r>
        <w:rPr>
          <w:rFonts w:hint="eastAsia" w:ascii="仿宋_GB2312" w:hAnsi="仿宋_GB2312" w:eastAsia="仿宋_GB2312" w:cs="仿宋_GB2312"/>
          <w:b w:val="0"/>
          <w:bCs/>
          <w:color w:val="000000"/>
          <w:spacing w:val="-2"/>
          <w:sz w:val="32"/>
          <w:szCs w:val="32"/>
          <w:lang w:val="en-US" w:eastAsia="zh-CN"/>
        </w:rPr>
        <w:t>反映用于人民防空工程建设、宣传等方面的支出。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17.文化旅游体育与传媒支出（类）文化和旅游（款）群众文化（项）：</w:t>
      </w:r>
      <w:r>
        <w:rPr>
          <w:rFonts w:hint="eastAsia" w:ascii="仿宋_GB2312" w:hAnsi="仿宋_GB2312" w:eastAsia="仿宋_GB2312" w:cs="仿宋_GB2312"/>
          <w:b w:val="0"/>
          <w:bCs/>
          <w:color w:val="000000"/>
          <w:spacing w:val="-2"/>
          <w:sz w:val="32"/>
          <w:szCs w:val="32"/>
          <w:lang w:val="en-US" w:eastAsia="zh-CN"/>
        </w:rPr>
        <w:t>反映群众文化方面的支出，包括基层文化馆（站）、群众艺术馆支出。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18.文化旅游体育与传媒支出（类）文化和旅游（款）其他文化和旅游支出（项）：</w:t>
      </w:r>
      <w:r>
        <w:rPr>
          <w:rFonts w:hint="eastAsia" w:ascii="仿宋_GB2312" w:hAnsi="仿宋_GB2312" w:eastAsia="仿宋_GB2312" w:cs="仿宋_GB2312"/>
          <w:b w:val="0"/>
          <w:bCs/>
          <w:color w:val="000000"/>
          <w:spacing w:val="-2"/>
          <w:sz w:val="32"/>
          <w:szCs w:val="32"/>
          <w:lang w:val="en-US" w:eastAsia="zh-CN"/>
        </w:rPr>
        <w:t>反映除上述项目以外其他用于文化和旅游方面的支出。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19.社会保障和就业支出（类）民政管理事务（款）基层政权建设和社区治理（项）：</w:t>
      </w:r>
      <w:r>
        <w:rPr>
          <w:rFonts w:hint="eastAsia" w:ascii="仿宋_GB2312" w:hAnsi="仿宋_GB2312" w:eastAsia="仿宋_GB2312" w:cs="仿宋_GB2312"/>
          <w:b w:val="0"/>
          <w:bCs/>
          <w:color w:val="000000"/>
          <w:spacing w:val="-2"/>
          <w:sz w:val="32"/>
          <w:szCs w:val="32"/>
          <w:lang w:val="en-US" w:eastAsia="zh-CN"/>
        </w:rPr>
        <w:t>反映开展城乡社区治理、城乡社区服务（乡村便民服务）、村（居）民自治、村（居）务公开、乡镇（街道）服务能力建设等基层政权建设和社区治理工作的支出。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20.社会保障和就业支出（类）民政管理事务（款）其他民政管理事务支出（项）：</w:t>
      </w:r>
      <w:r>
        <w:rPr>
          <w:rFonts w:hint="eastAsia" w:ascii="仿宋_GB2312" w:hAnsi="仿宋_GB2312" w:eastAsia="仿宋_GB2312" w:cs="仿宋_GB2312"/>
          <w:b w:val="0"/>
          <w:bCs/>
          <w:color w:val="000000"/>
          <w:spacing w:val="-2"/>
          <w:sz w:val="32"/>
          <w:szCs w:val="32"/>
          <w:lang w:val="en-US" w:eastAsia="zh-CN"/>
        </w:rPr>
        <w:t>反映除上述项目以外其他用于民政管理事务的支出。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21.社会保障和就业支出（类）行政事业单位养老支出（款）行政单位离退休（项）：</w:t>
      </w:r>
      <w:r>
        <w:rPr>
          <w:rFonts w:hint="eastAsia" w:ascii="仿宋_GB2312" w:hAnsi="仿宋_GB2312" w:eastAsia="仿宋_GB2312" w:cs="仿宋_GB2312"/>
          <w:b w:val="0"/>
          <w:bCs/>
          <w:color w:val="000000"/>
          <w:spacing w:val="-2"/>
          <w:sz w:val="32"/>
          <w:szCs w:val="32"/>
        </w:rPr>
        <w:t>反映行政单位（包括实行公务员管理的事业单位）</w:t>
      </w:r>
      <w:r>
        <w:rPr>
          <w:rFonts w:hint="eastAsia" w:ascii="仿宋_GB2312" w:hAnsi="仿宋_GB2312" w:eastAsia="仿宋_GB2312" w:cs="仿宋_GB2312"/>
          <w:b w:val="0"/>
          <w:bCs/>
          <w:color w:val="000000"/>
          <w:spacing w:val="-2"/>
          <w:sz w:val="32"/>
          <w:szCs w:val="32"/>
          <w:lang w:val="en-US" w:eastAsia="zh-CN"/>
        </w:rPr>
        <w:t>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22.社会保障和就业支出（类）行政事业单位养老支出（款）事业单位离退休（项）：</w:t>
      </w:r>
      <w:r>
        <w:rPr>
          <w:rFonts w:hint="eastAsia" w:ascii="仿宋_GB2312" w:hAnsi="仿宋_GB2312" w:eastAsia="仿宋_GB2312" w:cs="仿宋_GB2312"/>
          <w:b w:val="0"/>
          <w:bCs/>
          <w:color w:val="000000"/>
          <w:spacing w:val="-2"/>
          <w:sz w:val="32"/>
          <w:szCs w:val="32"/>
          <w:lang w:val="en-US" w:eastAsia="zh-CN"/>
        </w:rPr>
        <w:t>反映事业单位开支的离退休经费。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23.社会保障和就业支出（类）就业补助（款）公益性岗位补贴（项）：</w:t>
      </w:r>
      <w:r>
        <w:rPr>
          <w:rFonts w:hint="eastAsia" w:ascii="仿宋_GB2312" w:hAnsi="仿宋_GB2312" w:eastAsia="仿宋_GB2312" w:cs="仿宋_GB2312"/>
          <w:b w:val="0"/>
          <w:bCs/>
          <w:color w:val="000000"/>
          <w:spacing w:val="-2"/>
          <w:sz w:val="32"/>
          <w:szCs w:val="32"/>
          <w:lang w:val="en-US" w:eastAsia="zh-CN"/>
        </w:rPr>
        <w:t>反映财政对符合条件的就业困难人员在公益性岗位就业给予的岗位补贴支出。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24.社会保障和就业支出（类）抚恤（款）死亡抚恤（项）：</w:t>
      </w:r>
      <w:r>
        <w:rPr>
          <w:rFonts w:hint="eastAsia" w:ascii="仿宋_GB2312" w:hAnsi="仿宋_GB2312" w:eastAsia="仿宋_GB2312" w:cs="仿宋_GB2312"/>
          <w:b w:val="0"/>
          <w:bCs/>
          <w:color w:val="000000"/>
          <w:spacing w:val="-2"/>
          <w:sz w:val="32"/>
          <w:szCs w:val="32"/>
          <w:lang w:val="en-US" w:eastAsia="zh-CN"/>
        </w:rPr>
        <w:t>反映按规定用于烈士和牺牲、病故人员家属的一次性和定期抚恤金以及丧葬补助费。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25.社会保障和就业支出（类）社会福利（款）其他社会福利支出（项）：</w:t>
      </w:r>
      <w:r>
        <w:rPr>
          <w:rFonts w:hint="eastAsia" w:ascii="仿宋_GB2312" w:hAnsi="仿宋_GB2312" w:eastAsia="仿宋_GB2312" w:cs="仿宋_GB2312"/>
          <w:b w:val="0"/>
          <w:bCs/>
          <w:color w:val="000000"/>
          <w:spacing w:val="-2"/>
          <w:sz w:val="32"/>
          <w:szCs w:val="32"/>
          <w:lang w:val="en-US" w:eastAsia="zh-CN"/>
        </w:rPr>
        <w:t>反映除上述项目以外其他用于社会福利方面的支出。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26.社会保障和就业支出（类）其他社会保障和就业支出（款）其他社会保障和就业支出（项）：</w:t>
      </w:r>
      <w:r>
        <w:rPr>
          <w:rFonts w:hint="eastAsia" w:ascii="仿宋_GB2312" w:hAnsi="仿宋_GB2312" w:eastAsia="仿宋_GB2312" w:cs="仿宋_GB2312"/>
          <w:b w:val="0"/>
          <w:bCs/>
          <w:color w:val="000000"/>
          <w:spacing w:val="-2"/>
          <w:sz w:val="32"/>
          <w:szCs w:val="32"/>
          <w:lang w:val="en-US" w:eastAsia="zh-CN"/>
        </w:rPr>
        <w:t>反映除上述项目以外其他用于社会保障和就业方面的支出。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27.卫生健康支出（类）公共卫生（款）其他公共卫生支出（项）：</w:t>
      </w:r>
      <w:r>
        <w:rPr>
          <w:rFonts w:hint="eastAsia" w:ascii="仿宋_GB2312" w:hAnsi="仿宋_GB2312" w:eastAsia="仿宋_GB2312" w:cs="仿宋_GB2312"/>
          <w:b w:val="0"/>
          <w:bCs/>
          <w:color w:val="000000"/>
          <w:spacing w:val="-2"/>
          <w:sz w:val="32"/>
          <w:szCs w:val="32"/>
          <w:lang w:val="en-US" w:eastAsia="zh-CN"/>
        </w:rPr>
        <w:t>反映除上述项目以外的其他用于公共卫生方面的支出。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28.卫生健康支出（类）计划生育事务（款）其他计划生育事务支出（项）：</w:t>
      </w:r>
      <w:r>
        <w:rPr>
          <w:rFonts w:hint="eastAsia" w:ascii="仿宋_GB2312" w:hAnsi="仿宋_GB2312" w:eastAsia="仿宋_GB2312" w:cs="仿宋_GB2312"/>
          <w:b w:val="0"/>
          <w:bCs/>
          <w:color w:val="000000"/>
          <w:spacing w:val="-2"/>
          <w:sz w:val="32"/>
          <w:szCs w:val="32"/>
          <w:lang w:val="en-US" w:eastAsia="zh-CN"/>
        </w:rPr>
        <w:t>反映除上述项目以外其他用于计划生育管理事务方面的支出。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29.城乡社区支出（类）城乡社区管理事务（款）城管执法（项）：</w:t>
      </w:r>
      <w:r>
        <w:rPr>
          <w:rFonts w:hint="eastAsia" w:ascii="仿宋_GB2312" w:hAnsi="仿宋_GB2312" w:eastAsia="仿宋_GB2312" w:cs="仿宋_GB2312"/>
          <w:b w:val="0"/>
          <w:bCs/>
          <w:color w:val="000000"/>
          <w:spacing w:val="-2"/>
          <w:sz w:val="32"/>
          <w:szCs w:val="32"/>
          <w:lang w:val="en-US" w:eastAsia="zh-CN"/>
        </w:rPr>
        <w:t>反映城市管理综合行政执法、加强城市市容和环境卫生管理方面的支出。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30.城乡社区支出（类）城乡社区管理事务（款）其他城乡社区管理事务支出（项）：</w:t>
      </w:r>
      <w:r>
        <w:rPr>
          <w:rFonts w:hint="eastAsia" w:ascii="仿宋_GB2312" w:hAnsi="仿宋_GB2312" w:eastAsia="仿宋_GB2312" w:cs="仿宋_GB2312"/>
          <w:b w:val="0"/>
          <w:bCs/>
          <w:color w:val="000000"/>
          <w:spacing w:val="-2"/>
          <w:sz w:val="32"/>
          <w:szCs w:val="32"/>
          <w:lang w:val="en-US" w:eastAsia="zh-CN"/>
        </w:rPr>
        <w:t>反映除上述项目以外其他用于城乡社区管理事务方面的支出。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31.城乡社区支出（类）城乡社区环境卫生（款）城乡社区环境卫生（项）：</w:t>
      </w:r>
      <w:r>
        <w:rPr>
          <w:rFonts w:hint="eastAsia" w:ascii="仿宋_GB2312" w:hAnsi="仿宋_GB2312" w:eastAsia="仿宋_GB2312" w:cs="仿宋_GB2312"/>
          <w:b w:val="0"/>
          <w:bCs/>
          <w:color w:val="000000"/>
          <w:spacing w:val="-2"/>
          <w:sz w:val="32"/>
          <w:szCs w:val="32"/>
          <w:lang w:val="en-US" w:eastAsia="zh-CN"/>
        </w:rPr>
        <w:t>反映城乡社区道路清扫、垃圾清运与处理、公厕建设与维护、园林绿化等方面的支出。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32.城乡社区支出（类）其他城乡社区支出（款）其他城乡社区支出（项）</w:t>
      </w:r>
      <w:r>
        <w:rPr>
          <w:rFonts w:hint="eastAsia" w:ascii="仿宋_GB2312" w:hAnsi="仿宋_GB2312" w:eastAsia="仿宋_GB2312" w:cs="仿宋_GB2312"/>
          <w:b/>
          <w:bCs/>
          <w:color w:val="000000"/>
          <w:spacing w:val="-2"/>
          <w:sz w:val="32"/>
          <w:szCs w:val="32"/>
          <w:lang w:val="en-US" w:eastAsia="zh-CN"/>
        </w:rPr>
        <w:t>：</w:t>
      </w:r>
      <w:r>
        <w:rPr>
          <w:rFonts w:hint="eastAsia" w:ascii="仿宋_GB2312" w:hAnsi="仿宋_GB2312" w:eastAsia="仿宋_GB2312" w:cs="仿宋_GB2312"/>
          <w:b w:val="0"/>
          <w:bCs/>
          <w:color w:val="000000"/>
          <w:spacing w:val="-2"/>
          <w:sz w:val="32"/>
          <w:szCs w:val="32"/>
          <w:lang w:val="en-US" w:eastAsia="zh-CN"/>
        </w:rPr>
        <w:t>反映除上述项目以外其他用于城乡社区方面的支出。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33.农林水支出（类）水利（款）大中型水库移民后期扶持专项支出（项）：</w:t>
      </w:r>
      <w:r>
        <w:rPr>
          <w:rFonts w:hint="eastAsia" w:ascii="仿宋_GB2312" w:hAnsi="仿宋_GB2312" w:eastAsia="仿宋_GB2312" w:cs="仿宋_GB2312"/>
          <w:b w:val="0"/>
          <w:bCs/>
          <w:color w:val="000000"/>
          <w:spacing w:val="-2"/>
          <w:sz w:val="32"/>
          <w:szCs w:val="32"/>
          <w:lang w:val="en-US" w:eastAsia="zh-CN"/>
        </w:rPr>
        <w:t>反映中央财政划转大中型水库移民后期扶持基金的支出，包括对销售电量加价部分征收的增值税返还以及用于解决水库移民遗留问题的定额补助。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sz w:val="32"/>
          <w:szCs w:val="32"/>
          <w:lang w:val="en-US" w:eastAsia="zh-CN"/>
        </w:rPr>
        <w:t>34.灾害防治及应急管理支出（类）其他灾害防治及应急管理支出（款）其他灾害防治及应急管理支出（项）：</w:t>
      </w:r>
      <w:r>
        <w:rPr>
          <w:rFonts w:hint="eastAsia" w:ascii="仿宋_GB2312" w:hAnsi="仿宋_GB2312" w:eastAsia="仿宋_GB2312" w:cs="仿宋_GB2312"/>
          <w:b w:val="0"/>
          <w:bCs/>
          <w:color w:val="000000"/>
          <w:spacing w:val="-2"/>
          <w:sz w:val="32"/>
          <w:szCs w:val="32"/>
          <w:lang w:val="en-US" w:eastAsia="zh-CN"/>
        </w:rPr>
        <w:t>反映除上述项目以外其他不能划分到具体功能科目中的支出项目。</w:t>
      </w:r>
    </w:p>
    <w:p>
      <w:pPr>
        <w:pStyle w:val="23"/>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kern w:val="2"/>
          <w:sz w:val="32"/>
          <w:szCs w:val="32"/>
          <w:lang w:val="en-US" w:eastAsia="zh-CN" w:bidi="ar-SA"/>
        </w:rPr>
        <w:t>35.节能环保支出（类）污染防治（款）大气（项）：</w:t>
      </w:r>
      <w:r>
        <w:rPr>
          <w:rFonts w:hint="eastAsia" w:ascii="仿宋_GB2312" w:hAnsi="仿宋_GB2312" w:eastAsia="仿宋_GB2312" w:cs="仿宋_GB2312"/>
          <w:b w:val="0"/>
          <w:bCs/>
          <w:color w:val="000000"/>
          <w:spacing w:val="-2"/>
          <w:sz w:val="32"/>
          <w:szCs w:val="32"/>
          <w:lang w:val="en-US" w:eastAsia="zh-CN"/>
        </w:rPr>
        <w:t>反映政府在治理污染、汽车尾气、酸雨、二氧化硫、沙尘暴等方面的支出。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36.资源勘探工业信息等支出（类）制造业（款）其他制造业支出（项）：</w:t>
      </w:r>
      <w:r>
        <w:rPr>
          <w:rFonts w:hint="eastAsia" w:ascii="仿宋_GB2312" w:hAnsi="仿宋_GB2312" w:eastAsia="仿宋_GB2312" w:cs="仿宋_GB2312"/>
          <w:b w:val="0"/>
          <w:bCs/>
          <w:color w:val="000000"/>
          <w:spacing w:val="-2"/>
          <w:sz w:val="32"/>
          <w:szCs w:val="32"/>
          <w:lang w:val="en-US" w:eastAsia="zh-CN"/>
        </w:rPr>
        <w:t>反映除上述项目以外其他用于制造业方面的支出。</w:t>
      </w:r>
    </w:p>
    <w:p>
      <w:pPr>
        <w:pStyle w:val="2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b w:val="0"/>
          <w:bCs/>
          <w:color w:val="000000"/>
          <w:spacing w:val="-2"/>
          <w:sz w:val="32"/>
          <w:szCs w:val="32"/>
          <w:lang w:val="en-US" w:eastAsia="zh-CN"/>
        </w:rPr>
      </w:pPr>
      <w:r>
        <w:rPr>
          <w:rFonts w:hint="eastAsia" w:ascii="仿宋_GB2312" w:hAnsi="仿宋_GB2312" w:eastAsia="仿宋_GB2312" w:cs="仿宋_GB2312"/>
          <w:b/>
          <w:bCs/>
          <w:kern w:val="2"/>
          <w:sz w:val="32"/>
          <w:szCs w:val="32"/>
          <w:lang w:val="en-US" w:eastAsia="zh-CN" w:bidi="ar-SA"/>
        </w:rPr>
        <w:t>37.国有资本经营预算支出（类）解决历史遗留问题及改革成本支出（款）国有企业退休人员社会化管理补助支出（项）：</w:t>
      </w:r>
      <w:r>
        <w:rPr>
          <w:rFonts w:hint="eastAsia" w:ascii="仿宋_GB2312" w:hAnsi="仿宋_GB2312" w:eastAsia="仿宋_GB2312" w:cs="仿宋_GB2312"/>
          <w:b w:val="0"/>
          <w:bCs/>
          <w:color w:val="000000"/>
          <w:spacing w:val="-2"/>
          <w:sz w:val="32"/>
          <w:szCs w:val="32"/>
          <w:lang w:val="en-US" w:eastAsia="zh-CN"/>
        </w:rPr>
        <w:t>反映用国有资本经营预算收入安排的支持国有企业退休人员移交社区实现社会化管理的支出。</w:t>
      </w:r>
    </w:p>
    <w:p>
      <w:pPr>
        <w:keepNext w:val="0"/>
        <w:keepLines w:val="0"/>
        <w:pageBreakBefore w:val="0"/>
        <w:widowControl w:val="0"/>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sz w:val="32"/>
          <w:szCs w:val="32"/>
        </w:rPr>
      </w:pP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hint="eastAsia" w:asciiTheme="minorEastAsia" w:hAnsiTheme="minorEastAsia" w:eastAsiaTheme="minorEastAsia"/>
          <w:b/>
          <w:sz w:val="36"/>
          <w:szCs w:val="36"/>
        </w:rPr>
      </w:pPr>
    </w:p>
    <w:p>
      <w:pPr>
        <w:tabs>
          <w:tab w:val="center" w:pos="6979"/>
        </w:tabs>
        <w:spacing w:line="580" w:lineRule="exact"/>
        <w:ind w:firstLine="720" w:firstLineChars="200"/>
        <w:jc w:val="center"/>
        <w:rPr>
          <w:rFonts w:hint="eastAsia" w:asciiTheme="minorEastAsia" w:hAnsiTheme="minorEastAsia" w:eastAsiaTheme="minorEastAsia"/>
          <w:b/>
          <w:sz w:val="36"/>
          <w:szCs w:val="36"/>
        </w:rPr>
      </w:pPr>
    </w:p>
    <w:p>
      <w:pPr>
        <w:tabs>
          <w:tab w:val="center" w:pos="6979"/>
        </w:tabs>
        <w:spacing w:line="580" w:lineRule="exact"/>
        <w:ind w:firstLine="1800" w:firstLineChars="500"/>
        <w:jc w:val="both"/>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br w:type="page"/>
      </w:r>
    </w:p>
    <w:p>
      <w:pPr>
        <w:keepNext w:val="0"/>
        <w:keepLines w:val="0"/>
        <w:pageBreakBefore w:val="0"/>
        <w:widowControl w:val="0"/>
        <w:tabs>
          <w:tab w:val="center" w:pos="6979"/>
        </w:tabs>
        <w:kinsoku/>
        <w:wordWrap/>
        <w:overflowPunct/>
        <w:topLinePunct w:val="0"/>
        <w:autoSpaceDE/>
        <w:autoSpaceDN/>
        <w:bidi w:val="0"/>
        <w:spacing w:line="560" w:lineRule="exact"/>
        <w:ind w:firstLine="0" w:firstLine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第四部分2025年度部门绩效评价情况</w:t>
      </w:r>
    </w:p>
    <w:p>
      <w:pPr>
        <w:keepNext w:val="0"/>
        <w:keepLines w:val="0"/>
        <w:pageBreakBefore w:val="0"/>
        <w:widowControl w:val="0"/>
        <w:tabs>
          <w:tab w:val="center" w:pos="6979"/>
        </w:tabs>
        <w:kinsoku/>
        <w:wordWrap/>
        <w:overflowPunct/>
        <w:topLinePunct w:val="0"/>
        <w:autoSpaceDE/>
        <w:autoSpaceDN/>
        <w:bidi w:val="0"/>
        <w:spacing w:line="560" w:lineRule="exact"/>
        <w:ind w:firstLine="0" w:firstLineChars="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560" w:lineRule="exact"/>
        <w:ind w:firstLine="0" w:firstLineChars="0"/>
        <w:jc w:val="left"/>
        <w:textAlignment w:val="auto"/>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rPr>
        <w:t>一、部门整体绩效评价报告</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（一）部门概况</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bCs/>
          <w:sz w:val="32"/>
          <w:szCs w:val="32"/>
        </w:rPr>
      </w:pPr>
      <w:bookmarkStart w:id="2" w:name="_Toc268005755"/>
      <w:r>
        <w:rPr>
          <w:rFonts w:hint="eastAsia" w:ascii="仿宋_GB2312" w:hAnsi="仿宋_GB2312" w:eastAsia="仿宋_GB2312" w:cs="仿宋_GB2312"/>
          <w:b/>
          <w:bCs/>
          <w:sz w:val="32"/>
          <w:szCs w:val="32"/>
        </w:rPr>
        <w:t>1.部门职责情况</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东辛房街道办事处是门头沟区人民政府的派出机构，受区人民政府领导。依照法律法规的规定，在本辖区内行使政府管理职能，对辖区内的地区性、社区性和群众性工作负总责，承担</w:t>
      </w:r>
      <w:r>
        <w:rPr>
          <w:rFonts w:hint="eastAsia" w:ascii="仿宋_GB2312" w:hAnsi="仿宋_GB2312" w:eastAsia="仿宋_GB2312" w:cs="仿宋_GB2312"/>
          <w:sz w:val="32"/>
          <w:szCs w:val="32"/>
          <w:lang w:val="en-US" w:eastAsia="zh-CN"/>
        </w:rPr>
        <w:t>制定</w:t>
      </w:r>
      <w:r>
        <w:rPr>
          <w:rFonts w:hint="eastAsia" w:ascii="仿宋_GB2312" w:hAnsi="仿宋_GB2312" w:eastAsia="仿宋_GB2312" w:cs="仿宋_GB2312"/>
          <w:sz w:val="32"/>
          <w:szCs w:val="32"/>
        </w:rPr>
        <w:t>本辖区社区建设总体规划以及组织、指导和协调的职能。</w:t>
      </w:r>
    </w:p>
    <w:p>
      <w:pPr>
        <w:keepNext w:val="0"/>
        <w:keepLines w:val="0"/>
        <w:pageBreakBefore w:val="0"/>
        <w:widowControl w:val="0"/>
        <w:numPr>
          <w:ilvl w:val="0"/>
          <w:numId w:val="0"/>
        </w:numPr>
        <w:kinsoku/>
        <w:wordWrap/>
        <w:overflowPunct/>
        <w:topLinePunct w:val="0"/>
        <w:autoSpaceDE/>
        <w:autoSpaceDN/>
        <w:bidi w:val="0"/>
        <w:spacing w:line="560" w:lineRule="exact"/>
        <w:ind w:leftChars="0"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部门机构设置情况</w:t>
      </w:r>
    </w:p>
    <w:p>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东辛房街道办事处部门共设8个内设机构，下设3个事业单位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分别为东辛房街道便民服务中心(退役军人服务站）、东辛房街道市民活动中心（党群服务中心）、东辛房街道市民诉求处置中心（综治中心）。</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3.2025年主要工作任务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Style w:val="14"/>
          <w:rFonts w:hint="eastAsia" w:ascii="仿宋_GB2312" w:hAnsi="仿宋_GB2312" w:eastAsia="仿宋_GB2312" w:cs="仿宋_GB2312"/>
          <w:sz w:val="32"/>
          <w:szCs w:val="32"/>
          <w:lang w:eastAsia="zh-CN"/>
        </w:rPr>
      </w:pPr>
      <w:r>
        <w:rPr>
          <w:rStyle w:val="14"/>
          <w:rFonts w:hint="eastAsia" w:ascii="仿宋_GB2312" w:hAnsi="仿宋_GB2312" w:eastAsia="仿宋_GB2312" w:cs="仿宋_GB2312"/>
          <w:sz w:val="32"/>
          <w:szCs w:val="32"/>
          <w:lang w:eastAsia="zh-CN"/>
        </w:rPr>
        <w:t>一是</w:t>
      </w:r>
      <w:r>
        <w:rPr>
          <w:rStyle w:val="14"/>
          <w:rFonts w:hint="eastAsia" w:ascii="仿宋_GB2312" w:hAnsi="仿宋_GB2312" w:eastAsia="仿宋_GB2312" w:cs="仿宋_GB2312"/>
          <w:sz w:val="32"/>
          <w:szCs w:val="32"/>
        </w:rPr>
        <w:t>实施“绣花工程”, 提升环境治理水平</w:t>
      </w:r>
      <w:bookmarkStart w:id="3" w:name="OLE_LINK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Style w:val="14"/>
          <w:rFonts w:hint="eastAsia" w:ascii="仿宋_GB2312" w:hAnsi="仿宋_GB2312" w:eastAsia="仿宋_GB2312" w:cs="仿宋_GB2312"/>
          <w:b w:val="0"/>
          <w:bCs/>
          <w:sz w:val="32"/>
          <w:szCs w:val="32"/>
        </w:rPr>
        <w:t>精治大气换蓝天</w:t>
      </w:r>
      <w:bookmarkStart w:id="4" w:name="OLE_LINK11"/>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启动大气污染防治精细化治理项目，引入</w:t>
      </w:r>
      <w:r>
        <w:rPr>
          <w:rStyle w:val="14"/>
          <w:rFonts w:hint="eastAsia" w:ascii="仿宋_GB2312" w:hAnsi="仿宋_GB2312" w:eastAsia="仿宋_GB2312" w:cs="仿宋_GB2312"/>
          <w:b w:val="0"/>
          <w:bCs/>
          <w:sz w:val="32"/>
          <w:szCs w:val="32"/>
          <w:lang w:eastAsia="zh-CN"/>
        </w:rPr>
        <w:t>专业</w:t>
      </w:r>
      <w:r>
        <w:rPr>
          <w:rStyle w:val="14"/>
          <w:rFonts w:hint="eastAsia" w:ascii="仿宋_GB2312" w:hAnsi="仿宋_GB2312" w:eastAsia="仿宋_GB2312" w:cs="仿宋_GB2312"/>
          <w:b w:val="0"/>
          <w:bCs/>
          <w:sz w:val="32"/>
          <w:szCs w:val="32"/>
          <w:highlight w:val="none"/>
        </w:rPr>
        <w:t>团队</w:t>
      </w:r>
      <w:r>
        <w:rPr>
          <w:rStyle w:val="14"/>
          <w:rFonts w:hint="eastAsia" w:ascii="仿宋_GB2312" w:hAnsi="仿宋_GB2312" w:eastAsia="仿宋_GB2312" w:cs="仿宋_GB2312"/>
          <w:b w:val="0"/>
          <w:bCs/>
          <w:sz w:val="32"/>
          <w:szCs w:val="32"/>
          <w:highlight w:val="none"/>
          <w:lang w:eastAsia="zh-CN"/>
        </w:rPr>
        <w:t>等</w:t>
      </w:r>
      <w:r>
        <w:rPr>
          <w:rStyle w:val="14"/>
          <w:rFonts w:hint="eastAsia" w:ascii="仿宋_GB2312" w:hAnsi="仿宋_GB2312" w:eastAsia="仿宋_GB2312" w:cs="仿宋_GB2312"/>
          <w:b w:val="0"/>
          <w:bCs/>
          <w:sz w:val="32"/>
          <w:szCs w:val="32"/>
          <w:highlight w:val="none"/>
        </w:rPr>
        <w:t>对重点区域11处</w:t>
      </w:r>
      <w:r>
        <w:rPr>
          <w:rStyle w:val="14"/>
          <w:rFonts w:hint="eastAsia" w:ascii="仿宋_GB2312" w:hAnsi="仿宋_GB2312" w:eastAsia="仿宋_GB2312" w:cs="仿宋_GB2312"/>
          <w:b w:val="0"/>
          <w:bCs/>
          <w:sz w:val="32"/>
          <w:szCs w:val="32"/>
        </w:rPr>
        <w:t>污染源进行智慧监测。实施道路扬尘分级管控，对重点区域分时段洒水，累计洒水降尘360余次，</w:t>
      </w:r>
      <w:r>
        <w:rPr>
          <w:rStyle w:val="14"/>
          <w:rFonts w:hint="eastAsia" w:ascii="仿宋_GB2312" w:hAnsi="仿宋_GB2312" w:eastAsia="仿宋_GB2312" w:cs="仿宋_GB2312"/>
          <w:b w:val="0"/>
          <w:bCs/>
          <w:sz w:val="32"/>
          <w:szCs w:val="32"/>
          <w:highlight w:val="none"/>
          <w:lang w:eastAsia="zh-CN"/>
        </w:rPr>
        <w:t>开展</w:t>
      </w:r>
      <w:r>
        <w:rPr>
          <w:rStyle w:val="14"/>
          <w:rFonts w:hint="eastAsia" w:ascii="仿宋_GB2312" w:hAnsi="仿宋_GB2312" w:eastAsia="仿宋_GB2312" w:cs="仿宋_GB2312"/>
          <w:b w:val="0"/>
          <w:bCs/>
          <w:sz w:val="32"/>
          <w:szCs w:val="32"/>
        </w:rPr>
        <w:t>清理楼顶</w:t>
      </w:r>
      <w:r>
        <w:rPr>
          <w:rStyle w:val="14"/>
          <w:rFonts w:hint="eastAsia" w:ascii="仿宋_GB2312" w:hAnsi="仿宋_GB2312" w:eastAsia="仿宋_GB2312" w:cs="仿宋_GB2312"/>
          <w:b w:val="0"/>
          <w:bCs/>
          <w:sz w:val="32"/>
          <w:szCs w:val="32"/>
          <w:highlight w:val="none"/>
          <w:lang w:eastAsia="zh-CN"/>
        </w:rPr>
        <w:t>精细化保洁</w:t>
      </w:r>
      <w:r>
        <w:rPr>
          <w:rStyle w:val="14"/>
          <w:rFonts w:hint="eastAsia" w:ascii="仿宋_GB2312" w:hAnsi="仿宋_GB2312" w:eastAsia="仿宋_GB2312" w:cs="仿宋_GB2312"/>
          <w:b w:val="0"/>
          <w:bCs/>
          <w:sz w:val="32"/>
          <w:szCs w:val="32"/>
        </w:rPr>
        <w:t>约12800平方米。加大对施工工地扬尘等问题的执法力度。</w:t>
      </w:r>
      <w:r>
        <w:rPr>
          <w:rStyle w:val="14"/>
          <w:rFonts w:hint="eastAsia" w:ascii="仿宋_GB2312" w:hAnsi="仿宋_GB2312" w:eastAsia="仿宋_GB2312" w:cs="仿宋_GB2312"/>
          <w:b w:val="0"/>
          <w:bCs/>
          <w:sz w:val="32"/>
          <w:szCs w:val="32"/>
          <w:highlight w:val="none"/>
          <w:lang w:eastAsia="zh-CN"/>
        </w:rPr>
        <w:t>截至目前，街道PM2.5平均浓度为26微克/立方米，比去年（34微克/立方米）改善23.5%，排名全区第6。</w:t>
      </w:r>
    </w:p>
    <w:bookmarkEnd w:id="3"/>
    <w:p>
      <w:pPr>
        <w:pStyle w:val="5"/>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bookmarkStart w:id="5" w:name="OLE_LINK13"/>
      <w:r>
        <w:rPr>
          <w:rFonts w:hint="eastAsia" w:ascii="仿宋_GB2312" w:hAnsi="仿宋_GB2312" w:eastAsia="仿宋_GB2312" w:cs="仿宋_GB2312"/>
          <w:b w:val="0"/>
          <w:bCs w:val="0"/>
          <w:sz w:val="32"/>
          <w:szCs w:val="32"/>
        </w:rPr>
        <w:t>精管市容靓街巷</w:t>
      </w:r>
      <w:r>
        <w:rPr>
          <w:rFonts w:hint="eastAsia" w:ascii="仿宋_GB2312" w:hAnsi="仿宋_GB2312" w:eastAsia="仿宋_GB2312" w:cs="仿宋_GB2312"/>
          <w:b w:val="0"/>
          <w:bCs w:val="0"/>
          <w:sz w:val="32"/>
          <w:szCs w:val="32"/>
          <w:lang w:eastAsia="zh-CN"/>
        </w:rPr>
        <w:t>，</w:t>
      </w:r>
      <w:r>
        <w:rPr>
          <w:rStyle w:val="14"/>
          <w:rFonts w:hint="eastAsia" w:ascii="仿宋_GB2312" w:hAnsi="仿宋_GB2312" w:eastAsia="仿宋_GB2312" w:cs="仿宋_GB2312"/>
          <w:b w:val="0"/>
          <w:bCs/>
          <w:kern w:val="2"/>
          <w:sz w:val="32"/>
          <w:szCs w:val="32"/>
          <w:lang w:val="en-US" w:eastAsia="zh-CN" w:bidi="ar-SA"/>
        </w:rPr>
        <w:t>制定《花园街区建设三年行动方案》，秉承“一街巷一景致、一社区一特色”，将</w:t>
      </w:r>
      <w:r>
        <w:rPr>
          <w:rFonts w:hint="eastAsia" w:ascii="仿宋_GB2312" w:hAnsi="仿宋_GB2312" w:eastAsia="仿宋_GB2312" w:cs="仿宋_GB2312"/>
          <w:color w:val="auto"/>
          <w:sz w:val="32"/>
          <w:szCs w:val="32"/>
          <w:highlight w:val="none"/>
          <w:lang w:val="en-US" w:eastAsia="zh-CN"/>
        </w:rPr>
        <w:t>石门营3条街巷和</w:t>
      </w:r>
      <w:r>
        <w:rPr>
          <w:rStyle w:val="14"/>
          <w:rFonts w:hint="eastAsia" w:ascii="仿宋_GB2312" w:hAnsi="仿宋_GB2312" w:eastAsia="仿宋_GB2312" w:cs="仿宋_GB2312"/>
          <w:b w:val="0"/>
          <w:bCs/>
          <w:kern w:val="2"/>
          <w:sz w:val="32"/>
          <w:szCs w:val="32"/>
          <w:lang w:val="en-US" w:eastAsia="zh-CN" w:bidi="ar-SA"/>
        </w:rPr>
        <w:t>6个社区打造成园艺景观、自然教育、生态康养等主题鲜明的城市共享花园。联合共建单位认领绿化养护等，组建200余人的“花园街区志愿队”，构建“规划-建设-养护”全周期管理体系。</w:t>
      </w:r>
      <w:bookmarkEnd w:id="5"/>
      <w:r>
        <w:rPr>
          <w:rFonts w:hint="eastAsia" w:ascii="仿宋_GB2312" w:hAnsi="仿宋_GB2312" w:eastAsia="仿宋_GB2312" w:cs="仿宋_GB2312"/>
          <w:sz w:val="32"/>
          <w:szCs w:val="32"/>
        </w:rPr>
        <w:t>第一季度，街道在门城地区环境建设考核中排名第一。</w:t>
      </w:r>
      <w:bookmarkStart w:id="6" w:name="OLE_LINK6"/>
    </w:p>
    <w:p>
      <w:pPr>
        <w:pStyle w:val="5"/>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精</w:t>
      </w:r>
      <w:r>
        <w:rPr>
          <w:rFonts w:hint="eastAsia" w:ascii="仿宋_GB2312" w:hAnsi="仿宋_GB2312" w:eastAsia="仿宋_GB2312" w:cs="仿宋_GB2312"/>
          <w:b w:val="0"/>
          <w:bCs w:val="0"/>
          <w:sz w:val="32"/>
          <w:szCs w:val="32"/>
          <w:lang w:eastAsia="zh-CN"/>
        </w:rPr>
        <w:t>塑习惯铸文明，</w:t>
      </w:r>
      <w:r>
        <w:rPr>
          <w:rFonts w:hint="eastAsia" w:ascii="仿宋_GB2312" w:hAnsi="仿宋_GB2312" w:eastAsia="仿宋_GB2312" w:cs="仿宋_GB2312"/>
          <w:sz w:val="32"/>
          <w:szCs w:val="32"/>
        </w:rPr>
        <w:t>出台《生活垃圾分类管理责任人资金激励办法》，创新“正向激励+柔性引导”机制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落实桶前值守人员线上打卡制度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举办</w:t>
      </w:r>
      <w:r>
        <w:rPr>
          <w:rFonts w:hint="eastAsia" w:ascii="仿宋_GB2312" w:hAnsi="仿宋_GB2312" w:eastAsia="仿宋_GB2312" w:cs="仿宋_GB2312"/>
          <w:sz w:val="32"/>
          <w:szCs w:val="32"/>
          <w:lang w:eastAsia="zh-CN"/>
        </w:rPr>
        <w:t>垃圾分类</w:t>
      </w:r>
      <w:r>
        <w:rPr>
          <w:rFonts w:hint="eastAsia" w:ascii="仿宋_GB2312" w:hAnsi="仿宋_GB2312" w:eastAsia="仿宋_GB2312" w:cs="仿宋_GB2312"/>
          <w:sz w:val="32"/>
          <w:szCs w:val="32"/>
        </w:rPr>
        <w:t>数字展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开展“低碳新时尚”等宣传活动30余场，</w:t>
      </w:r>
      <w:r>
        <w:rPr>
          <w:rFonts w:hint="eastAsia" w:ascii="仿宋_GB2312" w:hAnsi="仿宋_GB2312" w:eastAsia="仿宋_GB2312" w:cs="仿宋_GB2312"/>
          <w:color w:val="000000"/>
          <w:sz w:val="32"/>
          <w:szCs w:val="32"/>
        </w:rPr>
        <w:t>深入推进精神文明建设，持续推进文明养犬、光盘行动等。</w:t>
      </w:r>
      <w:r>
        <w:rPr>
          <w:rStyle w:val="14"/>
          <w:rFonts w:hint="eastAsia" w:ascii="仿宋_GB2312" w:hAnsi="仿宋_GB2312" w:eastAsia="仿宋_GB2312" w:cs="仿宋_GB2312"/>
          <w:b w:val="0"/>
          <w:bCs/>
          <w:sz w:val="32"/>
          <w:szCs w:val="32"/>
          <w:highlight w:val="none"/>
        </w:rPr>
        <w:t>开展“最美商户”“最美家庭”等</w:t>
      </w:r>
      <w:r>
        <w:rPr>
          <w:rStyle w:val="14"/>
          <w:rFonts w:hint="eastAsia" w:ascii="仿宋_GB2312" w:hAnsi="仿宋_GB2312" w:eastAsia="仿宋_GB2312" w:cs="仿宋_GB2312"/>
          <w:b w:val="0"/>
          <w:bCs/>
          <w:sz w:val="32"/>
          <w:szCs w:val="32"/>
          <w:highlight w:val="none"/>
          <w:lang w:eastAsia="zh-CN"/>
        </w:rPr>
        <w:t>系</w:t>
      </w:r>
      <w:r>
        <w:rPr>
          <w:rStyle w:val="14"/>
          <w:rFonts w:hint="eastAsia" w:ascii="仿宋_GB2312" w:hAnsi="仿宋_GB2312" w:eastAsia="仿宋_GB2312" w:cs="仿宋_GB2312"/>
          <w:b w:val="0"/>
          <w:bCs/>
          <w:sz w:val="32"/>
          <w:szCs w:val="32"/>
          <w:lang w:eastAsia="zh-CN"/>
        </w:rPr>
        <w:t>列</w:t>
      </w:r>
      <w:r>
        <w:rPr>
          <w:rStyle w:val="14"/>
          <w:rFonts w:hint="eastAsia" w:ascii="仿宋_GB2312" w:hAnsi="仿宋_GB2312" w:eastAsia="仿宋_GB2312" w:cs="仿宋_GB2312"/>
          <w:b w:val="0"/>
          <w:bCs/>
          <w:sz w:val="32"/>
          <w:szCs w:val="32"/>
        </w:rPr>
        <w:t>评选活动。</w:t>
      </w:r>
    </w:p>
    <w:bookmarkEnd w:id="6"/>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bookmarkStart w:id="7" w:name="OLE_LINK9"/>
      <w:bookmarkStart w:id="8" w:name="OLE_LINK5"/>
      <w:r>
        <w:rPr>
          <w:rFonts w:hint="eastAsia" w:ascii="仿宋_GB2312" w:hAnsi="仿宋_GB2312" w:eastAsia="仿宋_GB2312" w:cs="仿宋_GB2312"/>
          <w:b w:val="0"/>
          <w:bCs w:val="0"/>
          <w:sz w:val="32"/>
          <w:szCs w:val="32"/>
        </w:rPr>
        <w:t>精</w:t>
      </w:r>
      <w:r>
        <w:rPr>
          <w:rFonts w:hint="eastAsia" w:ascii="仿宋_GB2312" w:hAnsi="仿宋_GB2312" w:eastAsia="仿宋_GB2312" w:cs="仿宋_GB2312"/>
          <w:b w:val="0"/>
          <w:bCs w:val="0"/>
          <w:sz w:val="32"/>
          <w:szCs w:val="32"/>
          <w:lang w:eastAsia="zh-CN"/>
        </w:rPr>
        <w:t>修</w:t>
      </w:r>
      <w:r>
        <w:rPr>
          <w:rFonts w:hint="eastAsia" w:ascii="仿宋_GB2312" w:hAnsi="仿宋_GB2312" w:eastAsia="仿宋_GB2312" w:cs="仿宋_GB2312"/>
          <w:b w:val="0"/>
          <w:bCs w:val="0"/>
          <w:sz w:val="32"/>
          <w:szCs w:val="32"/>
        </w:rPr>
        <w:t>设施暖民心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协调</w:t>
      </w:r>
      <w:r>
        <w:rPr>
          <w:rFonts w:hint="eastAsia" w:ascii="仿宋_GB2312" w:hAnsi="仿宋_GB2312" w:eastAsia="仿宋_GB2312" w:cs="仿宋_GB2312"/>
          <w:color w:val="auto"/>
          <w:sz w:val="32"/>
          <w:szCs w:val="32"/>
          <w:lang w:val="en-US" w:eastAsia="zh-CN"/>
        </w:rPr>
        <w:t>开展石门营地区650个路侧停车位试点居住认证</w:t>
      </w:r>
      <w:r>
        <w:rPr>
          <w:rFonts w:hint="eastAsia" w:ascii="仿宋_GB2312" w:hAnsi="仿宋_GB2312" w:eastAsia="仿宋_GB2312" w:cs="仿宋_GB2312"/>
          <w:sz w:val="32"/>
          <w:szCs w:val="32"/>
        </w:rPr>
        <w:t>，盘活利用地下车位1368个</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color w:val="auto"/>
          <w:sz w:val="32"/>
          <w:szCs w:val="32"/>
          <w:lang w:val="en-US" w:eastAsia="zh-CN"/>
        </w:rPr>
        <w:t>S1线桥下空间等停车位357个。</w:t>
      </w:r>
      <w:r>
        <w:rPr>
          <w:rStyle w:val="14"/>
          <w:rFonts w:hint="eastAsia" w:ascii="仿宋_GB2312" w:hAnsi="仿宋_GB2312" w:eastAsia="仿宋_GB2312" w:cs="仿宋_GB2312"/>
          <w:b w:val="0"/>
          <w:bCs/>
          <w:sz w:val="32"/>
          <w:szCs w:val="32"/>
        </w:rPr>
        <w:t>推动B4地下车库治理</w:t>
      </w:r>
      <w:r>
        <w:rPr>
          <w:rStyle w:val="14"/>
          <w:rFonts w:hint="eastAsia" w:ascii="仿宋_GB2312" w:hAnsi="仿宋_GB2312" w:eastAsia="仿宋_GB2312" w:cs="仿宋_GB2312"/>
          <w:b w:val="0"/>
          <w:bCs/>
          <w:sz w:val="32"/>
          <w:szCs w:val="32"/>
          <w:lang w:eastAsia="zh-CN"/>
        </w:rPr>
        <w:t>以及</w:t>
      </w:r>
      <w:r>
        <w:rPr>
          <w:rStyle w:val="14"/>
          <w:rFonts w:hint="eastAsia" w:ascii="仿宋_GB2312" w:hAnsi="仿宋_GB2312" w:eastAsia="仿宋_GB2312" w:cs="仿宋_GB2312"/>
          <w:b w:val="0"/>
          <w:bCs/>
          <w:sz w:val="32"/>
          <w:szCs w:val="32"/>
        </w:rPr>
        <w:t>石门营供水管道改造项目落地</w:t>
      </w:r>
      <w:r>
        <w:rPr>
          <w:rStyle w:val="14"/>
          <w:rFonts w:hint="eastAsia" w:ascii="仿宋_GB2312" w:hAnsi="仿宋_GB2312" w:eastAsia="仿宋_GB2312" w:cs="仿宋_GB2312"/>
          <w:b w:val="0"/>
          <w:bCs/>
          <w:sz w:val="32"/>
          <w:szCs w:val="32"/>
          <w:lang w:eastAsia="zh-CN"/>
        </w:rPr>
        <w:t>。实施</w:t>
      </w:r>
      <w:r>
        <w:rPr>
          <w:rFonts w:hint="eastAsia" w:ascii="仿宋_GB2312" w:hAnsi="仿宋_GB2312" w:eastAsia="仿宋_GB2312" w:cs="仿宋_GB2312"/>
          <w:sz w:val="32"/>
          <w:szCs w:val="32"/>
          <w:lang w:val="en-US" w:eastAsia="zh-CN"/>
        </w:rPr>
        <w:t>5个</w:t>
      </w:r>
      <w:r>
        <w:rPr>
          <w:rStyle w:val="14"/>
          <w:rFonts w:hint="eastAsia" w:ascii="仿宋_GB2312" w:hAnsi="仿宋_GB2312" w:eastAsia="仿宋_GB2312" w:cs="仿宋_GB2312"/>
          <w:b w:val="0"/>
          <w:bCs/>
          <w:sz w:val="32"/>
          <w:szCs w:val="32"/>
        </w:rPr>
        <w:t>老旧小区上下水</w:t>
      </w:r>
      <w:r>
        <w:rPr>
          <w:rFonts w:hint="eastAsia" w:ascii="仿宋_GB2312" w:hAnsi="仿宋_GB2312" w:eastAsia="仿宋_GB2312" w:cs="仿宋_GB2312"/>
          <w:sz w:val="32"/>
          <w:szCs w:val="32"/>
          <w:lang w:val="en-US" w:eastAsia="zh-CN"/>
        </w:rPr>
        <w:t>“管线节能改造+环境综合提升”一体化</w:t>
      </w:r>
      <w:r>
        <w:rPr>
          <w:rStyle w:val="14"/>
          <w:rFonts w:hint="eastAsia" w:ascii="仿宋_GB2312" w:hAnsi="仿宋_GB2312" w:eastAsia="仿宋_GB2312" w:cs="仿宋_GB2312"/>
          <w:b w:val="0"/>
          <w:bCs/>
          <w:sz w:val="32"/>
          <w:szCs w:val="32"/>
        </w:rPr>
        <w:t>改造项目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lang w:val="en-US" w:eastAsia="zh-CN"/>
        </w:rPr>
        <w:t>累计铺设管道2000余米，修复路面1000平方米，极大地改善了居民生活。</w:t>
      </w:r>
    </w:p>
    <w:bookmarkEnd w:id="4"/>
    <w:bookmarkEnd w:id="7"/>
    <w:bookmarkEnd w:id="8"/>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Style w:val="14"/>
          <w:rFonts w:hint="eastAsia" w:ascii="仿宋_GB2312" w:hAnsi="仿宋_GB2312" w:eastAsia="仿宋_GB2312" w:cs="仿宋_GB2312"/>
          <w:sz w:val="32"/>
          <w:szCs w:val="32"/>
          <w:lang w:eastAsia="zh-CN"/>
        </w:rPr>
      </w:pPr>
      <w:r>
        <w:rPr>
          <w:rStyle w:val="14"/>
          <w:rFonts w:hint="eastAsia" w:ascii="仿宋_GB2312" w:hAnsi="仿宋_GB2312" w:eastAsia="仿宋_GB2312" w:cs="仿宋_GB2312"/>
          <w:sz w:val="32"/>
          <w:szCs w:val="32"/>
          <w:lang w:eastAsia="zh-CN"/>
        </w:rPr>
        <w:t>二是</w:t>
      </w:r>
      <w:r>
        <w:rPr>
          <w:rStyle w:val="14"/>
          <w:rFonts w:hint="eastAsia" w:ascii="仿宋_GB2312" w:hAnsi="仿宋_GB2312" w:eastAsia="仿宋_GB2312" w:cs="仿宋_GB2312"/>
          <w:sz w:val="32"/>
          <w:szCs w:val="32"/>
        </w:rPr>
        <w:t>实施“浸润工程”, 提升居民幸福指数</w:t>
      </w:r>
      <w:bookmarkStart w:id="9" w:name="OLE_LINK1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lang w:eastAsia="zh-CN"/>
        </w:rPr>
      </w:pPr>
      <w:r>
        <w:rPr>
          <w:rStyle w:val="14"/>
          <w:rFonts w:hint="eastAsia" w:ascii="仿宋_GB2312" w:hAnsi="仿宋_GB2312" w:eastAsia="仿宋_GB2312" w:cs="仿宋_GB2312"/>
          <w:b w:val="0"/>
          <w:bCs/>
          <w:sz w:val="32"/>
          <w:szCs w:val="32"/>
        </w:rPr>
        <w:t>以历史为根，</w:t>
      </w:r>
      <w:r>
        <w:rPr>
          <w:rStyle w:val="14"/>
          <w:rFonts w:hint="eastAsia" w:ascii="仿宋_GB2312" w:hAnsi="仿宋_GB2312" w:eastAsia="仿宋_GB2312" w:cs="仿宋_GB2312"/>
          <w:b w:val="0"/>
          <w:bCs/>
          <w:sz w:val="32"/>
          <w:szCs w:val="32"/>
          <w:lang w:eastAsia="zh-CN"/>
        </w:rPr>
        <w:t>强化</w:t>
      </w:r>
      <w:r>
        <w:rPr>
          <w:rStyle w:val="14"/>
          <w:rFonts w:hint="eastAsia" w:ascii="仿宋_GB2312" w:hAnsi="仿宋_GB2312" w:eastAsia="仿宋_GB2312" w:cs="仿宋_GB2312"/>
          <w:b w:val="0"/>
          <w:bCs/>
          <w:sz w:val="32"/>
          <w:szCs w:val="32"/>
        </w:rPr>
        <w:t>文化传承</w:t>
      </w:r>
      <w:r>
        <w:rPr>
          <w:rStyle w:val="14"/>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组织</w:t>
      </w:r>
      <w:r>
        <w:rPr>
          <w:rFonts w:hint="eastAsia" w:ascii="仿宋_GB2312" w:hAnsi="仿宋_GB2312" w:eastAsia="仿宋_GB2312" w:cs="仿宋_GB2312"/>
          <w:sz w:val="32"/>
          <w:szCs w:val="32"/>
        </w:rPr>
        <w:t>专业文化团队</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，深入调研</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发掘地区历史文化资源。</w:t>
      </w:r>
      <w:r>
        <w:rPr>
          <w:rFonts w:hint="eastAsia" w:ascii="仿宋_GB2312" w:hAnsi="仿宋_GB2312" w:eastAsia="仿宋_GB2312" w:cs="仿宋_GB2312"/>
          <w:sz w:val="32"/>
          <w:szCs w:val="32"/>
          <w:lang w:val="en-US" w:eastAsia="zh-CN"/>
        </w:rPr>
        <w:t>开展文化大讲堂系列讲座，</w:t>
      </w:r>
      <w:r>
        <w:rPr>
          <w:rFonts w:hint="eastAsia" w:ascii="仿宋_GB2312" w:hAnsi="仿宋_GB2312" w:eastAsia="仿宋_GB2312" w:cs="仿宋_GB2312"/>
          <w:sz w:val="32"/>
          <w:szCs w:val="32"/>
        </w:rPr>
        <w:t>举办文化溯源研讨交流会，建立以非遗剪纸项目传承人赖东丽老师为核心的</w:t>
      </w:r>
      <w:r>
        <w:rPr>
          <w:rFonts w:hint="eastAsia" w:ascii="仿宋_GB2312" w:hAnsi="仿宋_GB2312" w:eastAsia="仿宋_GB2312" w:cs="仿宋_GB2312"/>
          <w:sz w:val="32"/>
          <w:szCs w:val="32"/>
          <w:highlight w:val="none"/>
        </w:rPr>
        <w:t>剪纸服装研发团队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组建鲁氏太平鼓传承队，</w:t>
      </w:r>
      <w:r>
        <w:rPr>
          <w:rFonts w:hint="eastAsia" w:ascii="仿宋_GB2312" w:hAnsi="仿宋_GB2312" w:eastAsia="仿宋_GB2312" w:cs="仿宋_GB2312"/>
          <w:sz w:val="32"/>
          <w:szCs w:val="32"/>
        </w:rPr>
        <w:t>打造</w:t>
      </w:r>
      <w:r>
        <w:rPr>
          <w:rFonts w:hint="eastAsia" w:ascii="仿宋_GB2312" w:hAnsi="仿宋_GB2312" w:eastAsia="仿宋_GB2312" w:cs="仿宋_GB2312"/>
          <w:kern w:val="2"/>
          <w:sz w:val="32"/>
          <w:szCs w:val="32"/>
          <w:highlight w:val="none"/>
          <w:lang w:val="en-US" w:eastAsia="zh-CN" w:bidi="ar-SA"/>
        </w:rPr>
        <w:t>非遗社区和</w:t>
      </w:r>
      <w:r>
        <w:rPr>
          <w:rFonts w:hint="eastAsia" w:ascii="仿宋_GB2312" w:hAnsi="仿宋_GB2312" w:eastAsia="仿宋_GB2312" w:cs="仿宋_GB2312"/>
          <w:sz w:val="32"/>
          <w:szCs w:val="32"/>
        </w:rPr>
        <w:t>街道“非遗传习室”</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4"/>
          <w:rFonts w:hint="eastAsia" w:ascii="仿宋_GB2312" w:hAnsi="仿宋_GB2312" w:eastAsia="仿宋_GB2312" w:cs="仿宋_GB2312"/>
          <w:b w:val="0"/>
          <w:bCs/>
          <w:sz w:val="32"/>
          <w:szCs w:val="32"/>
        </w:rPr>
      </w:pPr>
      <w:r>
        <w:rPr>
          <w:rStyle w:val="14"/>
          <w:rFonts w:hint="eastAsia" w:ascii="仿宋_GB2312" w:hAnsi="仿宋_GB2312" w:eastAsia="仿宋_GB2312" w:cs="仿宋_GB2312"/>
          <w:b w:val="0"/>
          <w:bCs/>
          <w:sz w:val="32"/>
          <w:szCs w:val="32"/>
        </w:rPr>
        <w:t>以阵地为基，</w:t>
      </w:r>
      <w:r>
        <w:rPr>
          <w:rStyle w:val="14"/>
          <w:rFonts w:hint="eastAsia" w:ascii="仿宋_GB2312" w:hAnsi="仿宋_GB2312" w:eastAsia="仿宋_GB2312" w:cs="仿宋_GB2312"/>
          <w:b w:val="0"/>
          <w:bCs/>
          <w:sz w:val="32"/>
          <w:szCs w:val="32"/>
          <w:lang w:eastAsia="zh-CN"/>
        </w:rPr>
        <w:t>强化</w:t>
      </w:r>
      <w:r>
        <w:rPr>
          <w:rStyle w:val="14"/>
          <w:rFonts w:hint="eastAsia" w:ascii="仿宋_GB2312" w:hAnsi="仿宋_GB2312" w:eastAsia="仿宋_GB2312" w:cs="仿宋_GB2312"/>
          <w:b w:val="0"/>
          <w:bCs/>
          <w:sz w:val="32"/>
          <w:szCs w:val="32"/>
        </w:rPr>
        <w:t>空间拓展</w:t>
      </w:r>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开展"最门头沟"阅读系列活动，定期举办读书会、图书交换与图书漂流等活动，推动全民阅读。</w:t>
      </w:r>
      <w:r>
        <w:rPr>
          <w:rFonts w:hint="eastAsia" w:ascii="仿宋_GB2312" w:hAnsi="仿宋_GB2312" w:eastAsia="仿宋_GB2312" w:cs="仿宋_GB2312"/>
          <w:color w:val="auto"/>
          <w:sz w:val="32"/>
          <w:szCs w:val="32"/>
        </w:rPr>
        <w:t>在文化中心</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rPr>
        <w:t>区图书馆分馆，在党群服务中心建设</w:t>
      </w:r>
      <w:r>
        <w:rPr>
          <w:rFonts w:hint="eastAsia" w:ascii="仿宋_GB2312" w:hAnsi="仿宋_GB2312" w:eastAsia="仿宋_GB2312" w:cs="仿宋_GB2312"/>
          <w:color w:val="auto"/>
          <w:sz w:val="32"/>
          <w:szCs w:val="32"/>
          <w:lang w:eastAsia="zh-CN"/>
        </w:rPr>
        <w:t>静思书吧</w:t>
      </w:r>
      <w:r>
        <w:rPr>
          <w:rFonts w:hint="eastAsia" w:ascii="仿宋_GB2312" w:hAnsi="仿宋_GB2312" w:eastAsia="仿宋_GB2312" w:cs="仿宋_GB2312"/>
          <w:color w:val="auto"/>
          <w:sz w:val="32"/>
          <w:szCs w:val="32"/>
        </w:rPr>
        <w:t>，在9个社区建造社区</w:t>
      </w:r>
      <w:r>
        <w:rPr>
          <w:rFonts w:hint="eastAsia" w:ascii="仿宋_GB2312" w:hAnsi="仿宋_GB2312" w:eastAsia="仿宋_GB2312" w:cs="仿宋_GB2312"/>
          <w:color w:val="auto"/>
          <w:sz w:val="32"/>
          <w:szCs w:val="32"/>
          <w:lang w:eastAsia="zh-CN"/>
        </w:rPr>
        <w:t>图书室</w:t>
      </w:r>
      <w:r>
        <w:rPr>
          <w:rFonts w:hint="eastAsia" w:ascii="仿宋_GB2312" w:hAnsi="仿宋_GB2312" w:eastAsia="仿宋_GB2312" w:cs="仿宋_GB2312"/>
          <w:color w:val="auto"/>
          <w:sz w:val="32"/>
          <w:szCs w:val="32"/>
        </w:rPr>
        <w:t>，</w:t>
      </w:r>
      <w:r>
        <w:rPr>
          <w:rStyle w:val="14"/>
          <w:rFonts w:hint="eastAsia" w:ascii="仿宋_GB2312" w:hAnsi="仿宋_GB2312" w:eastAsia="仿宋_GB2312" w:cs="仿宋_GB2312"/>
          <w:b w:val="0"/>
          <w:bCs/>
          <w:sz w:val="32"/>
          <w:szCs w:val="32"/>
        </w:rPr>
        <w:t>深化书香阵地建设，</w:t>
      </w:r>
      <w:r>
        <w:rPr>
          <w:rFonts w:hint="eastAsia" w:ascii="仿宋_GB2312" w:hAnsi="仿宋_GB2312" w:eastAsia="仿宋_GB2312" w:cs="仿宋_GB2312"/>
          <w:color w:val="auto"/>
          <w:sz w:val="32"/>
          <w:szCs w:val="32"/>
        </w:rPr>
        <w:t>打造“五分钟阅读圈”</w:t>
      </w:r>
      <w:r>
        <w:rPr>
          <w:rFonts w:hint="eastAsia" w:ascii="仿宋_GB2312" w:hAnsi="仿宋_GB2312" w:eastAsia="仿宋_GB2312" w:cs="仿宋_GB2312"/>
          <w:color w:val="auto"/>
          <w:sz w:val="32"/>
          <w:szCs w:val="32"/>
          <w:lang w:eastAsia="zh-CN"/>
        </w:rPr>
        <w:t>。其中</w:t>
      </w:r>
      <w:r>
        <w:rPr>
          <w:rStyle w:val="14"/>
          <w:rFonts w:hint="eastAsia" w:ascii="仿宋_GB2312" w:hAnsi="仿宋_GB2312" w:eastAsia="仿宋_GB2312" w:cs="仿宋_GB2312"/>
          <w:b w:val="0"/>
          <w:bCs/>
          <w:sz w:val="32"/>
          <w:szCs w:val="32"/>
        </w:rPr>
        <w:t>西山印文化服务中心“井架子”沉浸式文旅空间设计成功入选2024—2025年度最美乡村公共文化空间。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Style w:val="14"/>
          <w:rFonts w:hint="eastAsia" w:ascii="仿宋_GB2312" w:hAnsi="仿宋_GB2312" w:eastAsia="仿宋_GB2312" w:cs="仿宋_GB2312"/>
          <w:b w:val="0"/>
          <w:bCs/>
          <w:sz w:val="32"/>
          <w:szCs w:val="32"/>
        </w:rPr>
      </w:pPr>
      <w:r>
        <w:rPr>
          <w:rStyle w:val="14"/>
          <w:rFonts w:hint="eastAsia" w:ascii="仿宋_GB2312" w:hAnsi="仿宋_GB2312" w:eastAsia="仿宋_GB2312" w:cs="仿宋_GB2312"/>
          <w:b w:val="0"/>
          <w:bCs/>
          <w:sz w:val="32"/>
          <w:szCs w:val="32"/>
        </w:rPr>
        <w:t>以活动为媒，</w:t>
      </w:r>
      <w:r>
        <w:rPr>
          <w:rStyle w:val="14"/>
          <w:rFonts w:hint="eastAsia" w:ascii="仿宋_GB2312" w:hAnsi="仿宋_GB2312" w:eastAsia="仿宋_GB2312" w:cs="仿宋_GB2312"/>
          <w:b w:val="0"/>
          <w:bCs/>
          <w:sz w:val="32"/>
          <w:szCs w:val="32"/>
          <w:lang w:eastAsia="zh-CN"/>
        </w:rPr>
        <w:t>强化</w:t>
      </w:r>
      <w:r>
        <w:rPr>
          <w:rStyle w:val="14"/>
          <w:rFonts w:hint="eastAsia" w:ascii="仿宋_GB2312" w:hAnsi="仿宋_GB2312" w:eastAsia="仿宋_GB2312" w:cs="仿宋_GB2312"/>
          <w:b w:val="0"/>
          <w:bCs/>
          <w:sz w:val="32"/>
          <w:szCs w:val="32"/>
        </w:rPr>
        <w:t>文化惠民</w:t>
      </w:r>
      <w:r>
        <w:rPr>
          <w:rStyle w:val="14"/>
          <w:rFonts w:hint="eastAsia" w:ascii="仿宋_GB2312" w:hAnsi="仿宋_GB2312" w:eastAsia="仿宋_GB2312" w:cs="仿宋_GB2312"/>
          <w:b w:val="0"/>
          <w:bCs/>
          <w:sz w:val="32"/>
          <w:szCs w:val="32"/>
          <w:lang w:eastAsia="zh-CN"/>
        </w:rPr>
        <w:t>，</w:t>
      </w:r>
      <w:r>
        <w:rPr>
          <w:rStyle w:val="14"/>
          <w:rFonts w:hint="eastAsia" w:ascii="仿宋_GB2312" w:hAnsi="仿宋_GB2312" w:eastAsia="仿宋_GB2312" w:cs="仿宋_GB2312"/>
          <w:b w:val="0"/>
          <w:bCs/>
          <w:sz w:val="32"/>
          <w:szCs w:val="32"/>
        </w:rPr>
        <w:t>成立舞蹈类、曲艺类等46支文化团队，开展各类文化活动150场</w:t>
      </w:r>
      <w:r>
        <w:rPr>
          <w:rStyle w:val="14"/>
          <w:rFonts w:hint="eastAsia" w:ascii="仿宋_GB2312" w:hAnsi="仿宋_GB2312" w:eastAsia="仿宋_GB2312" w:cs="仿宋_GB2312"/>
          <w:b w:val="0"/>
          <w:bCs/>
          <w:sz w:val="32"/>
          <w:szCs w:val="32"/>
          <w:lang w:eastAsia="zh-CN"/>
        </w:rPr>
        <w:t>参与</w:t>
      </w:r>
      <w:r>
        <w:rPr>
          <w:rStyle w:val="14"/>
          <w:rFonts w:hint="eastAsia" w:ascii="仿宋_GB2312" w:hAnsi="仿宋_GB2312" w:eastAsia="仿宋_GB2312" w:cs="仿宋_GB2312"/>
          <w:b w:val="0"/>
          <w:bCs/>
          <w:sz w:val="32"/>
          <w:szCs w:val="32"/>
        </w:rPr>
        <w:t>23301人次。举办新春庙会和元宵游园会，获人民网、北京电视台等多家媒体报道。举办第三届风采大赛及邻里节群众大联欢活动，</w:t>
      </w:r>
      <w:r>
        <w:rPr>
          <w:rFonts w:hint="eastAsia" w:ascii="仿宋_GB2312" w:hAnsi="仿宋_GB2312" w:eastAsia="仿宋_GB2312" w:cs="仿宋_GB2312"/>
          <w:kern w:val="0"/>
          <w:sz w:val="32"/>
          <w:szCs w:val="32"/>
          <w:lang w:eastAsia="zh-CN"/>
        </w:rPr>
        <w:t>邀请中国评剧院等</w:t>
      </w:r>
      <w:r>
        <w:rPr>
          <w:rStyle w:val="14"/>
          <w:rFonts w:hint="eastAsia" w:ascii="仿宋_GB2312" w:hAnsi="仿宋_GB2312" w:eastAsia="仿宋_GB2312" w:cs="仿宋_GB2312"/>
          <w:b w:val="0"/>
          <w:bCs/>
          <w:sz w:val="32"/>
          <w:szCs w:val="32"/>
          <w:lang w:eastAsia="zh-CN"/>
        </w:rPr>
        <w:t>开展</w:t>
      </w:r>
      <w:r>
        <w:rPr>
          <w:rStyle w:val="14"/>
          <w:rFonts w:hint="eastAsia" w:ascii="仿宋_GB2312" w:hAnsi="仿宋_GB2312" w:eastAsia="仿宋_GB2312" w:cs="仿宋_GB2312"/>
          <w:b w:val="0"/>
          <w:bCs/>
          <w:sz w:val="32"/>
          <w:szCs w:val="32"/>
        </w:rPr>
        <w:t>精品演出季</w:t>
      </w:r>
      <w:r>
        <w:rPr>
          <w:rStyle w:val="14"/>
          <w:rFonts w:hint="eastAsia" w:ascii="仿宋_GB2312" w:hAnsi="仿宋_GB2312" w:eastAsia="仿宋_GB2312" w:cs="仿宋_GB2312"/>
          <w:b w:val="0"/>
          <w:bCs/>
          <w:sz w:val="32"/>
          <w:szCs w:val="32"/>
          <w:lang w:val="en-US" w:eastAsia="zh-CN"/>
        </w:rPr>
        <w:t>14场</w:t>
      </w:r>
      <w:r>
        <w:rPr>
          <w:rStyle w:val="14"/>
          <w:rFonts w:hint="eastAsia" w:ascii="仿宋_GB2312" w:hAnsi="仿宋_GB2312" w:eastAsia="仿宋_GB2312" w:cs="仿宋_GB2312"/>
          <w:b w:val="0"/>
          <w:bCs/>
          <w:sz w:val="32"/>
          <w:szCs w:val="32"/>
        </w:rPr>
        <w:t>。机关干部队获得区级广播操比赛一等奖，朗诵作品《京西，我故乡的祖国》登上门头沟区春晚。</w:t>
      </w:r>
    </w:p>
    <w:bookmarkEnd w:id="9"/>
    <w:p>
      <w:pPr>
        <w:keepNext w:val="0"/>
        <w:keepLines w:val="0"/>
        <w:pageBreakBefore w:val="0"/>
        <w:widowControl w:val="0"/>
        <w:tabs>
          <w:tab w:val="left" w:pos="420"/>
        </w:tabs>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bCs/>
          <w:color w:val="000000"/>
          <w:sz w:val="32"/>
          <w:szCs w:val="32"/>
          <w:shd w:val="clear" w:color="auto" w:fill="FFFFFF"/>
          <w:lang w:eastAsia="zh-CN"/>
        </w:rPr>
      </w:pPr>
      <w:r>
        <w:rPr>
          <w:rFonts w:hint="eastAsia" w:ascii="仿宋_GB2312" w:hAnsi="仿宋_GB2312" w:eastAsia="仿宋_GB2312" w:cs="仿宋_GB2312"/>
          <w:b/>
          <w:bCs/>
          <w:color w:val="000000"/>
          <w:sz w:val="32"/>
          <w:szCs w:val="32"/>
          <w:shd w:val="clear" w:color="auto" w:fill="FFFFFF"/>
          <w:lang w:eastAsia="zh-CN"/>
        </w:rPr>
        <w:t>三是</w:t>
      </w:r>
      <w:r>
        <w:rPr>
          <w:rFonts w:hint="eastAsia" w:ascii="仿宋_GB2312" w:hAnsi="仿宋_GB2312" w:eastAsia="仿宋_GB2312" w:cs="仿宋_GB2312"/>
          <w:b/>
          <w:bCs/>
          <w:color w:val="000000"/>
          <w:sz w:val="32"/>
          <w:szCs w:val="32"/>
          <w:shd w:val="clear" w:color="auto" w:fill="FFFFFF"/>
        </w:rPr>
        <w:t>实施“暖心工程”，提升民生保障水平</w:t>
      </w:r>
    </w:p>
    <w:p>
      <w:pPr>
        <w:keepNext w:val="0"/>
        <w:keepLines w:val="0"/>
        <w:pageBreakBefore w:val="0"/>
        <w:widowControl w:val="0"/>
        <w:tabs>
          <w:tab w:val="left" w:pos="420"/>
        </w:tabs>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sz w:val="32"/>
          <w:szCs w:val="32"/>
          <w:shd w:val="clear" w:color="auto" w:fill="FFFFFF"/>
          <w:lang w:eastAsia="zh-CN"/>
        </w:rPr>
        <w:t>关爱“一老</w:t>
      </w:r>
      <w:r>
        <w:rPr>
          <w:rFonts w:hint="eastAsia" w:ascii="仿宋_GB2312" w:hAnsi="仿宋_GB2312" w:eastAsia="仿宋_GB2312" w:cs="仿宋_GB2312"/>
          <w:b w:val="0"/>
          <w:bCs w:val="0"/>
          <w:color w:val="000000"/>
          <w:sz w:val="32"/>
          <w:szCs w:val="32"/>
          <w:highlight w:val="none"/>
          <w:shd w:val="clear" w:color="auto" w:fill="FFFFFF"/>
          <w:lang w:eastAsia="zh-CN"/>
        </w:rPr>
        <w:t>一小”，</w:t>
      </w:r>
      <w:r>
        <w:rPr>
          <w:rFonts w:hint="eastAsia" w:ascii="仿宋_GB2312" w:hAnsi="仿宋_GB2312" w:eastAsia="仿宋_GB2312" w:cs="仿宋_GB2312"/>
          <w:b w:val="0"/>
          <w:bCs w:val="0"/>
          <w:color w:val="000000"/>
          <w:sz w:val="32"/>
          <w:szCs w:val="32"/>
          <w:highlight w:val="none"/>
          <w:shd w:val="clear" w:color="auto" w:fill="FFFFFF"/>
        </w:rPr>
        <w:t>守护幸</w:t>
      </w:r>
      <w:r>
        <w:rPr>
          <w:rFonts w:hint="eastAsia" w:ascii="仿宋_GB2312" w:hAnsi="仿宋_GB2312" w:eastAsia="仿宋_GB2312" w:cs="仿宋_GB2312"/>
          <w:b w:val="0"/>
          <w:bCs w:val="0"/>
          <w:color w:val="000000"/>
          <w:sz w:val="32"/>
          <w:szCs w:val="32"/>
          <w:shd w:val="clear" w:color="auto" w:fill="FFFFFF"/>
        </w:rPr>
        <w:t>福之本。</w:t>
      </w:r>
      <w:bookmarkStart w:id="10" w:name="OLE_LINK3"/>
      <w:r>
        <w:rPr>
          <w:rFonts w:hint="eastAsia" w:ascii="仿宋_GB2312" w:hAnsi="仿宋_GB2312" w:eastAsia="仿宋_GB2312" w:cs="仿宋_GB2312"/>
          <w:b w:val="0"/>
          <w:bCs w:val="0"/>
          <w:color w:val="000000"/>
          <w:sz w:val="32"/>
          <w:szCs w:val="32"/>
          <w:shd w:val="clear" w:color="auto" w:fill="FFFFFF"/>
          <w:lang w:eastAsia="zh-CN"/>
        </w:rPr>
        <w:t>老有所养，</w:t>
      </w:r>
      <w:r>
        <w:rPr>
          <w:rFonts w:hint="eastAsia" w:ascii="仿宋_GB2312" w:hAnsi="仿宋_GB2312" w:eastAsia="仿宋_GB2312" w:cs="仿宋_GB2312"/>
          <w:color w:val="000000"/>
          <w:sz w:val="32"/>
          <w:szCs w:val="32"/>
          <w:shd w:val="clear" w:color="auto" w:fill="FFFFFF"/>
        </w:rPr>
        <w:t>以“微网融情 快</w:t>
      </w:r>
      <w:r>
        <w:rPr>
          <w:rFonts w:hint="eastAsia" w:ascii="仿宋_GB2312" w:hAnsi="仿宋_GB2312" w:eastAsia="仿宋_GB2312" w:cs="仿宋_GB2312"/>
          <w:sz w:val="32"/>
          <w:szCs w:val="32"/>
        </w:rPr>
        <w:t>乐养老”为试点，创新设立“莫道桑</w:t>
      </w:r>
      <w:r>
        <w:rPr>
          <w:rFonts w:hint="eastAsia" w:ascii="仿宋_GB2312" w:hAnsi="仿宋_GB2312" w:eastAsia="仿宋_GB2312" w:cs="仿宋_GB2312"/>
          <w:sz w:val="32"/>
          <w:szCs w:val="32"/>
          <w:highlight w:val="none"/>
        </w:rPr>
        <w:t>榆晚”“矿建街老</w:t>
      </w:r>
      <w:r>
        <w:rPr>
          <w:rFonts w:hint="eastAsia" w:ascii="仿宋_GB2312" w:hAnsi="仿宋_GB2312" w:eastAsia="仿宋_GB2312" w:cs="仿宋_GB2312"/>
          <w:sz w:val="32"/>
          <w:szCs w:val="32"/>
        </w:rPr>
        <w:t>邻居”等网格单元，</w:t>
      </w:r>
      <w:r>
        <w:rPr>
          <w:rFonts w:hint="eastAsia" w:ascii="仿宋_GB2312" w:hAnsi="仿宋_GB2312" w:eastAsia="仿宋_GB2312" w:cs="仿宋_GB2312"/>
          <w:i w:val="0"/>
          <w:caps w:val="0"/>
          <w:color w:val="000000"/>
          <w:spacing w:val="0"/>
          <w:sz w:val="32"/>
          <w:szCs w:val="32"/>
          <w:highlight w:val="none"/>
          <w:shd w:val="clear" w:color="auto" w:fill="FFFFFF"/>
          <w:lang w:val="en-US" w:eastAsia="zh-CN"/>
        </w:rPr>
        <w:t>将探访频次等纳入积分管理，构</w:t>
      </w:r>
      <w:r>
        <w:rPr>
          <w:rFonts w:hint="eastAsia" w:ascii="仿宋_GB2312" w:hAnsi="仿宋_GB2312" w:eastAsia="仿宋_GB2312" w:cs="仿宋_GB2312"/>
          <w:sz w:val="32"/>
          <w:szCs w:val="32"/>
        </w:rPr>
        <w:t>建“街道-养老中心-社区-网格员”四级联动机制。实施“望闻问切”四诊工作法，形成需求采集-分析-响应的闭环管理。打造石园南路养老一条街、紫金养老服务圈、圈门地区多组团</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圈。</w:t>
      </w:r>
      <w:r>
        <w:rPr>
          <w:rFonts w:hint="eastAsia" w:ascii="仿宋_GB2312" w:hAnsi="仿宋_GB2312" w:eastAsia="仿宋_GB2312" w:cs="仿宋_GB2312"/>
          <w:color w:val="000000"/>
          <w:sz w:val="32"/>
          <w:szCs w:val="32"/>
        </w:rPr>
        <w:t>开展“</w:t>
      </w:r>
      <w:r>
        <w:rPr>
          <w:rFonts w:hint="eastAsia" w:ascii="仿宋_GB2312" w:hAnsi="仿宋_GB2312" w:eastAsia="仿宋_GB2312" w:cs="仿宋_GB2312"/>
          <w:sz w:val="32"/>
          <w:szCs w:val="32"/>
        </w:rPr>
        <w:t>乐在耆中”银龄生活市集，为老年人提供健康义诊、家政服务等“家门口”的便民服务。</w:t>
      </w:r>
      <w:r>
        <w:rPr>
          <w:rFonts w:hint="eastAsia" w:ascii="仿宋_GB2312" w:hAnsi="仿宋_GB2312" w:eastAsia="仿宋_GB2312" w:cs="仿宋_GB2312"/>
          <w:b w:val="0"/>
          <w:bCs w:val="0"/>
          <w:color w:val="000000"/>
          <w:sz w:val="32"/>
          <w:szCs w:val="32"/>
          <w:shd w:val="clear" w:color="auto" w:fill="FFFFFF"/>
          <w:lang w:eastAsia="zh-CN"/>
        </w:rPr>
        <w:t>幼有所育，</w:t>
      </w:r>
      <w:r>
        <w:rPr>
          <w:rFonts w:hint="eastAsia" w:ascii="仿宋_GB2312" w:hAnsi="仿宋_GB2312" w:eastAsia="仿宋_GB2312" w:cs="仿宋_GB2312"/>
          <w:sz w:val="32"/>
          <w:szCs w:val="32"/>
          <w:lang w:eastAsia="zh-CN"/>
        </w:rPr>
        <w:t>强化</w:t>
      </w:r>
      <w:r>
        <w:rPr>
          <w:rFonts w:hint="eastAsia" w:ascii="仿宋_GB2312" w:hAnsi="仿宋_GB2312" w:eastAsia="仿宋_GB2312" w:cs="仿宋_GB2312"/>
          <w:sz w:val="32"/>
          <w:szCs w:val="32"/>
        </w:rPr>
        <w:t>儿童关爱服务，</w:t>
      </w:r>
      <w:r>
        <w:rPr>
          <w:rFonts w:hint="eastAsia" w:ascii="仿宋_GB2312" w:hAnsi="仿宋_GB2312" w:eastAsia="仿宋_GB2312" w:cs="仿宋_GB2312"/>
          <w:sz w:val="32"/>
          <w:szCs w:val="32"/>
          <w:lang w:val="en-US" w:eastAsia="zh-CN"/>
        </w:rPr>
        <w:t>建设集亲子教育、互动实践于一体的综合性托育宝宝屋。</w:t>
      </w:r>
      <w:r>
        <w:rPr>
          <w:rFonts w:hint="eastAsia" w:ascii="仿宋_GB2312" w:hAnsi="仿宋_GB2312" w:eastAsia="仿宋_GB2312" w:cs="仿宋_GB2312"/>
          <w:sz w:val="32"/>
          <w:szCs w:val="32"/>
        </w:rPr>
        <w:t>在石门营四区</w:t>
      </w:r>
      <w:r>
        <w:rPr>
          <w:rFonts w:hint="eastAsia" w:ascii="仿宋_GB2312" w:hAnsi="仿宋_GB2312" w:eastAsia="仿宋_GB2312" w:cs="仿宋_GB2312"/>
          <w:sz w:val="32"/>
          <w:szCs w:val="32"/>
          <w:lang w:eastAsia="zh-CN"/>
        </w:rPr>
        <w:t>、七区等社区打造</w:t>
      </w:r>
      <w:r>
        <w:rPr>
          <w:rFonts w:hint="eastAsia" w:ascii="仿宋_GB2312" w:hAnsi="仿宋_GB2312" w:eastAsia="仿宋_GB2312" w:cs="仿宋_GB2312"/>
          <w:sz w:val="32"/>
          <w:szCs w:val="32"/>
          <w:lang w:val="en-US" w:eastAsia="zh-CN"/>
        </w:rPr>
        <w:t>儿童娱乐活动空间4处</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养老服务中心</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党群服务中心</w:t>
      </w:r>
      <w:r>
        <w:rPr>
          <w:rFonts w:hint="eastAsia" w:ascii="仿宋_GB2312" w:hAnsi="仿宋_GB2312" w:eastAsia="仿宋_GB2312" w:cs="仿宋_GB2312"/>
          <w:sz w:val="32"/>
          <w:szCs w:val="32"/>
          <w:lang w:eastAsia="zh-CN"/>
        </w:rPr>
        <w:t>分别建设</w:t>
      </w:r>
      <w:r>
        <w:rPr>
          <w:rFonts w:hint="eastAsia" w:ascii="仿宋_GB2312" w:hAnsi="仿宋_GB2312" w:eastAsia="仿宋_GB2312" w:cs="仿宋_GB2312"/>
          <w:sz w:val="32"/>
          <w:szCs w:val="32"/>
        </w:rPr>
        <w:t>儿童娱乐角</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消防实践区</w:t>
      </w:r>
      <w:r>
        <w:rPr>
          <w:rFonts w:hint="eastAsia" w:ascii="仿宋_GB2312" w:hAnsi="仿宋_GB2312" w:eastAsia="仿宋_GB2312" w:cs="仿宋_GB2312"/>
          <w:sz w:val="32"/>
          <w:szCs w:val="32"/>
          <w:lang w:eastAsia="zh-CN"/>
        </w:rPr>
        <w:t>。协调运营方通过</w:t>
      </w:r>
      <w:r>
        <w:rPr>
          <w:rFonts w:hint="eastAsia" w:ascii="仿宋_GB2312" w:hAnsi="仿宋_GB2312" w:eastAsia="仿宋_GB2312" w:cs="仿宋_GB2312"/>
          <w:sz w:val="32"/>
          <w:szCs w:val="32"/>
        </w:rPr>
        <w:t>场地租金减免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助推专业托育机构</w:t>
      </w:r>
      <w:r>
        <w:rPr>
          <w:rFonts w:hint="eastAsia" w:ascii="仿宋_GB2312" w:hAnsi="仿宋_GB2312" w:eastAsia="仿宋_GB2312" w:cs="仿宋_GB2312"/>
          <w:sz w:val="32"/>
          <w:szCs w:val="32"/>
          <w:lang w:eastAsia="zh-CN"/>
        </w:rPr>
        <w:t>落地，打造</w:t>
      </w:r>
      <w:r>
        <w:rPr>
          <w:rFonts w:hint="eastAsia" w:ascii="仿宋_GB2312" w:hAnsi="仿宋_GB2312" w:eastAsia="仿宋_GB2312" w:cs="仿宋_GB2312"/>
          <w:sz w:val="32"/>
          <w:szCs w:val="32"/>
        </w:rPr>
        <w:t>“家门口”</w:t>
      </w:r>
      <w:r>
        <w:rPr>
          <w:rFonts w:hint="eastAsia" w:ascii="仿宋_GB2312" w:hAnsi="仿宋_GB2312" w:eastAsia="仿宋_GB2312" w:cs="仿宋_GB2312"/>
          <w:sz w:val="32"/>
          <w:szCs w:val="32"/>
          <w:lang w:eastAsia="zh-CN"/>
        </w:rPr>
        <w:t>的婴幼儿</w:t>
      </w:r>
      <w:r>
        <w:rPr>
          <w:rFonts w:hint="eastAsia" w:ascii="仿宋_GB2312" w:hAnsi="仿宋_GB2312" w:eastAsia="仿宋_GB2312" w:cs="仿宋_GB2312"/>
          <w:sz w:val="32"/>
          <w:szCs w:val="32"/>
        </w:rPr>
        <w:t>普惠托育</w:t>
      </w:r>
      <w:r>
        <w:rPr>
          <w:rFonts w:hint="eastAsia" w:ascii="仿宋_GB2312" w:hAnsi="仿宋_GB2312" w:eastAsia="仿宋_GB2312" w:cs="仿宋_GB2312"/>
          <w:sz w:val="32"/>
          <w:szCs w:val="32"/>
          <w:lang w:val="en-US" w:eastAsia="zh-CN"/>
        </w:rPr>
        <w:t>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开展普惠</w:t>
      </w:r>
      <w:bookmarkStart w:id="11" w:name="OLE_LINK17"/>
      <w:r>
        <w:rPr>
          <w:rFonts w:hint="eastAsia" w:ascii="仿宋_GB2312" w:hAnsi="仿宋_GB2312" w:eastAsia="仿宋_GB2312" w:cs="仿宋_GB2312"/>
          <w:sz w:val="32"/>
          <w:szCs w:val="32"/>
          <w:lang w:val="en-US" w:eastAsia="zh-CN"/>
        </w:rPr>
        <w:t>托育</w:t>
      </w:r>
      <w:bookmarkEnd w:id="11"/>
      <w:r>
        <w:rPr>
          <w:rFonts w:hint="eastAsia" w:ascii="仿宋_GB2312" w:hAnsi="仿宋_GB2312" w:eastAsia="仿宋_GB2312" w:cs="仿宋_GB2312"/>
          <w:sz w:val="32"/>
          <w:szCs w:val="32"/>
          <w:lang w:val="en-US" w:eastAsia="zh-CN"/>
        </w:rPr>
        <w:t>宣传月系列活动，推动“家校社”协同共育，</w:t>
      </w:r>
      <w:r>
        <w:rPr>
          <w:rFonts w:hint="eastAsia" w:ascii="仿宋_GB2312" w:hAnsi="仿宋_GB2312" w:eastAsia="仿宋_GB2312" w:cs="仿宋_GB2312"/>
          <w:b w:val="0"/>
          <w:bCs w:val="0"/>
          <w:sz w:val="32"/>
          <w:szCs w:val="32"/>
          <w:lang w:val="en-US" w:eastAsia="zh-CN"/>
        </w:rPr>
        <w:t>解决居民育儿难题。</w:t>
      </w:r>
    </w:p>
    <w:p>
      <w:pPr>
        <w:keepNext w:val="0"/>
        <w:keepLines w:val="0"/>
        <w:pageBreakBefore w:val="0"/>
        <w:widowControl w:val="0"/>
        <w:tabs>
          <w:tab w:val="left" w:pos="420"/>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mallCaps/>
          <w:sz w:val="32"/>
          <w:szCs w:val="32"/>
        </w:rPr>
      </w:pPr>
      <w:bookmarkStart w:id="12" w:name="_Toc1759569237_WPSOffice_Level1"/>
      <w:r>
        <w:rPr>
          <w:rFonts w:hint="eastAsia" w:ascii="仿宋_GB2312" w:hAnsi="仿宋_GB2312" w:eastAsia="仿宋_GB2312" w:cs="仿宋_GB2312"/>
          <w:b w:val="0"/>
          <w:bCs w:val="0"/>
          <w:sz w:val="32"/>
          <w:szCs w:val="32"/>
        </w:rPr>
        <w:t>全维度服务夯实民生之基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优化政务环境，坚持硬件改造与服务双提升，</w:t>
      </w:r>
      <w:r>
        <w:rPr>
          <w:rFonts w:hint="eastAsia" w:ascii="仿宋_GB2312" w:hAnsi="仿宋_GB2312" w:eastAsia="仿宋_GB2312" w:cs="仿宋_GB2312"/>
          <w:smallCaps/>
          <w:sz w:val="32"/>
          <w:szCs w:val="32"/>
        </w:rPr>
        <w:t>持续推行延时服务，</w:t>
      </w:r>
      <w:r>
        <w:rPr>
          <w:rFonts w:hint="eastAsia" w:ascii="仿宋_GB2312" w:hAnsi="仿宋_GB2312" w:eastAsia="仿宋_GB2312" w:cs="仿宋_GB2312"/>
          <w:sz w:val="32"/>
          <w:szCs w:val="32"/>
        </w:rPr>
        <w:t>提高服务效能，</w:t>
      </w:r>
      <w:r>
        <w:rPr>
          <w:rFonts w:hint="eastAsia" w:ascii="仿宋_GB2312" w:hAnsi="仿宋_GB2312" w:eastAsia="仿宋_GB2312" w:cs="仿宋_GB2312"/>
          <w:smallCaps/>
          <w:sz w:val="32"/>
          <w:szCs w:val="32"/>
        </w:rPr>
        <w:t>共提供帮代办和延时服务840余人次。建设家政服务网点，开展特色市集进社区，</w:t>
      </w:r>
      <w:bookmarkEnd w:id="12"/>
      <w:r>
        <w:rPr>
          <w:rFonts w:hint="eastAsia" w:ascii="仿宋_GB2312" w:hAnsi="仿宋_GB2312" w:eastAsia="仿宋_GB2312" w:cs="仿宋_GB2312"/>
          <w:sz w:val="32"/>
          <w:szCs w:val="32"/>
        </w:rPr>
        <w:t>建设爱心超市，</w:t>
      </w:r>
      <w:r>
        <w:rPr>
          <w:rFonts w:hint="eastAsia" w:ascii="仿宋_GB2312" w:hAnsi="仿宋_GB2312" w:eastAsia="仿宋_GB2312" w:cs="仿宋_GB2312"/>
          <w:kern w:val="21"/>
          <w:sz w:val="32"/>
          <w:szCs w:val="32"/>
        </w:rPr>
        <w:t>发放特困低保补贴等共计786.6万元</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发放困难老人护理补贴等15587人次</w:t>
      </w:r>
      <w:r>
        <w:rPr>
          <w:rFonts w:hint="eastAsia" w:ascii="仿宋_GB2312" w:hAnsi="仿宋_GB2312" w:eastAsia="仿宋_GB2312" w:cs="仿宋_GB2312"/>
          <w:kern w:val="21"/>
          <w:sz w:val="32"/>
          <w:szCs w:val="32"/>
          <w:lang w:eastAsia="zh-CN"/>
        </w:rPr>
        <w:t>，</w:t>
      </w:r>
      <w:r>
        <w:rPr>
          <w:rFonts w:hint="eastAsia" w:ascii="仿宋_GB2312" w:hAnsi="仿宋_GB2312" w:eastAsia="仿宋_GB2312" w:cs="仿宋_GB2312"/>
          <w:kern w:val="21"/>
          <w:sz w:val="32"/>
          <w:szCs w:val="32"/>
        </w:rPr>
        <w:t>探访关爱困难老人1020人次。</w:t>
      </w:r>
      <w:r>
        <w:rPr>
          <w:rFonts w:hint="eastAsia" w:ascii="仿宋_GB2312" w:hAnsi="仿宋_GB2312" w:eastAsia="仿宋_GB2312" w:cs="仿宋_GB2312"/>
          <w:smallCaps/>
          <w:sz w:val="32"/>
          <w:szCs w:val="32"/>
        </w:rPr>
        <w:t>为行动困难的居民提供上门公共法律服务，</w:t>
      </w:r>
      <w:r>
        <w:rPr>
          <w:rFonts w:hint="eastAsia" w:ascii="仿宋_GB2312" w:hAnsi="仿宋_GB2312" w:eastAsia="仿宋_GB2312" w:cs="仿宋_GB2312"/>
          <w:smallCaps/>
          <w:sz w:val="32"/>
          <w:szCs w:val="32"/>
          <w:lang w:eastAsia="zh-CN"/>
        </w:rPr>
        <w:t>保障</w:t>
      </w:r>
      <w:r>
        <w:rPr>
          <w:rFonts w:hint="eastAsia" w:ascii="仿宋_GB2312" w:hAnsi="仿宋_GB2312" w:eastAsia="仿宋_GB2312" w:cs="仿宋_GB2312"/>
          <w:smallCaps/>
          <w:sz w:val="32"/>
          <w:szCs w:val="32"/>
        </w:rPr>
        <w:t>群众依法维权。</w:t>
      </w:r>
      <w:r>
        <w:rPr>
          <w:rFonts w:hint="eastAsia" w:ascii="仿宋_GB2312" w:hAnsi="仿宋_GB2312" w:eastAsia="仿宋_GB2312" w:cs="仿宋_GB2312"/>
          <w:kern w:val="0"/>
          <w:sz w:val="32"/>
          <w:szCs w:val="32"/>
          <w:lang w:bidi="ar"/>
        </w:rPr>
        <w:t>点对点推送匹配岗位信息，累计发布招聘信息1200余条，服务失业人员500余人次。共组织召开线上招聘会3场，提供岗位244个。</w:t>
      </w:r>
    </w:p>
    <w:bookmarkEnd w:id="10"/>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rPr>
        <w:t>全链条发力拓</w:t>
      </w:r>
      <w:r>
        <w:rPr>
          <w:rFonts w:hint="eastAsia" w:ascii="仿宋_GB2312" w:hAnsi="仿宋_GB2312" w:eastAsia="仿宋_GB2312" w:cs="仿宋_GB2312"/>
          <w:b w:val="0"/>
          <w:bCs w:val="0"/>
          <w:sz w:val="32"/>
          <w:szCs w:val="32"/>
          <w:lang w:eastAsia="zh-CN"/>
        </w:rPr>
        <w:t>宽</w:t>
      </w:r>
      <w:r>
        <w:rPr>
          <w:rFonts w:hint="eastAsia" w:ascii="仿宋_GB2312" w:hAnsi="仿宋_GB2312" w:eastAsia="仿宋_GB2312" w:cs="仿宋_GB2312"/>
          <w:b w:val="0"/>
          <w:bCs w:val="0"/>
          <w:sz w:val="32"/>
          <w:szCs w:val="32"/>
        </w:rPr>
        <w:t>发展之路</w:t>
      </w:r>
      <w:bookmarkStart w:id="13" w:name="OLE_LINK4"/>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val="en-US" w:eastAsia="zh-CN"/>
        </w:rPr>
        <w:t>建立“招引-服务-留驻”全链条机制，</w:t>
      </w:r>
      <w:r>
        <w:rPr>
          <w:rFonts w:hint="eastAsia" w:ascii="仿宋_GB2312" w:hAnsi="仿宋_GB2312" w:eastAsia="仿宋_GB2312" w:cs="仿宋_GB2312"/>
          <w:sz w:val="32"/>
          <w:szCs w:val="32"/>
          <w:highlight w:val="none"/>
        </w:rPr>
        <w:t>加强政务诚信</w:t>
      </w:r>
      <w:r>
        <w:rPr>
          <w:rFonts w:hint="eastAsia" w:ascii="仿宋_GB2312" w:hAnsi="仿宋_GB2312" w:eastAsia="仿宋_GB2312" w:cs="仿宋_GB2312"/>
          <w:sz w:val="32"/>
          <w:szCs w:val="32"/>
          <w:highlight w:val="none"/>
          <w:lang w:eastAsia="zh-CN"/>
        </w:rPr>
        <w:t>和法治政府</w:t>
      </w:r>
      <w:r>
        <w:rPr>
          <w:rFonts w:hint="eastAsia" w:ascii="仿宋_GB2312" w:hAnsi="仿宋_GB2312" w:eastAsia="仿宋_GB2312" w:cs="仿宋_GB2312"/>
          <w:sz w:val="32"/>
          <w:szCs w:val="32"/>
          <w:highlight w:val="none"/>
        </w:rPr>
        <w:t>建设</w:t>
      </w:r>
      <w:r>
        <w:rPr>
          <w:rFonts w:hint="eastAsia" w:ascii="仿宋_GB2312" w:hAnsi="仿宋_GB2312" w:eastAsia="仿宋_GB2312" w:cs="仿宋_GB2312"/>
          <w:sz w:val="32"/>
          <w:szCs w:val="32"/>
          <w:highlight w:val="none"/>
          <w:lang w:eastAsia="zh-CN"/>
        </w:rPr>
        <w:t>，打造</w:t>
      </w:r>
      <w:r>
        <w:rPr>
          <w:rFonts w:hint="eastAsia" w:ascii="仿宋_GB2312" w:hAnsi="仿宋_GB2312" w:eastAsia="仿宋_GB2312" w:cs="仿宋_GB2312"/>
          <w:sz w:val="32"/>
          <w:szCs w:val="32"/>
          <w:highlight w:val="none"/>
        </w:rPr>
        <w:t>“宜居环境”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val="en-US" w:eastAsia="zh-CN"/>
        </w:rPr>
        <w:t>持续优化地区营商环境。</w:t>
      </w:r>
      <w:r>
        <w:rPr>
          <w:rFonts w:hint="eastAsia" w:ascii="仿宋_GB2312" w:hAnsi="仿宋_GB2312" w:eastAsia="仿宋_GB2312" w:cs="仿宋_GB2312"/>
          <w:b w:val="0"/>
          <w:bCs w:val="0"/>
          <w:sz w:val="32"/>
          <w:szCs w:val="32"/>
          <w:lang w:val="en-US" w:eastAsia="zh-CN"/>
        </w:rPr>
        <w:t>招引端多元发力</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通过以商招商、项目推荐、组织考察及拟聘“招商大使”拓展资源。1-5月完成区级收入1811万元（同比增加12.4%），年内引进企业55家（以商招商7家），提供“两区”建设线索7项，落地3项，形成多元引资格局。</w:t>
      </w:r>
      <w:r>
        <w:rPr>
          <w:rFonts w:hint="eastAsia" w:ascii="仿宋_GB2312" w:hAnsi="仿宋_GB2312" w:eastAsia="仿宋_GB2312" w:cs="仿宋_GB2312"/>
          <w:b w:val="0"/>
          <w:bCs w:val="0"/>
          <w:sz w:val="32"/>
          <w:szCs w:val="32"/>
          <w:lang w:val="en-US" w:eastAsia="zh-CN"/>
        </w:rPr>
        <w:t>服务端深化联动，</w:t>
      </w:r>
      <w:r>
        <w:rPr>
          <w:rFonts w:hint="eastAsia" w:ascii="仿宋_GB2312" w:hAnsi="仿宋_GB2312" w:eastAsia="仿宋_GB2312" w:cs="仿宋_GB2312"/>
          <w:sz w:val="32"/>
          <w:szCs w:val="32"/>
          <w:highlight w:val="none"/>
        </w:rPr>
        <w:t>搭建政企直通平台，</w:t>
      </w:r>
      <w:r>
        <w:rPr>
          <w:rFonts w:hint="eastAsia" w:ascii="仿宋_GB2312" w:hAnsi="仿宋_GB2312" w:eastAsia="仿宋_GB2312" w:cs="仿宋_GB2312"/>
          <w:color w:val="000000"/>
          <w:sz w:val="32"/>
          <w:szCs w:val="32"/>
        </w:rPr>
        <w:t>举办2025年企业大会，</w:t>
      </w:r>
      <w:r>
        <w:rPr>
          <w:rFonts w:hint="eastAsia" w:ascii="仿宋_GB2312" w:hAnsi="仿宋_GB2312" w:eastAsia="仿宋_GB2312" w:cs="仿宋_GB2312"/>
          <w:sz w:val="32"/>
          <w:szCs w:val="32"/>
          <w:lang w:val="en-US" w:eastAsia="zh-CN"/>
        </w:rPr>
        <w:t>60余家企业与区发改委、商务局等多部门直联互通。“线上+实地”双轨模式走访调研50家重点企业，主动纾困解难。</w:t>
      </w:r>
      <w:r>
        <w:rPr>
          <w:rFonts w:hint="eastAsia" w:ascii="仿宋_GB2312" w:hAnsi="仿宋_GB2312" w:eastAsia="仿宋_GB2312" w:cs="仿宋_GB2312"/>
          <w:b w:val="0"/>
          <w:bCs w:val="0"/>
          <w:sz w:val="32"/>
          <w:szCs w:val="32"/>
          <w:lang w:val="en-US" w:eastAsia="zh-CN"/>
        </w:rPr>
        <w:t>留驻端创新机制，</w:t>
      </w:r>
      <w:r>
        <w:rPr>
          <w:rFonts w:hint="eastAsia" w:ascii="仿宋_GB2312" w:hAnsi="仿宋_GB2312" w:eastAsia="仿宋_GB2312" w:cs="仿宋_GB2312"/>
          <w:sz w:val="32"/>
          <w:szCs w:val="32"/>
          <w:lang w:val="en-US" w:eastAsia="zh-CN"/>
        </w:rPr>
        <w:t>建立“一企一档”动态管理台账，提供从注册落户到生产经营的“一对一”全周期精准服务，累计协调解决统计关系迁入、员工子女入学等21项难题。</w:t>
      </w:r>
    </w:p>
    <w:bookmarkEnd w:id="13"/>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全天候办理诠释为民之心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将接诉即办成绩纳入年度综合考评，以“接诉即办”为引擎，推进基层治理。坚持每日一会商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每周一调度、每月一复盘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连续发布接诉即办工作日报153期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剖析</w:t>
      </w:r>
      <w:r>
        <w:rPr>
          <w:rFonts w:hint="eastAsia" w:ascii="仿宋_GB2312" w:hAnsi="仿宋_GB2312" w:eastAsia="仿宋_GB2312" w:cs="仿宋_GB2312"/>
          <w:sz w:val="32"/>
          <w:szCs w:val="32"/>
          <w:lang w:eastAsia="zh-CN"/>
        </w:rPr>
        <w:t>近年来</w:t>
      </w:r>
      <w:r>
        <w:rPr>
          <w:rFonts w:hint="eastAsia" w:ascii="仿宋_GB2312" w:hAnsi="仿宋_GB2312" w:eastAsia="仿宋_GB2312" w:cs="仿宋_GB2312"/>
          <w:sz w:val="32"/>
          <w:szCs w:val="32"/>
        </w:rPr>
        <w:t>诉求台账，梳理高频诉求、集中诉求以及重难点问题，</w:t>
      </w:r>
      <w:r>
        <w:rPr>
          <w:rFonts w:hint="eastAsia" w:ascii="仿宋_GB2312" w:hAnsi="仿宋_GB2312" w:eastAsia="仿宋_GB2312" w:cs="仿宋_GB2312"/>
          <w:sz w:val="32"/>
          <w:szCs w:val="32"/>
          <w:lang w:eastAsia="zh-CN"/>
        </w:rPr>
        <w:t>坚持事要解决</w:t>
      </w:r>
      <w:r>
        <w:rPr>
          <w:rFonts w:hint="eastAsia" w:ascii="仿宋_GB2312" w:hAnsi="仿宋_GB2312" w:eastAsia="仿宋_GB2312" w:cs="仿宋_GB2312"/>
          <w:sz w:val="32"/>
          <w:szCs w:val="32"/>
        </w:rPr>
        <w:t>，通过现场协调、与居民谈心、与部门联动，精准用实“身边事”基金等，切实解决居民反映的由点及面问题。共受理诉求1616件，市级综合考核平均得分为97.95分，相</w:t>
      </w:r>
      <w:r>
        <w:rPr>
          <w:rFonts w:hint="eastAsia" w:ascii="仿宋_GB2312" w:hAnsi="仿宋_GB2312" w:eastAsia="仿宋_GB2312" w:cs="仿宋_GB2312"/>
          <w:sz w:val="32"/>
          <w:szCs w:val="32"/>
          <w:lang w:eastAsia="zh-CN"/>
        </w:rPr>
        <w:t>比去</w:t>
      </w:r>
      <w:r>
        <w:rPr>
          <w:rFonts w:hint="eastAsia" w:ascii="仿宋_GB2312" w:hAnsi="仿宋_GB2312" w:eastAsia="仿宋_GB2312" w:cs="仿宋_GB2312"/>
          <w:sz w:val="32"/>
          <w:szCs w:val="32"/>
        </w:rPr>
        <w:t>年，诉求量由月均290件降至270件，“双百”社区月均由4个社区增至6个社区。</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bCs/>
          <w:color w:val="000000"/>
          <w:kern w:val="2"/>
          <w:sz w:val="32"/>
          <w:szCs w:val="32"/>
          <w:shd w:val="clear" w:color="auto" w:fill="FFFFFF"/>
          <w:lang w:val="en-US" w:eastAsia="zh-CN" w:bidi="ar-SA"/>
        </w:rPr>
      </w:pPr>
      <w:r>
        <w:rPr>
          <w:rFonts w:hint="eastAsia" w:ascii="仿宋_GB2312" w:hAnsi="仿宋_GB2312" w:eastAsia="仿宋_GB2312" w:cs="仿宋_GB2312"/>
          <w:b/>
          <w:bCs/>
          <w:color w:val="000000"/>
          <w:kern w:val="2"/>
          <w:sz w:val="32"/>
          <w:szCs w:val="32"/>
          <w:shd w:val="clear" w:color="auto" w:fill="FFFFFF"/>
          <w:lang w:val="en-US" w:eastAsia="zh-CN" w:bidi="ar-SA"/>
        </w:rPr>
        <w:t>四是实施“培养工程”，提升干部素质能力</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持续开展“行走课堂”，</w:t>
      </w:r>
      <w:r>
        <w:rPr>
          <w:rFonts w:hint="eastAsia" w:ascii="仿宋_GB2312" w:hAnsi="仿宋_GB2312" w:eastAsia="仿宋_GB2312" w:cs="仿宋_GB2312"/>
          <w:b w:val="0"/>
          <w:bCs w:val="0"/>
          <w:sz w:val="32"/>
          <w:szCs w:val="32"/>
          <w:highlight w:val="none"/>
          <w:lang w:val="en-US" w:eastAsia="zh-CN"/>
        </w:rPr>
        <w:t>赴苏州、上海开展基层治理专题培训，参观学习军庄镇微网服务、航天博物馆等，拓展工作思路。靶向施训，实施“辛”青年启航计划，“一人一档”，全方位规划首批13名年轻干部成长。实践搭台，创新情景案例课程，模拟接诉即办、防汛救灾等工作场景，引导干部深入社区锻炼，主动参与“揭榜挂帅”，在实践中提高破解难题能力。</w:t>
      </w:r>
      <w:r>
        <w:rPr>
          <w:rFonts w:hint="eastAsia" w:ascii="仿宋_GB2312" w:hAnsi="仿宋_GB2312" w:eastAsia="仿宋_GB2312" w:cs="仿宋_GB2312"/>
          <w:color w:val="000000"/>
          <w:sz w:val="32"/>
          <w:szCs w:val="32"/>
        </w:rPr>
        <w:t>聚焦社区工作者职业能力、专业技能和服务效能三大任务，</w:t>
      </w:r>
      <w:r>
        <w:rPr>
          <w:rFonts w:hint="eastAsia" w:ascii="仿宋_GB2312" w:hAnsi="仿宋_GB2312" w:eastAsia="仿宋_GB2312" w:cs="仿宋_GB2312"/>
          <w:color w:val="000000"/>
          <w:sz w:val="32"/>
          <w:szCs w:val="32"/>
          <w:lang w:eastAsia="zh-CN"/>
        </w:rPr>
        <w:t>开展</w:t>
      </w:r>
      <w:r>
        <w:rPr>
          <w:rFonts w:hint="eastAsia" w:ascii="仿宋_GB2312" w:hAnsi="仿宋_GB2312" w:eastAsia="仿宋_GB2312" w:cs="仿宋_GB2312"/>
          <w:color w:val="000000"/>
          <w:sz w:val="32"/>
          <w:szCs w:val="32"/>
        </w:rPr>
        <w:t>“社区大课堂”系列培训</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建立“服务+需求”双向驱动机制，打造“三阶双驱三提升”社工培育体系。</w:t>
      </w:r>
    </w:p>
    <w:bookmarkEnd w:id="2"/>
    <w:p>
      <w:pPr>
        <w:spacing w:line="580" w:lineRule="exact"/>
        <w:ind w:firstLine="640"/>
        <w:rPr>
          <w:rFonts w:hint="eastAsia" w:ascii="仿宋_GB2312" w:eastAsia="仿宋_GB2312"/>
          <w:b/>
          <w:bCs/>
          <w:sz w:val="32"/>
          <w:szCs w:val="32"/>
        </w:rPr>
      </w:pPr>
      <w:bookmarkStart w:id="14" w:name="_Toc268005759"/>
      <w:bookmarkStart w:id="15" w:name="_Toc263686375"/>
      <w:r>
        <w:rPr>
          <w:rFonts w:hint="eastAsia" w:ascii="仿宋_GB2312" w:eastAsia="仿宋_GB2312"/>
          <w:b/>
          <w:bCs/>
          <w:sz w:val="32"/>
          <w:szCs w:val="32"/>
        </w:rPr>
        <w:t>4.部门</w:t>
      </w:r>
      <w:bookmarkEnd w:id="14"/>
      <w:r>
        <w:rPr>
          <w:rFonts w:hint="eastAsia" w:ascii="仿宋_GB2312" w:eastAsia="仿宋_GB2312"/>
          <w:b/>
          <w:bCs/>
          <w:sz w:val="32"/>
          <w:szCs w:val="32"/>
        </w:rPr>
        <w:t>整体绩效目标设立情况</w:t>
      </w:r>
    </w:p>
    <w:tbl>
      <w:tblPr>
        <w:tblStyle w:val="16"/>
        <w:tblW w:w="9769" w:type="dxa"/>
        <w:jc w:val="center"/>
        <w:tblInd w:w="-456" w:type="dxa"/>
        <w:tblLayout w:type="fixed"/>
        <w:tblCellMar>
          <w:top w:w="0" w:type="dxa"/>
          <w:left w:w="108" w:type="dxa"/>
          <w:bottom w:w="0" w:type="dxa"/>
          <w:right w:w="108" w:type="dxa"/>
        </w:tblCellMar>
      </w:tblPr>
      <w:tblGrid>
        <w:gridCol w:w="585"/>
        <w:gridCol w:w="2415"/>
        <w:gridCol w:w="3486"/>
        <w:gridCol w:w="1117"/>
        <w:gridCol w:w="783"/>
        <w:gridCol w:w="1383"/>
      </w:tblGrid>
      <w:tr>
        <w:tblPrEx>
          <w:tblLayout w:type="fixed"/>
          <w:tblCellMar>
            <w:top w:w="0" w:type="dxa"/>
            <w:left w:w="108" w:type="dxa"/>
            <w:bottom w:w="0" w:type="dxa"/>
            <w:right w:w="108" w:type="dxa"/>
          </w:tblCellMar>
        </w:tblPrEx>
        <w:trPr>
          <w:trHeight w:val="275"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b/>
                <w:bCs/>
                <w:sz w:val="28"/>
                <w:szCs w:val="28"/>
              </w:rPr>
            </w:pPr>
            <w:r>
              <w:rPr>
                <w:rFonts w:hint="eastAsia" w:ascii="仿宋_GB2312" w:hAnsi="仿宋" w:eastAsia="仿宋_GB2312" w:cs="Times New Roman"/>
                <w:b/>
                <w:bCs/>
                <w:sz w:val="28"/>
                <w:szCs w:val="28"/>
              </w:rPr>
              <w:t>序号</w:t>
            </w:r>
          </w:p>
        </w:tc>
        <w:tc>
          <w:tcPr>
            <w:tcW w:w="2415"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b/>
                <w:bCs/>
                <w:sz w:val="28"/>
                <w:szCs w:val="28"/>
                <w:lang w:eastAsia="zh-CN"/>
              </w:rPr>
            </w:pPr>
            <w:r>
              <w:rPr>
                <w:rFonts w:hint="eastAsia" w:ascii="仿宋_GB2312" w:hAnsi="仿宋" w:eastAsia="仿宋_GB2312" w:cs="Times New Roman"/>
                <w:b/>
                <w:bCs/>
                <w:sz w:val="28"/>
                <w:szCs w:val="28"/>
                <w:lang w:eastAsia="zh-CN"/>
              </w:rPr>
              <w:t>三级指标</w:t>
            </w:r>
          </w:p>
        </w:tc>
        <w:tc>
          <w:tcPr>
            <w:tcW w:w="348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ascii="仿宋_GB2312" w:hAnsi="仿宋" w:eastAsia="仿宋_GB2312" w:cs="Times New Roman"/>
                <w:b/>
                <w:bCs/>
                <w:sz w:val="28"/>
                <w:szCs w:val="28"/>
              </w:rPr>
            </w:pPr>
            <w:r>
              <w:rPr>
                <w:rFonts w:hint="eastAsia" w:ascii="仿宋_GB2312" w:hAnsi="仿宋" w:eastAsia="仿宋_GB2312" w:cs="Times New Roman"/>
                <w:b/>
                <w:bCs/>
                <w:sz w:val="28"/>
                <w:szCs w:val="28"/>
              </w:rPr>
              <w:t>指标性质</w:t>
            </w:r>
          </w:p>
        </w:tc>
        <w:tc>
          <w:tcPr>
            <w:tcW w:w="1117"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both"/>
              <w:textAlignment w:val="auto"/>
              <w:rPr>
                <w:rFonts w:ascii="仿宋_GB2312" w:hAnsi="仿宋" w:eastAsia="仿宋_GB2312" w:cs="Times New Roman"/>
                <w:b/>
                <w:bCs/>
                <w:sz w:val="28"/>
                <w:szCs w:val="28"/>
              </w:rPr>
            </w:pPr>
            <w:r>
              <w:rPr>
                <w:rFonts w:hint="eastAsia" w:ascii="仿宋_GB2312" w:hAnsi="仿宋" w:eastAsia="仿宋_GB2312" w:cs="Times New Roman"/>
                <w:b/>
                <w:bCs/>
                <w:sz w:val="28"/>
                <w:szCs w:val="28"/>
              </w:rPr>
              <w:t>指标值</w:t>
            </w:r>
          </w:p>
        </w:tc>
        <w:tc>
          <w:tcPr>
            <w:tcW w:w="78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b/>
                <w:bCs/>
                <w:sz w:val="28"/>
                <w:szCs w:val="28"/>
              </w:rPr>
            </w:pPr>
            <w:r>
              <w:rPr>
                <w:rFonts w:hint="eastAsia" w:ascii="仿宋_GB2312" w:hAnsi="仿宋" w:eastAsia="仿宋_GB2312" w:cs="Times New Roman"/>
                <w:b/>
                <w:bCs/>
                <w:sz w:val="28"/>
                <w:szCs w:val="28"/>
              </w:rPr>
              <w:t>度量单位</w:t>
            </w:r>
          </w:p>
        </w:tc>
        <w:tc>
          <w:tcPr>
            <w:tcW w:w="1383"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b/>
                <w:bCs/>
                <w:sz w:val="28"/>
                <w:szCs w:val="28"/>
              </w:rPr>
            </w:pPr>
            <w:r>
              <w:rPr>
                <w:rFonts w:hint="eastAsia" w:ascii="仿宋_GB2312" w:hAnsi="仿宋" w:eastAsia="仿宋_GB2312" w:cs="Times New Roman"/>
                <w:b/>
                <w:bCs/>
                <w:sz w:val="28"/>
                <w:szCs w:val="28"/>
              </w:rPr>
              <w:t>指标</w:t>
            </w:r>
          </w:p>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b/>
                <w:bCs/>
                <w:sz w:val="28"/>
                <w:szCs w:val="28"/>
              </w:rPr>
            </w:pPr>
            <w:r>
              <w:rPr>
                <w:rFonts w:hint="eastAsia" w:ascii="仿宋_GB2312" w:hAnsi="仿宋" w:eastAsia="仿宋_GB2312" w:cs="Times New Roman"/>
                <w:b/>
                <w:bCs/>
                <w:sz w:val="28"/>
                <w:szCs w:val="28"/>
              </w:rPr>
              <w:t>权重</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ascii="仿宋_GB2312" w:hAnsi="仿宋" w:eastAsia="仿宋_GB2312" w:cs="Times New Roman"/>
                <w:sz w:val="28"/>
                <w:szCs w:val="28"/>
              </w:rPr>
              <w:t>1</w:t>
            </w:r>
          </w:p>
        </w:tc>
        <w:tc>
          <w:tcPr>
            <w:tcW w:w="241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市民诉求协调解决</w:t>
            </w:r>
            <w:r>
              <w:rPr>
                <w:rFonts w:hint="eastAsia" w:ascii="仿宋_GB2312" w:hAnsi="仿宋" w:eastAsia="仿宋_GB2312" w:cs="Times New Roman"/>
                <w:sz w:val="28"/>
                <w:szCs w:val="28"/>
                <w:lang w:eastAsia="zh-CN"/>
              </w:rPr>
              <w:t>项目</w:t>
            </w:r>
          </w:p>
        </w:tc>
        <w:tc>
          <w:tcPr>
            <w:tcW w:w="348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涉及服务人员满意率　≥</w:t>
            </w:r>
          </w:p>
        </w:tc>
        <w:tc>
          <w:tcPr>
            <w:tcW w:w="111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90</w:t>
            </w:r>
          </w:p>
        </w:tc>
        <w:tc>
          <w:tcPr>
            <w:tcW w:w="7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w:t>
            </w:r>
          </w:p>
        </w:tc>
        <w:tc>
          <w:tcPr>
            <w:tcW w:w="13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both"/>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ascii="仿宋_GB2312" w:hAnsi="仿宋" w:eastAsia="仿宋_GB2312" w:cs="Times New Roman"/>
                <w:sz w:val="28"/>
                <w:szCs w:val="28"/>
              </w:rPr>
              <w:t>2</w:t>
            </w:r>
          </w:p>
        </w:tc>
        <w:tc>
          <w:tcPr>
            <w:tcW w:w="241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社会保障和就业</w:t>
            </w:r>
            <w:r>
              <w:rPr>
                <w:rFonts w:hint="eastAsia" w:ascii="仿宋_GB2312" w:hAnsi="仿宋" w:eastAsia="仿宋_GB2312" w:cs="Times New Roman"/>
                <w:sz w:val="28"/>
                <w:szCs w:val="28"/>
                <w:lang w:eastAsia="zh-CN"/>
              </w:rPr>
              <w:t>项目</w:t>
            </w:r>
          </w:p>
        </w:tc>
        <w:tc>
          <w:tcPr>
            <w:tcW w:w="348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服务对象</w:t>
            </w:r>
          </w:p>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满意率≥</w:t>
            </w:r>
          </w:p>
        </w:tc>
        <w:tc>
          <w:tcPr>
            <w:tcW w:w="111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95</w:t>
            </w:r>
          </w:p>
        </w:tc>
        <w:tc>
          <w:tcPr>
            <w:tcW w:w="7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w:t>
            </w:r>
          </w:p>
        </w:tc>
        <w:tc>
          <w:tcPr>
            <w:tcW w:w="13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both"/>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ascii="仿宋_GB2312" w:hAnsi="仿宋" w:eastAsia="仿宋_GB2312" w:cs="Times New Roman"/>
                <w:sz w:val="28"/>
                <w:szCs w:val="28"/>
              </w:rPr>
              <w:t>3</w:t>
            </w:r>
          </w:p>
        </w:tc>
        <w:tc>
          <w:tcPr>
            <w:tcW w:w="241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机关及基层党建</w:t>
            </w:r>
            <w:r>
              <w:rPr>
                <w:rFonts w:hint="eastAsia" w:ascii="仿宋_GB2312" w:hAnsi="仿宋" w:eastAsia="仿宋_GB2312" w:cs="Times New Roman"/>
                <w:sz w:val="28"/>
                <w:szCs w:val="28"/>
                <w:lang w:eastAsia="zh-CN"/>
              </w:rPr>
              <w:t>项目</w:t>
            </w:r>
          </w:p>
        </w:tc>
        <w:tc>
          <w:tcPr>
            <w:tcW w:w="348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项目总成本</w:t>
            </w:r>
            <w:r>
              <w:rPr>
                <w:rFonts w:hint="eastAsia" w:ascii="仿宋_GB2312" w:hAnsi="仿宋" w:eastAsia="仿宋_GB2312" w:cs="Times New Roman"/>
                <w:sz w:val="28"/>
                <w:szCs w:val="28"/>
                <w:lang w:eastAsia="zh-CN"/>
              </w:rPr>
              <w:t>控制数不超过预算数</w:t>
            </w:r>
          </w:p>
        </w:tc>
        <w:tc>
          <w:tcPr>
            <w:tcW w:w="111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定性</w:t>
            </w:r>
          </w:p>
        </w:tc>
        <w:tc>
          <w:tcPr>
            <w:tcW w:w="7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rPr>
            </w:pPr>
          </w:p>
        </w:tc>
        <w:tc>
          <w:tcPr>
            <w:tcW w:w="13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both"/>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4</w:t>
            </w:r>
          </w:p>
        </w:tc>
        <w:tc>
          <w:tcPr>
            <w:tcW w:w="2415"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社会治安综合治理</w:t>
            </w:r>
            <w:r>
              <w:rPr>
                <w:rFonts w:hint="eastAsia" w:ascii="仿宋_GB2312" w:hAnsi="仿宋" w:eastAsia="仿宋_GB2312" w:cs="Times New Roman"/>
                <w:sz w:val="28"/>
                <w:szCs w:val="28"/>
                <w:lang w:eastAsia="zh-CN"/>
              </w:rPr>
              <w:t>项目</w:t>
            </w:r>
          </w:p>
        </w:tc>
        <w:tc>
          <w:tcPr>
            <w:tcW w:w="348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产出指标质量指标</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各项目达到质量标准</w:t>
            </w:r>
          </w:p>
        </w:tc>
        <w:tc>
          <w:tcPr>
            <w:tcW w:w="1117"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ascii="仿宋_GB2312" w:hAnsi="仿宋" w:eastAsia="仿宋_GB2312" w:cs="Times New Roman"/>
                <w:sz w:val="28"/>
                <w:szCs w:val="28"/>
              </w:rPr>
            </w:pPr>
            <w:r>
              <w:rPr>
                <w:rFonts w:hint="eastAsia" w:ascii="仿宋_GB2312" w:hAnsi="仿宋" w:eastAsia="仿宋_GB2312" w:cs="Times New Roman"/>
                <w:sz w:val="28"/>
                <w:szCs w:val="28"/>
              </w:rPr>
              <w:t>定性</w:t>
            </w:r>
          </w:p>
        </w:tc>
        <w:tc>
          <w:tcPr>
            <w:tcW w:w="7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rPr>
            </w:pPr>
          </w:p>
        </w:tc>
        <w:tc>
          <w:tcPr>
            <w:tcW w:w="13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5</w:t>
            </w:r>
          </w:p>
        </w:tc>
        <w:tc>
          <w:tcPr>
            <w:tcW w:w="2415"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机关及基层党建</w:t>
            </w:r>
            <w:r>
              <w:rPr>
                <w:rFonts w:hint="eastAsia" w:ascii="仿宋_GB2312" w:hAnsi="仿宋" w:eastAsia="仿宋_GB2312" w:cs="Times New Roman"/>
                <w:sz w:val="28"/>
                <w:szCs w:val="28"/>
                <w:lang w:eastAsia="zh-CN"/>
              </w:rPr>
              <w:t>项目</w:t>
            </w:r>
          </w:p>
        </w:tc>
        <w:tc>
          <w:tcPr>
            <w:tcW w:w="348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产出指标质量指标</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加大基层基础保障力度，提升基层党组织服务水平</w:t>
            </w:r>
          </w:p>
        </w:tc>
        <w:tc>
          <w:tcPr>
            <w:tcW w:w="1117"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定性</w:t>
            </w:r>
          </w:p>
        </w:tc>
        <w:tc>
          <w:tcPr>
            <w:tcW w:w="7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rPr>
            </w:pPr>
          </w:p>
        </w:tc>
        <w:tc>
          <w:tcPr>
            <w:tcW w:w="13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6</w:t>
            </w:r>
          </w:p>
        </w:tc>
        <w:tc>
          <w:tcPr>
            <w:tcW w:w="2415"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rPr>
              <w:t>综合行政管理</w:t>
            </w:r>
            <w:r>
              <w:rPr>
                <w:rFonts w:hint="eastAsia" w:ascii="仿宋_GB2312" w:hAnsi="仿宋" w:eastAsia="仿宋_GB2312" w:cs="Times New Roman"/>
                <w:sz w:val="28"/>
                <w:szCs w:val="28"/>
                <w:lang w:eastAsia="zh-CN"/>
              </w:rPr>
              <w:t>项目</w:t>
            </w:r>
          </w:p>
        </w:tc>
        <w:tc>
          <w:tcPr>
            <w:tcW w:w="3486"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产出指标时效指标</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所有项目标准时效202</w:t>
            </w:r>
            <w:r>
              <w:rPr>
                <w:rFonts w:hint="eastAsia" w:ascii="仿宋_GB2312" w:hAnsi="仿宋" w:eastAsia="仿宋_GB2312" w:cs="Times New Roman"/>
                <w:sz w:val="28"/>
                <w:szCs w:val="28"/>
                <w:lang w:val="en-US" w:eastAsia="zh-CN"/>
              </w:rPr>
              <w:t>5</w:t>
            </w:r>
            <w:r>
              <w:rPr>
                <w:rFonts w:hint="eastAsia" w:ascii="仿宋_GB2312" w:hAnsi="仿宋" w:eastAsia="仿宋_GB2312" w:cs="Times New Roman"/>
                <w:sz w:val="28"/>
                <w:szCs w:val="28"/>
              </w:rPr>
              <w:t>年1-12月</w:t>
            </w:r>
          </w:p>
        </w:tc>
        <w:tc>
          <w:tcPr>
            <w:tcW w:w="1117"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定性</w:t>
            </w:r>
          </w:p>
        </w:tc>
        <w:tc>
          <w:tcPr>
            <w:tcW w:w="7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rPr>
            </w:pPr>
          </w:p>
        </w:tc>
        <w:tc>
          <w:tcPr>
            <w:tcW w:w="1383" w:type="dxa"/>
            <w:tcBorders>
              <w:top w:val="nil"/>
              <w:left w:val="nil"/>
              <w:bottom w:val="nil"/>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jc w:val="center"/>
        </w:trPr>
        <w:tc>
          <w:tcPr>
            <w:tcW w:w="585" w:type="dxa"/>
            <w:tcBorders>
              <w:top w:val="nil"/>
              <w:left w:val="single" w:color="auto" w:sz="4" w:space="0"/>
              <w:bottom w:val="single" w:color="auto" w:sz="4" w:space="0"/>
              <w:right w:val="single" w:color="auto" w:sz="4" w:space="0"/>
            </w:tcBorders>
            <w:vAlign w:val="top"/>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77</w:t>
            </w:r>
          </w:p>
        </w:tc>
        <w:tc>
          <w:tcPr>
            <w:tcW w:w="241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环境类</w:t>
            </w:r>
            <w:r>
              <w:rPr>
                <w:rFonts w:hint="eastAsia" w:ascii="仿宋_GB2312" w:hAnsi="仿宋" w:eastAsia="仿宋_GB2312" w:cs="Times New Roman"/>
                <w:sz w:val="28"/>
                <w:szCs w:val="28"/>
              </w:rPr>
              <w:t>管理</w:t>
            </w:r>
            <w:r>
              <w:rPr>
                <w:rFonts w:hint="eastAsia" w:ascii="仿宋_GB2312" w:hAnsi="仿宋" w:eastAsia="仿宋_GB2312" w:cs="Times New Roman"/>
                <w:sz w:val="28"/>
                <w:szCs w:val="28"/>
                <w:lang w:eastAsia="zh-CN"/>
              </w:rPr>
              <w:t>项目</w:t>
            </w:r>
          </w:p>
        </w:tc>
        <w:tc>
          <w:tcPr>
            <w:tcW w:w="348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效益指标</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社会效益指标涉及环境卫生的，为辖区营造干净整洁的居住环境</w:t>
            </w:r>
          </w:p>
        </w:tc>
        <w:tc>
          <w:tcPr>
            <w:tcW w:w="111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rPr>
            </w:pPr>
            <w:r>
              <w:rPr>
                <w:rFonts w:hint="eastAsia" w:ascii="仿宋_GB2312" w:hAnsi="仿宋" w:eastAsia="仿宋_GB2312" w:cs="Times New Roman"/>
                <w:sz w:val="28"/>
                <w:szCs w:val="28"/>
              </w:rPr>
              <w:t>定性</w:t>
            </w:r>
          </w:p>
        </w:tc>
        <w:tc>
          <w:tcPr>
            <w:tcW w:w="7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ind w:firstLine="420" w:firstLineChars="150"/>
              <w:jc w:val="center"/>
              <w:textAlignment w:val="auto"/>
              <w:rPr>
                <w:rFonts w:hint="eastAsia" w:ascii="仿宋_GB2312" w:hAnsi="仿宋" w:eastAsia="仿宋_GB2312" w:cs="Times New Roman"/>
                <w:sz w:val="28"/>
                <w:szCs w:val="28"/>
              </w:rPr>
            </w:pPr>
          </w:p>
        </w:tc>
        <w:tc>
          <w:tcPr>
            <w:tcW w:w="138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560" w:lineRule="exact"/>
              <w:jc w:val="center"/>
              <w:textAlignment w:val="auto"/>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20</w:t>
            </w:r>
          </w:p>
        </w:tc>
      </w:tr>
    </w:tbl>
    <w:p>
      <w:pPr>
        <w:pStyle w:val="5"/>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eastAsia" w:ascii="楷体_GB2312" w:hAnsi="楷体_GB2312" w:eastAsia="楷体_GB2312" w:cs="楷体_GB2312"/>
          <w:b w:val="0"/>
          <w:bCs/>
          <w:kern w:val="2"/>
          <w:sz w:val="32"/>
          <w:szCs w:val="32"/>
          <w:lang w:val="en-US" w:eastAsia="zh-CN" w:bidi="ar-SA"/>
        </w:rPr>
      </w:pPr>
      <w:bookmarkStart w:id="16" w:name="_Toc268005761"/>
    </w:p>
    <w:p>
      <w:pPr>
        <w:pStyle w:val="5"/>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eastAsia" w:ascii="楷体_GB2312" w:hAnsi="Calibri" w:eastAsia="楷体_GB2312"/>
          <w:b/>
          <w:sz w:val="32"/>
          <w:szCs w:val="32"/>
        </w:rPr>
      </w:pPr>
      <w:r>
        <w:rPr>
          <w:rFonts w:hint="eastAsia" w:ascii="楷体_GB2312" w:hAnsi="楷体_GB2312" w:eastAsia="楷体_GB2312" w:cs="楷体_GB2312"/>
          <w:b w:val="0"/>
          <w:bCs/>
          <w:kern w:val="2"/>
          <w:sz w:val="32"/>
          <w:szCs w:val="32"/>
          <w:lang w:val="en-US" w:eastAsia="zh-CN" w:bidi="ar-SA"/>
        </w:rPr>
        <w:t>(二)当年预算执行情况</w:t>
      </w:r>
      <w:bookmarkEnd w:id="16"/>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2025年全年预算数91,463,974.37元，其中，基本支出预算数31,250,934.91元，项目支出预算数60,213,039.46元。全年支出91,463,974.37元，其中，基本支出31,250,934.91元，项目支出60,213,039.46元。预算执行率为100.0%。</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（三）整体绩效目标实现情况</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1.产出完成情况分析</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（1）产出数量</w:t>
      </w:r>
    </w:p>
    <w:p>
      <w:pPr>
        <w:pStyle w:val="10"/>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指标值：</w:t>
      </w:r>
      <w:r>
        <w:rPr>
          <w:rFonts w:hint="eastAsia" w:ascii="仿宋_GB2312" w:hAnsi="仿宋_GB2312" w:eastAsia="仿宋_GB2312" w:cs="仿宋_GB2312"/>
          <w:b w:val="0"/>
          <w:bCs/>
          <w:sz w:val="32"/>
          <w:szCs w:val="32"/>
        </w:rPr>
        <w:t>社区公益金，基层党组织服务群众经费等拨入社区的项目，涉及9个社区。下沉镇街协管员发放涉及岗位</w:t>
      </w:r>
      <w:r>
        <w:rPr>
          <w:rFonts w:hint="eastAsia" w:ascii="仿宋_GB2312" w:hAnsi="仿宋_GB2312" w:eastAsia="仿宋_GB2312" w:cs="仿宋_GB2312"/>
          <w:b w:val="0"/>
          <w:bCs/>
          <w:sz w:val="32"/>
          <w:szCs w:val="32"/>
          <w:lang w:val="en-US" w:eastAsia="zh-CN"/>
        </w:rPr>
        <w:t>65</w:t>
      </w:r>
      <w:r>
        <w:rPr>
          <w:rFonts w:hint="eastAsia" w:ascii="仿宋_GB2312" w:hAnsi="仿宋_GB2312" w:eastAsia="仿宋_GB2312" w:cs="仿宋_GB2312"/>
          <w:b w:val="0"/>
          <w:bCs/>
          <w:sz w:val="32"/>
          <w:szCs w:val="32"/>
        </w:rPr>
        <w:t>个；社区工作者待遇保障经费发放人数不少于1</w:t>
      </w:r>
      <w:r>
        <w:rPr>
          <w:rFonts w:hint="eastAsia" w:ascii="仿宋_GB2312" w:hAnsi="仿宋_GB2312" w:eastAsia="仿宋_GB2312" w:cs="仿宋_GB2312"/>
          <w:b w:val="0"/>
          <w:bCs/>
          <w:sz w:val="32"/>
          <w:szCs w:val="32"/>
          <w:lang w:val="en-US" w:eastAsia="zh-CN"/>
        </w:rPr>
        <w:t>30</w:t>
      </w:r>
      <w:r>
        <w:rPr>
          <w:rFonts w:hint="eastAsia" w:ascii="仿宋_GB2312" w:hAnsi="仿宋_GB2312" w:eastAsia="仿宋_GB2312" w:cs="仿宋_GB2312"/>
          <w:b w:val="0"/>
          <w:bCs/>
          <w:sz w:val="32"/>
          <w:szCs w:val="32"/>
        </w:rPr>
        <w:t>人</w:t>
      </w:r>
      <w:r>
        <w:rPr>
          <w:rFonts w:hint="eastAsia" w:ascii="仿宋_GB2312" w:hAnsi="仿宋_GB2312" w:eastAsia="仿宋_GB2312" w:cs="仿宋_GB2312"/>
          <w:b w:val="0"/>
          <w:bCs/>
          <w:sz w:val="32"/>
          <w:szCs w:val="32"/>
          <w:lang w:eastAsia="zh-CN"/>
        </w:rPr>
        <w:t>。</w:t>
      </w:r>
    </w:p>
    <w:p>
      <w:pPr>
        <w:pStyle w:val="10"/>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eastAsia="zh-CN"/>
        </w:rPr>
        <w:t>完成值：社区资金已按时拨入9个社区；下沉镇街协管员按实际情况发放，涉及岗位</w:t>
      </w:r>
      <w:r>
        <w:rPr>
          <w:rFonts w:hint="eastAsia" w:ascii="仿宋_GB2312" w:hAnsi="仿宋_GB2312" w:eastAsia="仿宋_GB2312" w:cs="仿宋_GB2312"/>
          <w:b w:val="0"/>
          <w:bCs/>
          <w:sz w:val="32"/>
          <w:szCs w:val="32"/>
          <w:lang w:val="en-US" w:eastAsia="zh-CN"/>
        </w:rPr>
        <w:t>65</w:t>
      </w:r>
      <w:r>
        <w:rPr>
          <w:rFonts w:hint="eastAsia" w:ascii="仿宋_GB2312" w:hAnsi="仿宋_GB2312" w:eastAsia="仿宋_GB2312" w:cs="仿宋_GB2312"/>
          <w:b w:val="0"/>
          <w:bCs/>
          <w:sz w:val="32"/>
          <w:szCs w:val="32"/>
          <w:lang w:eastAsia="zh-CN"/>
        </w:rPr>
        <w:t>个；社工待遇平均发放1</w:t>
      </w:r>
      <w:r>
        <w:rPr>
          <w:rFonts w:hint="eastAsia" w:ascii="仿宋_GB2312" w:hAnsi="仿宋_GB2312" w:eastAsia="仿宋_GB2312" w:cs="仿宋_GB2312"/>
          <w:b w:val="0"/>
          <w:bCs/>
          <w:sz w:val="32"/>
          <w:szCs w:val="32"/>
          <w:lang w:val="en-US" w:eastAsia="zh-CN"/>
        </w:rPr>
        <w:t>30</w:t>
      </w:r>
      <w:r>
        <w:rPr>
          <w:rFonts w:hint="eastAsia" w:ascii="仿宋_GB2312" w:hAnsi="仿宋_GB2312" w:eastAsia="仿宋_GB2312" w:cs="仿宋_GB2312"/>
          <w:b w:val="0"/>
          <w:bCs/>
          <w:sz w:val="32"/>
          <w:szCs w:val="32"/>
          <w:lang w:eastAsia="zh-CN"/>
        </w:rPr>
        <w:t>人。</w:t>
      </w:r>
      <w:r>
        <w:rPr>
          <w:rFonts w:hint="eastAsia" w:ascii="仿宋_GB2312" w:hAnsi="仿宋_GB2312" w:eastAsia="仿宋_GB2312" w:cs="仿宋_GB2312"/>
          <w:sz w:val="32"/>
          <w:szCs w:val="32"/>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产出质量</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指标值：涉及环境类项目，如：辖区环境卫生、大气污染防治等：实施环境整治项目建设，有效改善社区环境面貌，补齐环境基础设施短板。提高大气污染的监测和管理水平，完善各项机制，坚持问题导向，突出精细管控，持续打好蓝天保卫战。</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完成值：东辛房街道2025年PM2.5平均浓度为24微克/立方米，同比去年（29微克/立方米）改善5微克/立方米；TSP平均浓度为65微克/立方米，同比去年（81微克/立方米）改善16微克/立方米。</w:t>
      </w:r>
      <w:r>
        <w:rPr>
          <w:rFonts w:hint="eastAsia" w:ascii="仿宋_GB2312" w:hAnsi="仿宋_GB2312" w:eastAsia="仿宋_GB2312" w:cs="仿宋_GB2312"/>
          <w:sz w:val="32"/>
          <w:szCs w:val="32"/>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产出进度</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指标值：2025年1-12月所有预算任务全部完成。</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val="en-US" w:eastAsia="zh-CN"/>
        </w:rPr>
        <w:t>完成值：除部分项目继续使用和年底追加外，其他项目2025年全部按预算进度完成。</w:t>
      </w:r>
      <w:r>
        <w:rPr>
          <w:rFonts w:hint="eastAsia" w:ascii="仿宋_GB2312" w:hAnsi="仿宋_GB2312" w:eastAsia="仿宋_GB2312" w:cs="仿宋_GB2312"/>
          <w:sz w:val="32"/>
          <w:szCs w:val="32"/>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产出成本</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指标值：2025年全年预算成本控制数为9921.71万元。</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完成值：2025年全年预算成本完成数</w:t>
      </w:r>
      <w:r>
        <w:rPr>
          <w:rFonts w:hint="eastAsia" w:ascii="仿宋_GB2312" w:hAnsi="仿宋_GB2312" w:eastAsia="仿宋_GB2312" w:cs="仿宋_GB2312"/>
          <w:b w:val="0"/>
          <w:bCs/>
          <w:sz w:val="32"/>
          <w:szCs w:val="32"/>
          <w:lang w:val="en-US" w:eastAsia="zh-CN"/>
        </w:rPr>
        <w:t>控制在</w:t>
      </w:r>
      <w:r>
        <w:rPr>
          <w:rFonts w:hint="eastAsia" w:ascii="仿宋_GB2312" w:hAnsi="仿宋_GB2312" w:eastAsia="仿宋_GB2312" w:cs="仿宋_GB2312"/>
          <w:b w:val="0"/>
          <w:bCs/>
          <w:sz w:val="32"/>
          <w:szCs w:val="32"/>
          <w:lang w:eastAsia="zh-CN"/>
        </w:rPr>
        <w:t>9921.71万元。</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2.效果实现情况分析</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（1）经济效益</w:t>
      </w:r>
      <w:r>
        <w:rPr>
          <w:rFonts w:hint="eastAsia" w:ascii="仿宋_GB2312" w:hAnsi="仿宋_GB2312" w:eastAsia="仿宋_GB2312" w:cs="仿宋_GB2312"/>
          <w:sz w:val="32"/>
          <w:szCs w:val="32"/>
          <w:lang w:val="en-US" w:eastAsia="zh-CN"/>
        </w:rPr>
        <w:t xml:space="preserve">:不涉及。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社会效益</w:t>
      </w:r>
    </w:p>
    <w:p>
      <w:pPr>
        <w:pStyle w:val="5"/>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sz w:val="32"/>
          <w:szCs w:val="32"/>
          <w:lang w:eastAsia="zh-CN"/>
        </w:rPr>
        <w:t>指标值：</w:t>
      </w:r>
      <w:r>
        <w:rPr>
          <w:rFonts w:hint="eastAsia" w:ascii="仿宋_GB2312" w:hAnsi="仿宋_GB2312" w:eastAsia="仿宋_GB2312" w:cs="仿宋_GB2312"/>
          <w:sz w:val="32"/>
          <w:szCs w:val="32"/>
          <w:lang w:val="en-US" w:eastAsia="zh-CN"/>
        </w:rPr>
        <w:t>涉及安保维稳等项目：雇佣保安，保障辖区安全稳定，保障重大活动期间辖区社会治安稳定；涉及公益性就业等项目：按时足额发放公益性就业人员补贴，提升辖区就业率，维护辖区社会稳定；涉及文化类项目：通过文化外包服务，组织文化活动，传统曲艺演出等项目，提升辖区居民文化素养，丰富辖区居民的业余文化生活。</w:t>
      </w:r>
    </w:p>
    <w:p>
      <w:pPr>
        <w:pStyle w:val="5"/>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sz w:val="32"/>
          <w:szCs w:val="32"/>
          <w:lang w:eastAsia="zh-CN"/>
        </w:rPr>
        <w:t>完成值：</w:t>
      </w:r>
      <w:r>
        <w:rPr>
          <w:rFonts w:hint="eastAsia" w:ascii="仿宋_GB2312" w:hAnsi="仿宋_GB2312" w:eastAsia="仿宋_GB2312" w:cs="仿宋_GB2312"/>
          <w:b w:val="0"/>
          <w:bCs/>
          <w:sz w:val="32"/>
          <w:szCs w:val="32"/>
          <w:lang w:val="en-US" w:eastAsia="zh-CN"/>
        </w:rPr>
        <w:t>除“门头沟区东辛房街道文化中心提升改造项目”外，</w:t>
      </w:r>
      <w:r>
        <w:rPr>
          <w:rFonts w:hint="eastAsia" w:ascii="仿宋_GB2312" w:hAnsi="仿宋_GB2312" w:eastAsia="仿宋_GB2312" w:cs="仿宋_GB2312"/>
          <w:b w:val="0"/>
          <w:bCs/>
          <w:sz w:val="32"/>
          <w:szCs w:val="32"/>
          <w:lang w:eastAsia="zh-CN"/>
        </w:rPr>
        <w:t>2025年涉及安保维稳项目、公益性就业项目、文化类项目等到年底预算任务全部完成。</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环境效益</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指标值：涉及大气污染防治项目：辖区空气质量进一步改善。</w:t>
      </w:r>
    </w:p>
    <w:p>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sz w:val="32"/>
          <w:szCs w:val="32"/>
          <w:lang w:eastAsia="zh-CN"/>
        </w:rPr>
        <w:t>完成值：</w:t>
      </w:r>
      <w:r>
        <w:rPr>
          <w:rFonts w:hint="eastAsia" w:ascii="仿宋_GB2312" w:hAnsi="仿宋_GB2312" w:eastAsia="仿宋_GB2312" w:cs="仿宋_GB2312"/>
          <w:b w:val="0"/>
          <w:bCs/>
          <w:sz w:val="32"/>
          <w:szCs w:val="32"/>
          <w:lang w:val="en-US" w:eastAsia="zh-CN"/>
        </w:rPr>
        <w:t>2025年PM2.5平均浓度为24微克/立方米，同比去年（29微克/立方米）改善5微克/立方米；TSP平均浓度为65微克/立方米，同比去年（81微克/立方米）改善16微克/立方米。</w:t>
      </w: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（4）可持续影响</w:t>
      </w:r>
      <w:r>
        <w:rPr>
          <w:rFonts w:hint="eastAsia" w:ascii="仿宋_GB2312" w:hAnsi="仿宋_GB2312" w:eastAsia="仿宋_GB2312" w:cs="仿宋_GB2312"/>
          <w:sz w:val="32"/>
          <w:szCs w:val="32"/>
          <w:lang w:val="en-US" w:eastAsia="zh-CN"/>
        </w:rPr>
        <w:t>:不涉及。</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（5）服务对象满意度</w:t>
      </w:r>
    </w:p>
    <w:p>
      <w:pPr>
        <w:pStyle w:val="5"/>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指标值：涉及接诉考核奖励、每月一题等接诉类项目，辖区居民对于诉求案件解决的满意率≧90%。</w:t>
      </w:r>
    </w:p>
    <w:p>
      <w:pPr>
        <w:pStyle w:val="5"/>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sz w:val="32"/>
          <w:szCs w:val="32"/>
          <w:lang w:eastAsia="zh-CN"/>
        </w:rPr>
        <w:t>完成值：</w:t>
      </w:r>
      <w:r>
        <w:rPr>
          <w:rFonts w:hint="eastAsia" w:ascii="仿宋_GB2312" w:hAnsi="仿宋_GB2312" w:eastAsia="仿宋_GB2312" w:cs="仿宋_GB2312"/>
          <w:b w:val="0"/>
          <w:bCs/>
          <w:sz w:val="32"/>
          <w:szCs w:val="32"/>
          <w:lang w:val="en-US" w:eastAsia="zh-CN"/>
        </w:rPr>
        <w:t>2025年接诉平均综合成绩97.34分，群众满意率达到了97%。</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（四）预算管理情况分析</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1.财务管理</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会计机构设置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根据财务管理工作需要，配备</w:t>
      </w:r>
      <w:r>
        <w:rPr>
          <w:rFonts w:hint="eastAsia" w:ascii="仿宋_GB2312" w:hAnsi="仿宋_GB2312" w:eastAsia="仿宋_GB2312" w:cs="仿宋_GB2312"/>
          <w:sz w:val="32"/>
          <w:szCs w:val="32"/>
          <w:lang w:val="en-US" w:eastAsia="zh-CN"/>
        </w:rPr>
        <w:t>5名</w:t>
      </w:r>
      <w:r>
        <w:rPr>
          <w:rFonts w:hint="eastAsia" w:ascii="仿宋_GB2312" w:hAnsi="仿宋_GB2312" w:eastAsia="仿宋_GB2312" w:cs="仿宋_GB2312"/>
          <w:sz w:val="32"/>
          <w:szCs w:val="32"/>
        </w:rPr>
        <w:t>会计人员；会计人员具备相应的专业知识和业务能力；具有独立办公场所，</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 xml:space="preserve">与其他部门混合办公。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会计核算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严格审核原始凭证，按照经审核批准后的原始凭证付款，及时传递会计信息、处理会计业务，整理装订会计凭证。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财务报告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根据登记完整、核对无误的会计账簿记录和其他有关资料定期编制财务报表，通过对预算执行情况、财务活动各项收支执行情况进行归纳、分析、总结，形成财务报告，定期报送</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 xml:space="preserve">主管领导和其他相关领导和部门。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会计账簿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按照国家统一会计制度的规定和会计业务的需要设置总账、明细账、日记账和其他辅助性账簿，现金日记账和银行存款日记账逐日结出余额，总账、明细账</w:t>
      </w:r>
      <w:r>
        <w:rPr>
          <w:rFonts w:hint="eastAsia" w:ascii="仿宋_GB2312" w:hAnsi="仿宋_GB2312" w:eastAsia="仿宋_GB2312" w:cs="仿宋_GB2312"/>
          <w:sz w:val="32"/>
          <w:szCs w:val="32"/>
          <w:lang w:eastAsia="zh-CN"/>
        </w:rPr>
        <w:t>按年</w:t>
      </w:r>
      <w:r>
        <w:rPr>
          <w:rFonts w:hint="eastAsia" w:ascii="仿宋_GB2312" w:hAnsi="仿宋_GB2312" w:eastAsia="仿宋_GB2312" w:cs="仿宋_GB2312"/>
          <w:sz w:val="32"/>
          <w:szCs w:val="32"/>
        </w:rPr>
        <w:t xml:space="preserve">定期结账。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会计档案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按照归档要求，整理立卷，装订成册，编制会计档案保管清册。</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当年形成的会计档案,在会计年度终了后,由综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临时保管一年,再移交单位档案管理机构保管。因工作需要确需推迟移交的,经单位档案管理机构同意。综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临时保管会计档案最长不超过三年。临时保管期间,会计档案的保管符合国家档案管理的有关规定,且出纳人员</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 xml:space="preserve">兼管会计档案。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会计交接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本年度有一名</w:t>
      </w:r>
      <w:r>
        <w:rPr>
          <w:rFonts w:hint="eastAsia" w:ascii="仿宋_GB2312" w:hAnsi="仿宋_GB2312" w:eastAsia="仿宋_GB2312" w:cs="仿宋_GB2312"/>
          <w:sz w:val="32"/>
          <w:szCs w:val="32"/>
        </w:rPr>
        <w:t>会计人员</w:t>
      </w:r>
      <w:r>
        <w:rPr>
          <w:rFonts w:hint="eastAsia" w:ascii="仿宋_GB2312" w:hAnsi="仿宋_GB2312" w:eastAsia="仿宋_GB2312" w:cs="仿宋_GB2312"/>
          <w:sz w:val="32"/>
          <w:szCs w:val="32"/>
          <w:lang w:eastAsia="zh-CN"/>
        </w:rPr>
        <w:t>，由于</w:t>
      </w:r>
      <w:r>
        <w:rPr>
          <w:rFonts w:hint="eastAsia" w:ascii="仿宋_GB2312" w:hAnsi="仿宋_GB2312" w:eastAsia="仿宋_GB2312" w:cs="仿宋_GB2312"/>
          <w:sz w:val="32"/>
          <w:szCs w:val="32"/>
        </w:rPr>
        <w:t>工作调动，将本人所经管的会计工作全部移交给</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接替人员；会计人员办理交接手续，有监交人负责监交；移交人员在办理移交时，按移交清册逐项移交，接替人员逐项核对</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点收；</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交接完毕后，交接双方和监交人员</w:t>
      </w:r>
      <w:r>
        <w:rPr>
          <w:rFonts w:hint="eastAsia" w:ascii="仿宋_GB2312" w:hAnsi="仿宋_GB2312" w:eastAsia="仿宋_GB2312" w:cs="仿宋_GB2312"/>
          <w:sz w:val="32"/>
          <w:szCs w:val="32"/>
          <w:lang w:val="en-US" w:eastAsia="zh-CN"/>
        </w:rPr>
        <w:t>均</w:t>
      </w:r>
      <w:r>
        <w:rPr>
          <w:rFonts w:hint="eastAsia" w:ascii="仿宋_GB2312" w:hAnsi="仿宋_GB2312" w:eastAsia="仿宋_GB2312" w:cs="仿宋_GB2312"/>
          <w:sz w:val="32"/>
          <w:szCs w:val="32"/>
        </w:rPr>
        <w:t>在移交清册上签名。</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2.资产管理</w:t>
      </w:r>
    </w:p>
    <w:p>
      <w:pPr>
        <w:keepNext w:val="0"/>
        <w:keepLines w:val="0"/>
        <w:pageBreakBefore w:val="0"/>
        <w:kinsoku/>
        <w:wordWrap/>
        <w:overflowPunct/>
        <w:topLinePunct w:val="0"/>
        <w:autoSpaceDE/>
        <w:autoSpaceDN/>
        <w:bidi w:val="0"/>
        <w:adjustRightInd/>
        <w:snapToGrid/>
        <w:spacing w:beforeLines="0" w:afterLines="0" w:line="560" w:lineRule="exact"/>
        <w:ind w:firstLine="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综合办公室（后勤）作</w:t>
      </w:r>
      <w:r>
        <w:rPr>
          <w:rFonts w:hint="eastAsia" w:ascii="仿宋_GB2312" w:hAnsi="仿宋_GB2312" w:eastAsia="仿宋_GB2312" w:cs="仿宋_GB2312"/>
          <w:sz w:val="32"/>
          <w:szCs w:val="32"/>
        </w:rPr>
        <w:t>为固定资产实物的归口管理部门，</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 xml:space="preserve">设置街道固定资产管理员，负责机关各科室及所属事业单位固定资产实物管理工作。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 xml:space="preserve">制定固定资产管理办法并组织实施。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）不断</w:t>
      </w:r>
      <w:r>
        <w:rPr>
          <w:rFonts w:hint="eastAsia" w:ascii="仿宋_GB2312" w:hAnsi="仿宋_GB2312" w:eastAsia="仿宋_GB2312" w:cs="仿宋_GB2312"/>
          <w:sz w:val="32"/>
          <w:szCs w:val="32"/>
        </w:rPr>
        <w:t xml:space="preserve">建立健全固定资产实物总账系统，对固定资产进行分类，实行“一物一卡一码”编号，并在物品明显位置上贴码；定期与财务账以及各科室实物明细账核对。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lang w:val="en-US" w:eastAsia="zh-CN"/>
        </w:rPr>
        <w:t>和指导</w:t>
      </w:r>
      <w:r>
        <w:rPr>
          <w:rFonts w:hint="eastAsia" w:ascii="仿宋_GB2312" w:hAnsi="仿宋_GB2312" w:eastAsia="仿宋_GB2312" w:cs="仿宋_GB2312"/>
          <w:sz w:val="32"/>
          <w:szCs w:val="32"/>
          <w:lang w:eastAsia="zh-CN"/>
        </w:rPr>
        <w:t>各科室固定资产管理员实施</w:t>
      </w:r>
      <w:r>
        <w:rPr>
          <w:rFonts w:hint="eastAsia" w:ascii="仿宋_GB2312" w:hAnsi="仿宋_GB2312" w:eastAsia="仿宋_GB2312" w:cs="仿宋_GB2312"/>
          <w:sz w:val="32"/>
          <w:szCs w:val="32"/>
        </w:rPr>
        <w:t>购置固定资产的验收入库与实物库管理工作。</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）组织各科室固定资产领用、内部转移、交回的审核、审批，根据审批办理领用、内部转移、交回手续，并登记固定资产总账。</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）组织固定资产清查登记、统计报告等工作。</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）提出固定资产的处置申请及方案；组织实施单位固定资产具体的实物处置。</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）负责指导社区办对社区固定资产管理工作。</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w:t>
      </w:r>
      <w:r>
        <w:rPr>
          <w:rFonts w:hint="eastAsia" w:ascii="仿宋_GB2312" w:hAnsi="仿宋_GB2312" w:eastAsia="仿宋_GB2312" w:cs="仿宋_GB2312"/>
          <w:sz w:val="32"/>
          <w:szCs w:val="32"/>
          <w:lang w:val="en-US" w:eastAsia="zh-CN"/>
        </w:rPr>
        <w:t>合办公室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负责固定资产财务账的统一核算及管理工作。 </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社区办</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设置固定资产管理员，按照街道固定资产统一管理要求，负责社区固</w:t>
      </w:r>
      <w:bookmarkStart w:id="17" w:name="_GoBack"/>
      <w:bookmarkEnd w:id="17"/>
      <w:r>
        <w:rPr>
          <w:rFonts w:hint="eastAsia" w:ascii="仿宋_GB2312" w:hAnsi="仿宋_GB2312" w:eastAsia="仿宋_GB2312" w:cs="仿宋_GB2312"/>
          <w:sz w:val="32"/>
          <w:szCs w:val="32"/>
        </w:rPr>
        <w:t>定资产实物管理工作。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各科室、</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设置科室固定资产管理员，负责本科室占有、使用固定资产的管理。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3.绩效管理</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（1）预算绩效管理制度情况</w:t>
      </w:r>
    </w:p>
    <w:p>
      <w:pPr>
        <w:keepNext w:val="0"/>
        <w:keepLines w:val="0"/>
        <w:pageBreakBefore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为进一步提升预算部门绩效理念，强化各科室支出责任，更好的发挥公共财政职能作用，提高财政资金配置和使用效益，结合财政202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年度全过程预算绩效管理工作计划，东辛房街道办事处开展了此项工作，具体实施情况如下：</w:t>
      </w:r>
      <w:r>
        <w:rPr>
          <w:rFonts w:hint="eastAsia" w:ascii="仿宋_GB2312" w:hAnsi="仿宋_GB2312" w:eastAsia="仿宋_GB2312" w:cs="仿宋_GB2312"/>
          <w:color w:val="auto"/>
          <w:sz w:val="32"/>
          <w:szCs w:val="32"/>
        </w:rPr>
        <w:t>成立了以街道主要领导为组长的绩效管理机构，根据当年的工作计划以及年初制定的绩效进行实施。</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（2）绩效目标管理情况</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404040"/>
          <w:sz w:val="32"/>
          <w:szCs w:val="32"/>
          <w:shd w:val="clear" w:color="auto" w:fill="FFFFFF"/>
        </w:rPr>
      </w:pPr>
      <w:r>
        <w:rPr>
          <w:rFonts w:hint="eastAsia" w:ascii="仿宋_GB2312" w:hAnsi="仿宋_GB2312" w:eastAsia="仿宋_GB2312" w:cs="仿宋_GB2312"/>
          <w:color w:val="auto"/>
          <w:sz w:val="32"/>
          <w:szCs w:val="32"/>
          <w:shd w:val="clear" w:color="auto" w:fill="FFFFFF"/>
        </w:rPr>
        <w:t>202</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年</w:t>
      </w:r>
      <w:r>
        <w:rPr>
          <w:rFonts w:hint="eastAsia" w:ascii="仿宋_GB2312" w:hAnsi="仿宋_GB2312" w:eastAsia="仿宋_GB2312" w:cs="仿宋_GB2312"/>
          <w:color w:val="auto"/>
          <w:sz w:val="32"/>
          <w:szCs w:val="32"/>
          <w:shd w:val="clear" w:color="auto" w:fill="FFFFFF"/>
          <w:lang w:val="en-US" w:eastAsia="zh-CN"/>
        </w:rPr>
        <w:t>年初</w:t>
      </w:r>
      <w:r>
        <w:rPr>
          <w:rFonts w:hint="eastAsia" w:ascii="仿宋_GB2312" w:hAnsi="仿宋_GB2312" w:eastAsia="仿宋_GB2312" w:cs="仿宋_GB2312"/>
          <w:color w:val="auto"/>
          <w:sz w:val="32"/>
          <w:szCs w:val="32"/>
          <w:shd w:val="clear" w:color="auto" w:fill="FFFFFF"/>
        </w:rPr>
        <w:t>部门预算项目</w:t>
      </w:r>
      <w:r>
        <w:rPr>
          <w:rFonts w:hint="eastAsia" w:ascii="仿宋_GB2312" w:hAnsi="仿宋_GB2312" w:eastAsia="仿宋_GB2312" w:cs="仿宋_GB2312"/>
          <w:color w:val="auto"/>
          <w:sz w:val="32"/>
          <w:szCs w:val="32"/>
          <w:shd w:val="clear" w:color="auto" w:fill="FFFFFF"/>
          <w:lang w:val="en-US" w:eastAsia="zh-CN"/>
        </w:rPr>
        <w:t>31</w:t>
      </w:r>
      <w:r>
        <w:rPr>
          <w:rFonts w:hint="eastAsia" w:ascii="仿宋_GB2312" w:hAnsi="仿宋_GB2312" w:eastAsia="仿宋_GB2312" w:cs="仿宋_GB2312"/>
          <w:color w:val="auto"/>
          <w:sz w:val="32"/>
          <w:szCs w:val="32"/>
          <w:shd w:val="clear" w:color="auto" w:fill="FFFFFF"/>
        </w:rPr>
        <w:t>个，部门预算公开绩效目标的预算项目</w:t>
      </w:r>
      <w:r>
        <w:rPr>
          <w:rFonts w:hint="eastAsia" w:ascii="仿宋_GB2312" w:hAnsi="仿宋_GB2312" w:eastAsia="仿宋_GB2312" w:cs="仿宋_GB2312"/>
          <w:color w:val="auto"/>
          <w:sz w:val="32"/>
          <w:szCs w:val="32"/>
          <w:shd w:val="clear" w:color="auto" w:fill="FFFFFF"/>
          <w:lang w:val="en-US" w:eastAsia="zh-CN"/>
        </w:rPr>
        <w:t>31</w:t>
      </w:r>
      <w:r>
        <w:rPr>
          <w:rFonts w:hint="eastAsia" w:ascii="仿宋_GB2312" w:hAnsi="仿宋_GB2312" w:eastAsia="仿宋_GB2312" w:cs="仿宋_GB2312"/>
          <w:color w:val="auto"/>
          <w:sz w:val="32"/>
          <w:szCs w:val="32"/>
          <w:shd w:val="clear" w:color="auto" w:fill="FFFFFF"/>
        </w:rPr>
        <w:t>个，占本部门全部预算项目的</w:t>
      </w:r>
      <w:r>
        <w:rPr>
          <w:rFonts w:hint="eastAsia" w:ascii="仿宋_GB2312" w:hAnsi="仿宋_GB2312" w:eastAsia="仿宋_GB2312" w:cs="仿宋_GB2312"/>
          <w:color w:val="auto"/>
          <w:sz w:val="32"/>
          <w:szCs w:val="32"/>
          <w:shd w:val="clear" w:color="auto" w:fill="FFFFFF"/>
          <w:lang w:val="en-US" w:eastAsia="zh-CN"/>
        </w:rPr>
        <w:t>100</w:t>
      </w:r>
      <w:r>
        <w:rPr>
          <w:rFonts w:hint="eastAsia" w:ascii="仿宋_GB2312" w:hAnsi="仿宋_GB2312" w:eastAsia="仿宋_GB2312" w:cs="仿宋_GB2312"/>
          <w:color w:val="auto"/>
          <w:sz w:val="32"/>
          <w:szCs w:val="32"/>
          <w:shd w:val="clear" w:color="auto" w:fill="FFFFFF"/>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（3）绩效自评情况</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年对本部门及所属单位202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年项目支出实施了绩效自评，评价项目</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个，涉及金额</w:t>
      </w:r>
      <w:r>
        <w:rPr>
          <w:rFonts w:hint="eastAsia" w:ascii="仿宋_GB2312" w:hAnsi="仿宋_GB2312" w:eastAsia="仿宋_GB2312" w:cs="仿宋_GB2312"/>
          <w:sz w:val="32"/>
          <w:szCs w:val="32"/>
          <w:lang w:val="en-US" w:eastAsia="zh-CN"/>
        </w:rPr>
        <w:t>7461.72</w:t>
      </w:r>
      <w:r>
        <w:rPr>
          <w:rFonts w:hint="eastAsia" w:ascii="仿宋_GB2312" w:hAnsi="仿宋_GB2312" w:eastAsia="仿宋_GB2312" w:cs="仿宋_GB2312"/>
          <w:sz w:val="32"/>
          <w:szCs w:val="32"/>
        </w:rPr>
        <w:t>万元。</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（五）总体评价结论</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1.评价得分情况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绩效自评总分：</w:t>
      </w:r>
      <w:r>
        <w:rPr>
          <w:rFonts w:hint="eastAsia" w:ascii="仿宋_GB2312" w:hAnsi="仿宋_GB2312" w:eastAsia="仿宋_GB2312" w:cs="仿宋_GB2312"/>
          <w:sz w:val="32"/>
          <w:szCs w:val="32"/>
          <w:lang w:val="en-US" w:eastAsia="zh-CN"/>
        </w:rPr>
        <w:t>97</w:t>
      </w:r>
      <w:r>
        <w:rPr>
          <w:rFonts w:hint="eastAsia" w:ascii="仿宋_GB2312" w:hAnsi="仿宋_GB2312" w:eastAsia="仿宋_GB2312" w:cs="仿宋_GB2312"/>
          <w:sz w:val="32"/>
          <w:szCs w:val="32"/>
        </w:rPr>
        <w:t>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绩效自评等级：优秀</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2.存在的问题及原因分析</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门头沟区东辛房街道文化中心提升改造项目</w:t>
      </w:r>
      <w:r>
        <w:rPr>
          <w:rFonts w:hint="eastAsia" w:ascii="仿宋_GB2312" w:hAnsi="仿宋_GB2312" w:eastAsia="仿宋_GB2312" w:cs="仿宋_GB2312"/>
          <w:sz w:val="32"/>
          <w:szCs w:val="32"/>
          <w:lang w:val="en-US" w:eastAsia="zh-CN"/>
        </w:rPr>
        <w:t>2025年未完成预算任务，主要原因：2025年年底追加项目，计划于2026年实施项目。</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3.改进措施</w:t>
      </w:r>
    </w:p>
    <w:bookmarkEnd w:id="15"/>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2025年未完成预算任务的项目，2026年加强绩效监督和管理，保障完成预算任务。</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二、项目支出绩效自评情况</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（一）绩效自评开展总体情况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2025年度区财政批复项目支出预算项目</w:t>
      </w: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个，涉及金额</w:t>
      </w:r>
      <w:r>
        <w:rPr>
          <w:rFonts w:hint="eastAsia" w:ascii="仿宋_GB2312" w:hAnsi="仿宋_GB2312" w:eastAsia="仿宋_GB2312" w:cs="仿宋_GB2312"/>
          <w:sz w:val="32"/>
          <w:szCs w:val="32"/>
          <w:lang w:val="en-US" w:eastAsia="zh-CN"/>
        </w:rPr>
        <w:t>6796.62</w:t>
      </w:r>
      <w:r>
        <w:rPr>
          <w:rFonts w:hint="eastAsia" w:ascii="仿宋_GB2312" w:hAnsi="仿宋_GB2312" w:eastAsia="仿宋_GB2312" w:cs="仿宋_GB2312"/>
          <w:sz w:val="32"/>
          <w:szCs w:val="32"/>
        </w:rPr>
        <w:t>万元。本次实施绩效自评项目</w:t>
      </w:r>
      <w:r>
        <w:rPr>
          <w:rFonts w:hint="eastAsia" w:ascii="仿宋_GB2312" w:hAnsi="仿宋_GB2312" w:eastAsia="仿宋_GB2312" w:cs="仿宋_GB2312"/>
          <w:sz w:val="32"/>
          <w:szCs w:val="32"/>
          <w:lang w:val="en-US" w:eastAsia="zh-CN"/>
        </w:rPr>
        <w:t>73</w:t>
      </w:r>
      <w:r>
        <w:rPr>
          <w:rFonts w:hint="eastAsia" w:ascii="仿宋_GB2312" w:hAnsi="仿宋_GB2312" w:eastAsia="仿宋_GB2312" w:cs="仿宋_GB2312"/>
          <w:sz w:val="32"/>
          <w:szCs w:val="32"/>
        </w:rPr>
        <w:t>个，涉及金额</w:t>
      </w:r>
      <w:r>
        <w:rPr>
          <w:rFonts w:hint="eastAsia" w:ascii="仿宋_GB2312" w:hAnsi="仿宋_GB2312" w:eastAsia="仿宋_GB2312" w:cs="仿宋_GB2312"/>
          <w:sz w:val="32"/>
          <w:szCs w:val="32"/>
          <w:lang w:val="en-US" w:eastAsia="zh-CN"/>
        </w:rPr>
        <w:t>6431.35</w:t>
      </w:r>
      <w:r>
        <w:rPr>
          <w:rFonts w:hint="eastAsia" w:ascii="仿宋_GB2312" w:hAnsi="仿宋_GB2312" w:eastAsia="仿宋_GB2312" w:cs="仿宋_GB2312"/>
          <w:sz w:val="32"/>
          <w:szCs w:val="32"/>
        </w:rPr>
        <w:t>万元。评价得分在90分（含90分）以上的</w:t>
      </w:r>
      <w:r>
        <w:rPr>
          <w:rFonts w:hint="eastAsia" w:ascii="仿宋_GB2312" w:hAnsi="仿宋_GB2312" w:eastAsia="仿宋_GB2312" w:cs="仿宋_GB2312"/>
          <w:sz w:val="32"/>
          <w:szCs w:val="32"/>
          <w:lang w:val="en-US" w:eastAsia="zh-CN"/>
        </w:rPr>
        <w:t>73</w:t>
      </w:r>
      <w:r>
        <w:rPr>
          <w:rFonts w:hint="eastAsia" w:ascii="仿宋_GB2312" w:hAnsi="仿宋_GB2312" w:eastAsia="仿宋_GB2312" w:cs="仿宋_GB2312"/>
          <w:sz w:val="32"/>
          <w:szCs w:val="32"/>
        </w:rPr>
        <w:t>个，评价得分在80-90分（含80分）的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个，评价得分在60-80分（含60分）的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个，评价得分在60分以下的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（二）重点支出项目绩效自评报告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详见附件1</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（三）项目支出绩效自评表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详见</w:t>
      </w:r>
      <w:r>
        <w:rPr>
          <w:rFonts w:hint="eastAsia" w:ascii="仿宋_GB2312" w:hAnsi="仿宋_GB2312" w:eastAsia="仿宋_GB2312" w:cs="仿宋_GB2312"/>
          <w:sz w:val="32"/>
          <w:szCs w:val="32"/>
        </w:rPr>
        <w:t>附件2</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附件：1.重点支出项目绩效自评报告</w:t>
      </w:r>
    </w:p>
    <w:p>
      <w:pPr>
        <w:keepNext w:val="0"/>
        <w:keepLines w:val="0"/>
        <w:pageBreakBefore w:val="0"/>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2.项目支出绩效自评表</w:t>
      </w:r>
    </w:p>
    <w:sectPr>
      <w:footerReference r:id="rId3" w:type="default"/>
      <w:footerReference r:id="rId4" w:type="even"/>
      <w:pgSz w:w="11906" w:h="16838"/>
      <w:pgMar w:top="1440" w:right="1803" w:bottom="1440" w:left="1803" w:header="851" w:footer="992" w:gutter="0"/>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16</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15</w:t>
    </w:r>
    <w: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5007"/>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1E1426"/>
    <w:rsid w:val="032B5196"/>
    <w:rsid w:val="032F509A"/>
    <w:rsid w:val="035B30A3"/>
    <w:rsid w:val="04727607"/>
    <w:rsid w:val="04C3537C"/>
    <w:rsid w:val="051326C9"/>
    <w:rsid w:val="057F5865"/>
    <w:rsid w:val="06342E7B"/>
    <w:rsid w:val="079004AC"/>
    <w:rsid w:val="07944C76"/>
    <w:rsid w:val="08BA3188"/>
    <w:rsid w:val="095028FA"/>
    <w:rsid w:val="09C9624D"/>
    <w:rsid w:val="0AFB45B7"/>
    <w:rsid w:val="0BA148CA"/>
    <w:rsid w:val="0BE11B91"/>
    <w:rsid w:val="0C1165C4"/>
    <w:rsid w:val="0C245971"/>
    <w:rsid w:val="0C9E1F8C"/>
    <w:rsid w:val="0D6D544B"/>
    <w:rsid w:val="0D907234"/>
    <w:rsid w:val="0DD136FE"/>
    <w:rsid w:val="0F8E2C57"/>
    <w:rsid w:val="0FFB6087"/>
    <w:rsid w:val="1059665E"/>
    <w:rsid w:val="10AC13BA"/>
    <w:rsid w:val="1100338E"/>
    <w:rsid w:val="11980797"/>
    <w:rsid w:val="12587B61"/>
    <w:rsid w:val="12736256"/>
    <w:rsid w:val="1298107D"/>
    <w:rsid w:val="132F05A2"/>
    <w:rsid w:val="144C785A"/>
    <w:rsid w:val="145A6C1B"/>
    <w:rsid w:val="14B73493"/>
    <w:rsid w:val="167A2FF9"/>
    <w:rsid w:val="16851847"/>
    <w:rsid w:val="17D529FF"/>
    <w:rsid w:val="17E05399"/>
    <w:rsid w:val="18390AF2"/>
    <w:rsid w:val="18581C69"/>
    <w:rsid w:val="186D28E5"/>
    <w:rsid w:val="18F84062"/>
    <w:rsid w:val="19615DA6"/>
    <w:rsid w:val="19F404D4"/>
    <w:rsid w:val="1AEC0734"/>
    <w:rsid w:val="1B7700E5"/>
    <w:rsid w:val="1C203C3A"/>
    <w:rsid w:val="1CA92D2D"/>
    <w:rsid w:val="1D463F69"/>
    <w:rsid w:val="1DEF20B0"/>
    <w:rsid w:val="1F244FD8"/>
    <w:rsid w:val="1FBD39EB"/>
    <w:rsid w:val="205B67D7"/>
    <w:rsid w:val="20F74085"/>
    <w:rsid w:val="21363181"/>
    <w:rsid w:val="214243FA"/>
    <w:rsid w:val="21AD613C"/>
    <w:rsid w:val="22467189"/>
    <w:rsid w:val="226E7A70"/>
    <w:rsid w:val="2450114F"/>
    <w:rsid w:val="257A14F5"/>
    <w:rsid w:val="27196C26"/>
    <w:rsid w:val="29EF086F"/>
    <w:rsid w:val="2A014A0F"/>
    <w:rsid w:val="2A1B223B"/>
    <w:rsid w:val="2B862DF7"/>
    <w:rsid w:val="2BCF357F"/>
    <w:rsid w:val="2BF37C3F"/>
    <w:rsid w:val="2DC7134F"/>
    <w:rsid w:val="2EFF5DA7"/>
    <w:rsid w:val="2EFFE297"/>
    <w:rsid w:val="2F0843E6"/>
    <w:rsid w:val="301437CA"/>
    <w:rsid w:val="30FD7ED4"/>
    <w:rsid w:val="32791381"/>
    <w:rsid w:val="346311C0"/>
    <w:rsid w:val="349D1F0A"/>
    <w:rsid w:val="34DD0473"/>
    <w:rsid w:val="35012A4B"/>
    <w:rsid w:val="359526C3"/>
    <w:rsid w:val="362838E2"/>
    <w:rsid w:val="37647F0D"/>
    <w:rsid w:val="37724C4B"/>
    <w:rsid w:val="382E1E43"/>
    <w:rsid w:val="38DF2C0F"/>
    <w:rsid w:val="39B63344"/>
    <w:rsid w:val="3A0969EE"/>
    <w:rsid w:val="3AE57769"/>
    <w:rsid w:val="3B5B65DB"/>
    <w:rsid w:val="3BCC0280"/>
    <w:rsid w:val="3C181CA7"/>
    <w:rsid w:val="3C684897"/>
    <w:rsid w:val="40354A1A"/>
    <w:rsid w:val="41141A67"/>
    <w:rsid w:val="413C3994"/>
    <w:rsid w:val="41C6204F"/>
    <w:rsid w:val="42461CC2"/>
    <w:rsid w:val="42662B7C"/>
    <w:rsid w:val="433E495C"/>
    <w:rsid w:val="43A9468B"/>
    <w:rsid w:val="44E52C6E"/>
    <w:rsid w:val="45312AE3"/>
    <w:rsid w:val="45985FDB"/>
    <w:rsid w:val="46D26636"/>
    <w:rsid w:val="486C457D"/>
    <w:rsid w:val="489F2FD7"/>
    <w:rsid w:val="49D67C6C"/>
    <w:rsid w:val="4AC27CB3"/>
    <w:rsid w:val="4BF30E07"/>
    <w:rsid w:val="4BF72BEF"/>
    <w:rsid w:val="4CD36CDA"/>
    <w:rsid w:val="4E9F6D89"/>
    <w:rsid w:val="4FA90297"/>
    <w:rsid w:val="4FC41A43"/>
    <w:rsid w:val="50526742"/>
    <w:rsid w:val="50FC63E7"/>
    <w:rsid w:val="516A2B4D"/>
    <w:rsid w:val="51DB3C59"/>
    <w:rsid w:val="550C0952"/>
    <w:rsid w:val="55762E42"/>
    <w:rsid w:val="56107526"/>
    <w:rsid w:val="56335E75"/>
    <w:rsid w:val="56845F19"/>
    <w:rsid w:val="57490770"/>
    <w:rsid w:val="57A7B272"/>
    <w:rsid w:val="58470068"/>
    <w:rsid w:val="58747CAC"/>
    <w:rsid w:val="58DD421A"/>
    <w:rsid w:val="5A1720F9"/>
    <w:rsid w:val="5A37186F"/>
    <w:rsid w:val="5AB5731F"/>
    <w:rsid w:val="5B9C37C2"/>
    <w:rsid w:val="5BA7C654"/>
    <w:rsid w:val="5BF97217"/>
    <w:rsid w:val="60A54109"/>
    <w:rsid w:val="60F66CCD"/>
    <w:rsid w:val="61D01CDF"/>
    <w:rsid w:val="62BC7B20"/>
    <w:rsid w:val="62E828BC"/>
    <w:rsid w:val="64C0607C"/>
    <w:rsid w:val="64E87E0D"/>
    <w:rsid w:val="6537693A"/>
    <w:rsid w:val="653A746D"/>
    <w:rsid w:val="65756C86"/>
    <w:rsid w:val="674D385B"/>
    <w:rsid w:val="676F09E1"/>
    <w:rsid w:val="6821681F"/>
    <w:rsid w:val="690C15A6"/>
    <w:rsid w:val="69C66261"/>
    <w:rsid w:val="6A6F3ACB"/>
    <w:rsid w:val="6B234541"/>
    <w:rsid w:val="6C7772FD"/>
    <w:rsid w:val="6E7C62DF"/>
    <w:rsid w:val="6E9A060A"/>
    <w:rsid w:val="704C7CD0"/>
    <w:rsid w:val="71793A80"/>
    <w:rsid w:val="72B42C45"/>
    <w:rsid w:val="733A6782"/>
    <w:rsid w:val="7357290B"/>
    <w:rsid w:val="739D351B"/>
    <w:rsid w:val="73BE4A67"/>
    <w:rsid w:val="75BC7456"/>
    <w:rsid w:val="76811E26"/>
    <w:rsid w:val="78014E46"/>
    <w:rsid w:val="796F6D57"/>
    <w:rsid w:val="798524E4"/>
    <w:rsid w:val="7A7F1C49"/>
    <w:rsid w:val="7B5B7AE6"/>
    <w:rsid w:val="7B7716FB"/>
    <w:rsid w:val="7B7B6628"/>
    <w:rsid w:val="7BA7071E"/>
    <w:rsid w:val="7BDF6DA8"/>
    <w:rsid w:val="7BDF7589"/>
    <w:rsid w:val="7C7EDC1A"/>
    <w:rsid w:val="7CCED98D"/>
    <w:rsid w:val="7D08410F"/>
    <w:rsid w:val="7D2759BE"/>
    <w:rsid w:val="7DB96DED"/>
    <w:rsid w:val="7DD3AD81"/>
    <w:rsid w:val="7E175E2B"/>
    <w:rsid w:val="7E1F6954"/>
    <w:rsid w:val="7E8819F1"/>
    <w:rsid w:val="7F7FE70F"/>
    <w:rsid w:val="7FAF694B"/>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3">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rPr>
      <w:szCs w:val="21"/>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Normal Indent"/>
    <w:basedOn w:val="1"/>
    <w:next w:val="1"/>
    <w:qFormat/>
    <w:uiPriority w:val="0"/>
    <w:pPr>
      <w:ind w:firstLine="200" w:firstLineChars="200"/>
    </w:pPr>
  </w:style>
  <w:style w:type="paragraph" w:styleId="6">
    <w:name w:val="Body Text Indent"/>
    <w:basedOn w:val="1"/>
    <w:qFormat/>
    <w:uiPriority w:val="0"/>
    <w:pPr>
      <w:ind w:firstLine="645"/>
    </w:pPr>
    <w:rPr>
      <w:rFonts w:ascii="仿宋_GB2312" w:hAnsi="Calibri" w:eastAsia="仿宋_GB2312"/>
      <w:sz w:val="32"/>
      <w:szCs w:val="32"/>
    </w:rPr>
  </w:style>
  <w:style w:type="paragraph" w:styleId="7">
    <w:name w:val="Date"/>
    <w:basedOn w:val="1"/>
    <w:next w:val="1"/>
    <w:qFormat/>
    <w:uiPriority w:val="0"/>
    <w:pPr>
      <w:ind w:left="100" w:leftChars="2500"/>
    </w:pPr>
  </w:style>
  <w:style w:type="paragraph" w:styleId="8">
    <w:name w:val="Balloon Text"/>
    <w:basedOn w:val="1"/>
    <w:semiHidden/>
    <w:qFormat/>
    <w:uiPriority w:val="0"/>
    <w:rPr>
      <w:sz w:val="18"/>
      <w:szCs w:val="18"/>
    </w:rPr>
  </w:style>
  <w:style w:type="paragraph" w:styleId="9">
    <w:name w:val="footer"/>
    <w:basedOn w:val="1"/>
    <w:link w:val="17"/>
    <w:qFormat/>
    <w:uiPriority w:val="0"/>
    <w:pPr>
      <w:tabs>
        <w:tab w:val="center" w:pos="4153"/>
        <w:tab w:val="right" w:pos="8306"/>
      </w:tabs>
      <w:snapToGrid w:val="0"/>
      <w:jc w:val="left"/>
    </w:pPr>
    <w:rPr>
      <w:sz w:val="18"/>
      <w:szCs w:val="18"/>
    </w:rPr>
  </w:style>
  <w:style w:type="paragraph" w:styleId="10">
    <w:name w:val="Body Text First Indent 2"/>
    <w:basedOn w:val="6"/>
    <w:unhideWhenUsed/>
    <w:qFormat/>
    <w:uiPriority w:val="99"/>
    <w:pPr>
      <w:ind w:firstLine="420"/>
    </w:pPr>
    <w:rPr>
      <w:szCs w:val="22"/>
    </w:rPr>
  </w:style>
  <w:style w:type="paragraph" w:styleId="11">
    <w:name w:val="header"/>
    <w:basedOn w:val="1"/>
    <w:link w:val="18"/>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2">
    <w:name w:val="Normal (Web)"/>
    <w:basedOn w:val="1"/>
    <w:unhideWhenUsed/>
    <w:qFormat/>
    <w:uiPriority w:val="0"/>
    <w:pPr>
      <w:spacing w:before="100" w:beforeAutospacing="1" w:after="100" w:afterAutospacing="1"/>
      <w:ind w:right="238"/>
      <w:jc w:val="left"/>
    </w:pPr>
    <w:rPr>
      <w:b/>
      <w:kern w:val="0"/>
      <w:sz w:val="24"/>
      <w:szCs w:val="20"/>
    </w:rPr>
  </w:style>
  <w:style w:type="character" w:styleId="14">
    <w:name w:val="Strong"/>
    <w:qFormat/>
    <w:uiPriority w:val="0"/>
    <w:rPr>
      <w:b/>
    </w:rPr>
  </w:style>
  <w:style w:type="character" w:styleId="15">
    <w:name w:val="page number"/>
    <w:qFormat/>
    <w:uiPriority w:val="0"/>
  </w:style>
  <w:style w:type="character" w:customStyle="1" w:styleId="17">
    <w:name w:val="页脚 Char"/>
    <w:link w:val="9"/>
    <w:qFormat/>
    <w:uiPriority w:val="0"/>
    <w:rPr>
      <w:rFonts w:eastAsia="宋体"/>
      <w:kern w:val="2"/>
      <w:sz w:val="18"/>
      <w:szCs w:val="18"/>
      <w:lang w:val="en-US" w:eastAsia="zh-CN" w:bidi="ar-SA"/>
    </w:rPr>
  </w:style>
  <w:style w:type="character" w:customStyle="1" w:styleId="18">
    <w:name w:val="页眉 Char"/>
    <w:link w:val="11"/>
    <w:qFormat/>
    <w:uiPriority w:val="0"/>
    <w:rPr>
      <w:rFonts w:ascii="Calibri" w:hAnsi="Calibri" w:eastAsia="宋体"/>
      <w:kern w:val="2"/>
      <w:sz w:val="18"/>
      <w:szCs w:val="18"/>
      <w:lang w:val="en-US" w:eastAsia="zh-CN" w:bidi="ar-SA"/>
    </w:rPr>
  </w:style>
  <w:style w:type="paragraph" w:customStyle="1" w:styleId="19">
    <w:name w:val="Char Char Char Char Char Char Char"/>
    <w:basedOn w:val="1"/>
    <w:qFormat/>
    <w:uiPriority w:val="0"/>
    <w:rPr>
      <w:rFonts w:ascii="Tahoma" w:hAnsi="Tahoma"/>
      <w:sz w:val="24"/>
      <w:szCs w:val="20"/>
    </w:rPr>
  </w:style>
  <w:style w:type="paragraph" w:customStyle="1" w:styleId="20">
    <w:name w:val="Char1 Char Char Char"/>
    <w:basedOn w:val="1"/>
    <w:qFormat/>
    <w:uiPriority w:val="0"/>
    <w:pPr>
      <w:widowControl/>
      <w:spacing w:after="160" w:line="240" w:lineRule="exact"/>
      <w:jc w:val="left"/>
    </w:pPr>
    <w:rPr>
      <w:szCs w:val="20"/>
    </w:rPr>
  </w:style>
  <w:style w:type="paragraph" w:customStyle="1" w:styleId="21">
    <w:name w:val="Char"/>
    <w:basedOn w:val="1"/>
    <w:qFormat/>
    <w:uiPriority w:val="0"/>
    <w:rPr>
      <w:rFonts w:ascii="Tahoma" w:hAnsi="Tahoma"/>
      <w:sz w:val="24"/>
      <w:szCs w:val="20"/>
    </w:rPr>
  </w:style>
  <w:style w:type="paragraph" w:customStyle="1" w:styleId="22">
    <w:name w:val="Char Char3 Char Char"/>
    <w:basedOn w:val="1"/>
    <w:qFormat/>
    <w:uiPriority w:val="0"/>
    <w:rPr>
      <w:szCs w:val="21"/>
    </w:rPr>
  </w:style>
  <w:style w:type="paragraph" w:customStyle="1" w:styleId="23">
    <w:name w:val="正文-公1"/>
    <w:basedOn w:val="24"/>
    <w:next w:val="1"/>
    <w:qFormat/>
    <w:uiPriority w:val="0"/>
    <w:pPr>
      <w:ind w:firstLine="200" w:firstLineChars="200"/>
    </w:pPr>
  </w:style>
  <w:style w:type="paragraph" w:customStyle="1" w:styleId="2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3"/>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9146.4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3</TotalTime>
  <ScaleCrop>false</ScaleCrop>
  <LinksUpToDate>false</LinksUpToDate>
  <CharactersWithSpaces>6191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worker0880</cp:lastModifiedBy>
  <cp:lastPrinted>2020-08-07T11:39:00Z</cp:lastPrinted>
  <dcterms:modified xsi:type="dcterms:W3CDTF">2026-08-21T07:19:09Z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