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keepNext w:val="0"/>
        <w:keepLines w:val="0"/>
        <w:pageBreakBefore w:val="0"/>
        <w:tabs>
          <w:tab w:val="center" w:pos="6979"/>
        </w:tabs>
        <w:kinsoku/>
        <w:wordWrap/>
        <w:overflowPunct/>
        <w:topLinePunct w:val="0"/>
        <w:autoSpaceDE/>
        <w:autoSpaceDN/>
        <w:bidi w:val="0"/>
        <w:adjustRightInd/>
        <w:snapToGrid/>
        <w:spacing w:beforeAutospacing="0" w:afterAutospacing="0" w:line="240" w:lineRule="auto"/>
        <w:ind w:firstLine="700" w:firstLineChars="250"/>
        <w:textAlignment w:val="auto"/>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shd w:val="clear" w:color="auto" w:fill="FFFFFF"/>
          <w:lang w:val="en-US" w:eastAsia="zh-CN"/>
        </w:rPr>
        <w:t>1.</w:t>
      </w:r>
      <w:r>
        <w:rPr>
          <w:rFonts w:hint="eastAsia" w:ascii="仿宋_GB2312" w:hAnsi="仿宋_GB2312" w:eastAsia="仿宋_GB2312" w:cs="仿宋_GB2312"/>
          <w:b w:val="0"/>
          <w:bCs/>
          <w:color w:val="auto"/>
          <w:sz w:val="28"/>
          <w:szCs w:val="28"/>
          <w:shd w:val="clear" w:color="auto" w:fill="FFFFFF"/>
        </w:rPr>
        <w:t>贯彻执行法律、法规、规章和国务院、市政府、区政府的决定、命令，依法管理基层公共事务。</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shd w:val="clear" w:color="auto" w:fill="FFFFFF"/>
          <w:lang w:val="en-US" w:eastAsia="zh-CN"/>
        </w:rPr>
        <w:t>2.</w:t>
      </w:r>
      <w:r>
        <w:rPr>
          <w:rFonts w:hint="eastAsia" w:ascii="仿宋_GB2312" w:hAnsi="仿宋_GB2312" w:eastAsia="仿宋_GB2312" w:cs="仿宋_GB2312"/>
          <w:b w:val="0"/>
          <w:bCs/>
          <w:color w:val="auto"/>
          <w:sz w:val="28"/>
          <w:szCs w:val="28"/>
          <w:shd w:val="clear" w:color="auto" w:fill="FFFFFF"/>
        </w:rPr>
        <w:t>承担辖区市容环境卫生、绿化美化的管理工作，推进街巷长制、河长制工作，组织、协调城市管理综合执法和环境秩序综合治理工作，推进城市精细化管理。</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shd w:val="clear" w:color="auto" w:fill="FFFFFF"/>
          <w:lang w:val="en-US" w:eastAsia="zh-CN"/>
        </w:rPr>
        <w:t>3.</w:t>
      </w:r>
      <w:r>
        <w:rPr>
          <w:rFonts w:hint="eastAsia" w:ascii="仿宋_GB2312" w:hAnsi="仿宋_GB2312" w:eastAsia="仿宋_GB2312" w:cs="仿宋_GB2312"/>
          <w:b w:val="0"/>
          <w:bCs/>
          <w:color w:val="auto"/>
          <w:sz w:val="28"/>
          <w:szCs w:val="28"/>
          <w:shd w:val="clear" w:color="auto" w:fill="FFFFFF"/>
        </w:rPr>
        <w:t>协助依法履行安全生产、消防安全、食品安全、环境保护、劳动保障、流动人口及出租房屋监督管理工作，承担辖区应急、防汛和防灾减灾工作。</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shd w:val="clear" w:color="auto" w:fill="FFFFFF"/>
          <w:lang w:val="en-US" w:eastAsia="zh-CN"/>
        </w:rPr>
        <w:t>4.</w:t>
      </w:r>
      <w:r>
        <w:rPr>
          <w:rFonts w:hint="eastAsia" w:ascii="仿宋_GB2312" w:hAnsi="仿宋_GB2312" w:eastAsia="仿宋_GB2312" w:cs="仿宋_GB2312"/>
          <w:b w:val="0"/>
          <w:bCs/>
          <w:color w:val="auto"/>
          <w:sz w:val="28"/>
          <w:szCs w:val="28"/>
          <w:shd w:val="clear" w:color="auto" w:fill="FFFFFF"/>
        </w:rPr>
        <w:t>参与制定并组织实施社区建设规划和公共服务设施规划，组织辖区单位、居民和志愿者队伍为社区发展服务。</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shd w:val="clear" w:color="auto" w:fill="FFFFFF"/>
          <w:lang w:val="en-US" w:eastAsia="zh-CN"/>
        </w:rPr>
        <w:t>5.</w:t>
      </w:r>
      <w:r>
        <w:rPr>
          <w:rFonts w:hint="eastAsia" w:ascii="仿宋_GB2312" w:hAnsi="仿宋_GB2312" w:eastAsia="仿宋_GB2312" w:cs="仿宋_GB2312"/>
          <w:b w:val="0"/>
          <w:bCs/>
          <w:color w:val="auto"/>
          <w:sz w:val="28"/>
          <w:szCs w:val="28"/>
          <w:shd w:val="clear" w:color="auto" w:fill="FFFFFF"/>
        </w:rPr>
        <w:t>负责社区居民委员会建设，指导社区居民委员会工作，培育、发展社区社会组织，指导、监督社区业主委员会。</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shd w:val="clear" w:color="auto" w:fill="FFFFFF"/>
          <w:lang w:val="en-US" w:eastAsia="zh-CN"/>
        </w:rPr>
        <w:t>6.</w:t>
      </w:r>
      <w:r>
        <w:rPr>
          <w:rFonts w:hint="eastAsia" w:ascii="仿宋_GB2312" w:hAnsi="仿宋_GB2312" w:eastAsia="仿宋_GB2312" w:cs="仿宋_GB2312"/>
          <w:b w:val="0"/>
          <w:bCs/>
          <w:color w:val="auto"/>
          <w:sz w:val="28"/>
          <w:szCs w:val="28"/>
          <w:shd w:val="clear" w:color="auto" w:fill="FFFFFF"/>
        </w:rPr>
        <w:t>推进居民自治，及时处理并向上级政府反映居民的意见和要求。动员社会力量参与社区治理，推动形成社区共治合力。</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rPr>
      </w:pPr>
      <w:r>
        <w:rPr>
          <w:rFonts w:hint="eastAsia" w:ascii="仿宋_GB2312" w:hAnsi="仿宋_GB2312" w:eastAsia="仿宋_GB2312" w:cs="仿宋_GB2312"/>
          <w:b w:val="0"/>
          <w:bCs/>
          <w:color w:val="auto"/>
          <w:sz w:val="28"/>
          <w:szCs w:val="28"/>
          <w:shd w:val="clear" w:color="auto" w:fill="FFFFFF"/>
          <w:lang w:val="en-US" w:eastAsia="zh-CN"/>
        </w:rPr>
        <w:t>7.</w:t>
      </w:r>
      <w:r>
        <w:rPr>
          <w:rFonts w:hint="eastAsia" w:ascii="仿宋_GB2312" w:hAnsi="仿宋_GB2312" w:eastAsia="仿宋_GB2312" w:cs="仿宋_GB2312"/>
          <w:b w:val="0"/>
          <w:bCs/>
          <w:color w:val="auto"/>
          <w:sz w:val="28"/>
          <w:szCs w:val="28"/>
          <w:shd w:val="clear" w:color="auto" w:fill="FFFFFF"/>
        </w:rPr>
        <w:t>组织开展群众性文化、体育、科普活动，开展法治宣传和社会公德教育，推动社区公益事业发展。</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rFonts w:hint="eastAsia" w:ascii="仿宋_GB2312" w:hAnsi="仿宋_GB2312" w:eastAsia="仿宋_GB2312" w:cs="仿宋_GB2312"/>
          <w:b w:val="0"/>
          <w:bCs/>
          <w:color w:val="auto"/>
          <w:sz w:val="28"/>
          <w:szCs w:val="28"/>
          <w:shd w:val="clear" w:color="auto" w:fill="FFFFFF"/>
        </w:rPr>
      </w:pPr>
      <w:r>
        <w:rPr>
          <w:rFonts w:hint="eastAsia" w:ascii="仿宋_GB2312" w:hAnsi="仿宋_GB2312" w:eastAsia="仿宋_GB2312" w:cs="仿宋_GB2312"/>
          <w:b w:val="0"/>
          <w:bCs/>
          <w:color w:val="auto"/>
          <w:sz w:val="28"/>
          <w:szCs w:val="28"/>
          <w:shd w:val="clear" w:color="auto" w:fill="FFFFFF"/>
          <w:lang w:val="en-US" w:eastAsia="zh-CN"/>
        </w:rPr>
        <w:t>8.</w:t>
      </w:r>
      <w:r>
        <w:rPr>
          <w:rFonts w:hint="eastAsia" w:ascii="仿宋_GB2312" w:hAnsi="仿宋_GB2312" w:eastAsia="仿宋_GB2312" w:cs="仿宋_GB2312"/>
          <w:b w:val="0"/>
          <w:bCs/>
          <w:color w:val="auto"/>
          <w:sz w:val="28"/>
          <w:szCs w:val="28"/>
          <w:shd w:val="clear" w:color="auto" w:fill="FFFFFF"/>
        </w:rPr>
        <w:t>组织开展公共服务，落实人力社保、民政、卫生健康、教育、住房保障、便民服务等政策，维护老年人、妇女、未成年人、残疾人等合法权益。</w:t>
      </w:r>
    </w:p>
    <w:p>
      <w:pPr>
        <w:pStyle w:val="13"/>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560" w:firstLineChars="200"/>
        <w:jc w:val="both"/>
        <w:textAlignment w:val="auto"/>
        <w:outlineLvl w:val="9"/>
        <w:rPr>
          <w:sz w:val="28"/>
          <w:szCs w:val="28"/>
        </w:rPr>
      </w:pPr>
      <w:r>
        <w:rPr>
          <w:rFonts w:hint="eastAsia" w:ascii="仿宋_GB2312" w:hAnsi="仿宋_GB2312" w:eastAsia="仿宋_GB2312" w:cs="仿宋_GB2312"/>
          <w:b w:val="0"/>
          <w:bCs/>
          <w:color w:val="auto"/>
          <w:sz w:val="28"/>
          <w:szCs w:val="28"/>
          <w:shd w:val="clear" w:color="auto" w:fill="FFFFFF"/>
          <w:lang w:val="en-US" w:eastAsia="zh-CN"/>
        </w:rPr>
        <w:t>9.</w:t>
      </w:r>
      <w:r>
        <w:rPr>
          <w:rFonts w:hint="eastAsia" w:ascii="仿宋_GB2312" w:hAnsi="仿宋_GB2312" w:eastAsia="仿宋_GB2312" w:cs="仿宋_GB2312"/>
          <w:b w:val="0"/>
          <w:bCs/>
          <w:color w:val="auto"/>
          <w:sz w:val="28"/>
          <w:szCs w:val="28"/>
          <w:shd w:val="clear" w:color="auto" w:fill="FFFFFF"/>
        </w:rPr>
        <w:t>完成区委、区政府交办的其他任务。</w:t>
      </w:r>
    </w:p>
    <w:p>
      <w:pPr>
        <w:pStyle w:val="2"/>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pStyle w:val="2"/>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sz w:val="28"/>
          <w:szCs w:val="28"/>
        </w:rPr>
      </w:pPr>
      <w:r>
        <w:rPr>
          <w:rFonts w:hint="eastAsia" w:ascii="仿宋_GB2312" w:eastAsia="仿宋_GB2312"/>
          <w:sz w:val="28"/>
          <w:szCs w:val="28"/>
        </w:rPr>
        <w:t>本部门共设</w:t>
      </w:r>
      <w:r>
        <w:rPr>
          <w:rFonts w:hint="eastAsia" w:ascii="仿宋_GB2312" w:eastAsia="仿宋_GB2312"/>
          <w:sz w:val="28"/>
          <w:szCs w:val="28"/>
          <w:lang w:val="en-US" w:eastAsia="zh-CN"/>
        </w:rPr>
        <w:t>8</w:t>
      </w:r>
      <w:r>
        <w:rPr>
          <w:rFonts w:hint="eastAsia" w:ascii="仿宋_GB2312" w:eastAsia="仿宋_GB2312"/>
          <w:sz w:val="28"/>
          <w:szCs w:val="28"/>
        </w:rPr>
        <w:t>个内设机构，</w:t>
      </w:r>
      <w:r>
        <w:rPr>
          <w:rFonts w:hint="eastAsia" w:ascii="仿宋_GB2312" w:eastAsia="仿宋_GB2312"/>
          <w:sz w:val="28"/>
          <w:szCs w:val="28"/>
          <w:lang w:eastAsia="zh-CN"/>
        </w:rPr>
        <w:t>分别为党群工作办公室、综合办公室、城市管理办公室、平安建设办公室、社区建设办公室、民生保障办公室、监察组、综合行政执法队，</w:t>
      </w:r>
      <w:r>
        <w:rPr>
          <w:rFonts w:hint="eastAsia" w:ascii="仿宋_GB2312" w:eastAsia="仿宋_GB2312"/>
          <w:sz w:val="28"/>
          <w:szCs w:val="28"/>
        </w:rPr>
        <w:t>下设</w:t>
      </w:r>
      <w:r>
        <w:rPr>
          <w:rFonts w:hint="eastAsia" w:ascii="仿宋_GB2312" w:eastAsia="仿宋_GB2312"/>
          <w:sz w:val="28"/>
          <w:szCs w:val="28"/>
          <w:lang w:val="en-US" w:eastAsia="zh-CN"/>
        </w:rPr>
        <w:t>3</w:t>
      </w:r>
      <w:r>
        <w:rPr>
          <w:rFonts w:hint="eastAsia" w:ascii="仿宋_GB2312" w:eastAsia="仿宋_GB2312"/>
          <w:sz w:val="28"/>
          <w:szCs w:val="28"/>
        </w:rPr>
        <w:t>个事业单位</w:t>
      </w:r>
      <w:r>
        <w:rPr>
          <w:rFonts w:hint="eastAsia" w:ascii="仿宋_GB2312" w:eastAsia="仿宋_GB2312"/>
          <w:sz w:val="28"/>
          <w:szCs w:val="28"/>
          <w:lang w:eastAsia="zh-CN"/>
        </w:rPr>
        <w:t>，分别是市民诉求处置中心、便民服务中心、党群活动中心。</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119</w:t>
      </w:r>
      <w:r>
        <w:rPr>
          <w:rFonts w:hint="eastAsia" w:ascii="仿宋_GB2312" w:eastAsia="仿宋_GB2312"/>
          <w:sz w:val="28"/>
          <w:szCs w:val="28"/>
          <w:lang w:val="en-US" w:eastAsia="zh-CN"/>
        </w:rPr>
        <w:t>,</w:t>
      </w:r>
      <w:r>
        <w:rPr>
          <w:rFonts w:ascii="仿宋_GB2312" w:eastAsia="仿宋_GB2312"/>
          <w:sz w:val="28"/>
          <w:szCs w:val="28"/>
        </w:rPr>
        <w:t>485</w:t>
      </w:r>
      <w:r>
        <w:rPr>
          <w:rFonts w:hint="eastAsia" w:ascii="仿宋_GB2312" w:eastAsia="仿宋_GB2312"/>
          <w:sz w:val="28"/>
          <w:szCs w:val="28"/>
          <w:lang w:val="en-US" w:eastAsia="zh-CN"/>
        </w:rPr>
        <w:t>,</w:t>
      </w:r>
      <w:r>
        <w:rPr>
          <w:rFonts w:ascii="仿宋_GB2312" w:eastAsia="仿宋_GB2312"/>
          <w:sz w:val="28"/>
          <w:szCs w:val="28"/>
        </w:rPr>
        <w:t>436.2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w:t>
      </w:r>
      <w:r>
        <w:rPr>
          <w:rFonts w:hint="eastAsia" w:ascii="仿宋_GB2312" w:eastAsia="仿宋_GB2312"/>
          <w:sz w:val="28"/>
          <w:szCs w:val="28"/>
          <w:lang w:val="en-US" w:eastAsia="zh-CN"/>
        </w:rPr>
        <w:t>,</w:t>
      </w:r>
      <w:r>
        <w:rPr>
          <w:rFonts w:hint="eastAsia" w:ascii="仿宋_GB2312" w:eastAsia="仿宋_GB2312"/>
          <w:sz w:val="28"/>
          <w:szCs w:val="28"/>
        </w:rPr>
        <w:t>513</w:t>
      </w:r>
      <w:r>
        <w:rPr>
          <w:rFonts w:hint="eastAsia" w:ascii="仿宋_GB2312" w:eastAsia="仿宋_GB2312"/>
          <w:sz w:val="28"/>
          <w:szCs w:val="28"/>
          <w:lang w:val="en-US" w:eastAsia="zh-CN"/>
        </w:rPr>
        <w:t>,</w:t>
      </w:r>
      <w:r>
        <w:rPr>
          <w:rFonts w:hint="eastAsia" w:ascii="仿宋_GB2312" w:eastAsia="仿宋_GB2312"/>
          <w:sz w:val="28"/>
          <w:szCs w:val="28"/>
        </w:rPr>
        <w:t>828.26元，下降</w:t>
      </w:r>
      <w:r>
        <w:rPr>
          <w:rFonts w:hint="eastAsia" w:ascii="仿宋_GB2312" w:eastAsia="仿宋_GB2312"/>
          <w:sz w:val="28"/>
          <w:szCs w:val="28"/>
          <w:lang w:val="en-US" w:eastAsia="zh-CN"/>
        </w:rPr>
        <w:t>10.2</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119</w:t>
      </w:r>
      <w:r>
        <w:rPr>
          <w:rFonts w:hint="eastAsia" w:ascii="仿宋_GB2312" w:eastAsia="仿宋_GB2312"/>
          <w:sz w:val="28"/>
          <w:szCs w:val="28"/>
          <w:lang w:val="en-US" w:eastAsia="zh-CN"/>
        </w:rPr>
        <w:t>,</w:t>
      </w:r>
      <w:r>
        <w:rPr>
          <w:rFonts w:ascii="仿宋_GB2312" w:eastAsia="仿宋_GB2312"/>
          <w:sz w:val="28"/>
          <w:szCs w:val="28"/>
        </w:rPr>
        <w:t>485</w:t>
      </w:r>
      <w:r>
        <w:rPr>
          <w:rFonts w:hint="eastAsia" w:ascii="仿宋_GB2312" w:eastAsia="仿宋_GB2312"/>
          <w:sz w:val="28"/>
          <w:szCs w:val="28"/>
          <w:lang w:val="en-US" w:eastAsia="zh-CN"/>
        </w:rPr>
        <w:t>,</w:t>
      </w:r>
      <w:r>
        <w:rPr>
          <w:rFonts w:ascii="仿宋_GB2312" w:eastAsia="仿宋_GB2312"/>
          <w:sz w:val="28"/>
          <w:szCs w:val="28"/>
        </w:rPr>
        <w:t>436.2</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6</w:t>
      </w:r>
      <w:r>
        <w:rPr>
          <w:rFonts w:hint="eastAsia" w:ascii="仿宋_GB2312" w:eastAsia="仿宋_GB2312"/>
          <w:sz w:val="28"/>
          <w:szCs w:val="28"/>
          <w:lang w:val="en-US" w:eastAsia="zh-CN"/>
        </w:rPr>
        <w:t>,</w:t>
      </w:r>
      <w:r>
        <w:rPr>
          <w:rFonts w:hint="eastAsia" w:ascii="仿宋_GB2312" w:eastAsia="仿宋_GB2312"/>
          <w:sz w:val="28"/>
          <w:szCs w:val="28"/>
        </w:rPr>
        <w:t>307</w:t>
      </w:r>
      <w:r>
        <w:rPr>
          <w:rFonts w:hint="eastAsia" w:ascii="仿宋_GB2312" w:eastAsia="仿宋_GB2312"/>
          <w:sz w:val="28"/>
          <w:szCs w:val="28"/>
          <w:lang w:val="en-US" w:eastAsia="zh-CN"/>
        </w:rPr>
        <w:t>,</w:t>
      </w:r>
      <w:r>
        <w:rPr>
          <w:rFonts w:hint="eastAsia" w:ascii="仿宋_GB2312" w:eastAsia="仿宋_GB2312"/>
          <w:sz w:val="28"/>
          <w:szCs w:val="28"/>
        </w:rPr>
        <w:t>595.79元，增长</w:t>
      </w:r>
      <w:r>
        <w:rPr>
          <w:rFonts w:hint="eastAsia" w:ascii="仿宋_GB2312" w:eastAsia="仿宋_GB2312"/>
          <w:sz w:val="28"/>
          <w:szCs w:val="28"/>
          <w:lang w:val="en-US" w:eastAsia="zh-CN"/>
        </w:rPr>
        <w:t>5.6</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119</w:t>
      </w:r>
      <w:r>
        <w:rPr>
          <w:rFonts w:hint="eastAsia" w:ascii="仿宋_GB2312" w:eastAsia="仿宋_GB2312"/>
          <w:sz w:val="28"/>
          <w:szCs w:val="28"/>
          <w:lang w:val="en-US" w:eastAsia="zh-CN"/>
        </w:rPr>
        <w:t>,</w:t>
      </w:r>
      <w:r>
        <w:rPr>
          <w:rFonts w:ascii="仿宋_GB2312" w:eastAsia="仿宋_GB2312"/>
          <w:sz w:val="28"/>
          <w:szCs w:val="28"/>
        </w:rPr>
        <w:t>485</w:t>
      </w:r>
      <w:r>
        <w:rPr>
          <w:rFonts w:hint="eastAsia" w:ascii="仿宋_GB2312" w:eastAsia="仿宋_GB2312"/>
          <w:sz w:val="28"/>
          <w:szCs w:val="28"/>
          <w:lang w:val="en-US" w:eastAsia="zh-CN"/>
        </w:rPr>
        <w:t>,</w:t>
      </w:r>
      <w:r>
        <w:rPr>
          <w:rFonts w:ascii="仿宋_GB2312" w:eastAsia="仿宋_GB2312"/>
          <w:sz w:val="28"/>
          <w:szCs w:val="28"/>
        </w:rPr>
        <w:t>436.2</w:t>
      </w:r>
      <w:r>
        <w:rPr>
          <w:rFonts w:hint="eastAsia" w:ascii="仿宋_GB2312" w:eastAsia="仿宋_GB2312"/>
          <w:sz w:val="28"/>
          <w:szCs w:val="28"/>
          <w:lang w:val="en-US" w:eastAsia="zh-CN"/>
        </w:rPr>
        <w:t>0</w:t>
      </w:r>
      <w:r>
        <w:rPr>
          <w:rFonts w:hint="eastAsia" w:ascii="仿宋_GB2312" w:eastAsia="仿宋_GB2312"/>
          <w:sz w:val="28"/>
          <w:szCs w:val="28"/>
        </w:rPr>
        <w:t>元，占收入合计的100%。其中：一般公共预算财政拨款收入</w:t>
      </w:r>
      <w:r>
        <w:rPr>
          <w:rFonts w:ascii="仿宋_GB2312" w:eastAsia="仿宋_GB2312"/>
          <w:sz w:val="28"/>
          <w:szCs w:val="28"/>
        </w:rPr>
        <w:t>118</w:t>
      </w:r>
      <w:r>
        <w:rPr>
          <w:rFonts w:hint="eastAsia" w:ascii="仿宋_GB2312" w:eastAsia="仿宋_GB2312"/>
          <w:sz w:val="28"/>
          <w:szCs w:val="28"/>
          <w:lang w:val="en-US" w:eastAsia="zh-CN"/>
        </w:rPr>
        <w:t>,</w:t>
      </w:r>
      <w:r>
        <w:rPr>
          <w:rFonts w:ascii="仿宋_GB2312" w:eastAsia="仿宋_GB2312"/>
          <w:sz w:val="28"/>
          <w:szCs w:val="28"/>
        </w:rPr>
        <w:t>899</w:t>
      </w:r>
      <w:r>
        <w:rPr>
          <w:rFonts w:hint="eastAsia" w:ascii="仿宋_GB2312" w:eastAsia="仿宋_GB2312"/>
          <w:sz w:val="28"/>
          <w:szCs w:val="28"/>
          <w:lang w:val="en-US" w:eastAsia="zh-CN"/>
        </w:rPr>
        <w:t>,</w:t>
      </w:r>
      <w:r>
        <w:rPr>
          <w:rFonts w:ascii="仿宋_GB2312" w:eastAsia="仿宋_GB2312"/>
          <w:sz w:val="28"/>
          <w:szCs w:val="28"/>
        </w:rPr>
        <w:t>547.24</w:t>
      </w:r>
      <w:r>
        <w:rPr>
          <w:rFonts w:hint="eastAsia" w:ascii="仿宋_GB2312" w:eastAsia="仿宋_GB2312"/>
          <w:sz w:val="28"/>
          <w:szCs w:val="28"/>
        </w:rPr>
        <w:t>元，占收入合计的99.5%；政府性基金预算财政拨款收入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585</w:t>
      </w:r>
      <w:r>
        <w:rPr>
          <w:rFonts w:hint="eastAsia" w:ascii="仿宋_GB2312" w:eastAsia="仿宋_GB2312"/>
          <w:sz w:val="28"/>
          <w:szCs w:val="28"/>
          <w:lang w:val="en-US" w:eastAsia="zh-CN"/>
        </w:rPr>
        <w:t>,</w:t>
      </w:r>
      <w:r>
        <w:rPr>
          <w:rFonts w:ascii="仿宋_GB2312" w:eastAsia="仿宋_GB2312"/>
          <w:sz w:val="28"/>
          <w:szCs w:val="28"/>
        </w:rPr>
        <w:t>888.96</w:t>
      </w:r>
      <w:r>
        <w:rPr>
          <w:rFonts w:hint="eastAsia" w:ascii="仿宋_GB2312" w:eastAsia="仿宋_GB2312"/>
          <w:sz w:val="28"/>
          <w:szCs w:val="28"/>
        </w:rPr>
        <w:t>元，占收入合计的0.</w:t>
      </w:r>
      <w:r>
        <w:rPr>
          <w:rFonts w:hint="eastAsia" w:ascii="仿宋_GB2312" w:eastAsia="仿宋_GB2312"/>
          <w:sz w:val="28"/>
          <w:szCs w:val="28"/>
          <w:lang w:val="en-US" w:eastAsia="zh-CN"/>
        </w:rPr>
        <w:t>5</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cs="Droid Sans"/>
          <w:color w:val="000000"/>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pStyle w:val="3"/>
        <w:jc w:val="center"/>
      </w:pPr>
      <w:r>
        <w:rPr>
          <w:rFonts w:hint="eastAsia" w:ascii="仿宋_GB2312" w:eastAsia="仿宋_GB2312"/>
          <w:color w:val="000000"/>
          <w:sz w:val="32"/>
        </w:rPr>
        <w:t>图1：收入决算</w:t>
      </w:r>
    </w:p>
    <w:p>
      <w:pPr>
        <w:pStyle w:val="4"/>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73"/>
        <w:textAlignment w:val="auto"/>
        <w:outlineLvl w:val="9"/>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73"/>
        <w:textAlignment w:val="auto"/>
        <w:outlineLvl w:val="9"/>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119</w:t>
      </w:r>
      <w:r>
        <w:rPr>
          <w:rFonts w:hint="eastAsia" w:ascii="仿宋_GB2312" w:eastAsia="仿宋_GB2312"/>
          <w:sz w:val="28"/>
          <w:szCs w:val="28"/>
          <w:lang w:val="en-US" w:eastAsia="zh-CN"/>
        </w:rPr>
        <w:t>,</w:t>
      </w:r>
      <w:r>
        <w:rPr>
          <w:rFonts w:ascii="仿宋_GB2312" w:eastAsia="仿宋_GB2312"/>
          <w:sz w:val="28"/>
          <w:szCs w:val="28"/>
        </w:rPr>
        <w:t>485</w:t>
      </w:r>
      <w:r>
        <w:rPr>
          <w:rFonts w:hint="eastAsia" w:ascii="仿宋_GB2312" w:eastAsia="仿宋_GB2312"/>
          <w:sz w:val="28"/>
          <w:szCs w:val="28"/>
          <w:lang w:val="en-US" w:eastAsia="zh-CN"/>
        </w:rPr>
        <w:t>,</w:t>
      </w:r>
      <w:r>
        <w:rPr>
          <w:rFonts w:ascii="仿宋_GB2312" w:eastAsia="仿宋_GB2312"/>
          <w:sz w:val="28"/>
          <w:szCs w:val="28"/>
        </w:rPr>
        <w:t>436.2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w:t>
      </w:r>
      <w:r>
        <w:rPr>
          <w:rFonts w:hint="eastAsia" w:ascii="仿宋_GB2312" w:eastAsia="仿宋_GB2312"/>
          <w:sz w:val="28"/>
          <w:szCs w:val="28"/>
          <w:lang w:val="en-US" w:eastAsia="zh-CN"/>
        </w:rPr>
        <w:t>,</w:t>
      </w:r>
      <w:r>
        <w:rPr>
          <w:rFonts w:hint="eastAsia" w:ascii="仿宋_GB2312" w:eastAsia="仿宋_GB2312"/>
          <w:sz w:val="28"/>
          <w:szCs w:val="28"/>
        </w:rPr>
        <w:t>513</w:t>
      </w:r>
      <w:r>
        <w:rPr>
          <w:rFonts w:hint="eastAsia" w:ascii="仿宋_GB2312" w:eastAsia="仿宋_GB2312"/>
          <w:sz w:val="28"/>
          <w:szCs w:val="28"/>
          <w:lang w:val="en-US" w:eastAsia="zh-CN"/>
        </w:rPr>
        <w:t>,</w:t>
      </w:r>
      <w:r>
        <w:rPr>
          <w:rFonts w:hint="eastAsia" w:ascii="仿宋_GB2312" w:eastAsia="仿宋_GB2312"/>
          <w:sz w:val="28"/>
          <w:szCs w:val="28"/>
        </w:rPr>
        <w:t>828.26元，下降</w:t>
      </w:r>
      <w:r>
        <w:rPr>
          <w:rFonts w:hint="eastAsia" w:ascii="仿宋_GB2312" w:eastAsia="仿宋_GB2312"/>
          <w:sz w:val="28"/>
          <w:szCs w:val="28"/>
          <w:lang w:val="en-US" w:eastAsia="zh-CN"/>
        </w:rPr>
        <w:t>10.2</w:t>
      </w:r>
      <w:r>
        <w:rPr>
          <w:rFonts w:hint="eastAsia" w:ascii="仿宋_GB2312" w:eastAsia="仿宋_GB2312"/>
          <w:sz w:val="28"/>
          <w:szCs w:val="28"/>
        </w:rPr>
        <w:t>%，其中：基本支出</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370</w:t>
      </w:r>
      <w:r>
        <w:rPr>
          <w:rFonts w:hint="eastAsia" w:ascii="仿宋_GB2312" w:eastAsia="仿宋_GB2312"/>
          <w:sz w:val="28"/>
          <w:szCs w:val="28"/>
          <w:lang w:val="en-US" w:eastAsia="zh-CN"/>
        </w:rPr>
        <w:t>,</w:t>
      </w:r>
      <w:r>
        <w:rPr>
          <w:rFonts w:ascii="仿宋_GB2312" w:eastAsia="仿宋_GB2312"/>
          <w:sz w:val="28"/>
          <w:szCs w:val="28"/>
        </w:rPr>
        <w:t>570.51</w:t>
      </w:r>
      <w:r>
        <w:rPr>
          <w:rFonts w:hint="eastAsia" w:ascii="仿宋_GB2312" w:eastAsia="仿宋_GB2312"/>
          <w:sz w:val="28"/>
          <w:szCs w:val="28"/>
        </w:rPr>
        <w:t>元，占支出合计的26.</w:t>
      </w:r>
      <w:r>
        <w:rPr>
          <w:rFonts w:hint="eastAsia" w:ascii="仿宋_GB2312" w:eastAsia="仿宋_GB2312"/>
          <w:sz w:val="28"/>
          <w:szCs w:val="28"/>
          <w:lang w:val="en-US" w:eastAsia="zh-CN"/>
        </w:rPr>
        <w:t>3</w:t>
      </w:r>
      <w:r>
        <w:rPr>
          <w:rFonts w:hint="eastAsia" w:ascii="仿宋_GB2312" w:eastAsia="仿宋_GB2312"/>
          <w:sz w:val="28"/>
          <w:szCs w:val="28"/>
        </w:rPr>
        <w:t>%；项目支出</w:t>
      </w:r>
      <w:r>
        <w:rPr>
          <w:rFonts w:ascii="仿宋_GB2312" w:eastAsia="仿宋_GB2312"/>
          <w:sz w:val="28"/>
          <w:szCs w:val="28"/>
        </w:rPr>
        <w:t>88</w:t>
      </w:r>
      <w:r>
        <w:rPr>
          <w:rFonts w:hint="eastAsia" w:ascii="仿宋_GB2312" w:eastAsia="仿宋_GB2312"/>
          <w:sz w:val="28"/>
          <w:szCs w:val="28"/>
          <w:lang w:val="en-US" w:eastAsia="zh-CN"/>
        </w:rPr>
        <w:t>,</w:t>
      </w:r>
      <w:r>
        <w:rPr>
          <w:rFonts w:ascii="仿宋_GB2312" w:eastAsia="仿宋_GB2312"/>
          <w:sz w:val="28"/>
          <w:szCs w:val="28"/>
        </w:rPr>
        <w:t>114</w:t>
      </w:r>
      <w:r>
        <w:rPr>
          <w:rFonts w:hint="eastAsia" w:ascii="仿宋_GB2312" w:eastAsia="仿宋_GB2312"/>
          <w:sz w:val="28"/>
          <w:szCs w:val="28"/>
          <w:lang w:val="en-US" w:eastAsia="zh-CN"/>
        </w:rPr>
        <w:t>,</w:t>
      </w:r>
      <w:r>
        <w:rPr>
          <w:rFonts w:ascii="仿宋_GB2312" w:eastAsia="仿宋_GB2312"/>
          <w:sz w:val="28"/>
          <w:szCs w:val="28"/>
        </w:rPr>
        <w:t>865.69</w:t>
      </w:r>
      <w:r>
        <w:rPr>
          <w:rFonts w:hint="eastAsia" w:ascii="仿宋_GB2312" w:eastAsia="仿宋_GB2312"/>
          <w:sz w:val="28"/>
          <w:szCs w:val="28"/>
        </w:rPr>
        <w:t>元，占支出合计的73.7%;上缴上级支出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3"/>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73"/>
        <w:textAlignment w:val="auto"/>
        <w:outlineLvl w:val="9"/>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119</w:t>
      </w:r>
      <w:r>
        <w:rPr>
          <w:rFonts w:hint="eastAsia" w:ascii="仿宋_GB2312" w:eastAsia="仿宋_GB2312"/>
          <w:sz w:val="28"/>
          <w:szCs w:val="28"/>
          <w:lang w:val="en-US" w:eastAsia="zh-CN"/>
        </w:rPr>
        <w:t>,</w:t>
      </w:r>
      <w:r>
        <w:rPr>
          <w:rFonts w:ascii="仿宋_GB2312" w:eastAsia="仿宋_GB2312"/>
          <w:sz w:val="28"/>
          <w:szCs w:val="28"/>
        </w:rPr>
        <w:t>485</w:t>
      </w:r>
      <w:r>
        <w:rPr>
          <w:rFonts w:hint="eastAsia" w:ascii="仿宋_GB2312" w:eastAsia="仿宋_GB2312"/>
          <w:sz w:val="28"/>
          <w:szCs w:val="28"/>
          <w:lang w:val="en-US" w:eastAsia="zh-CN"/>
        </w:rPr>
        <w:t>,</w:t>
      </w:r>
      <w:r>
        <w:rPr>
          <w:rFonts w:ascii="仿宋_GB2312" w:eastAsia="仿宋_GB2312"/>
          <w:sz w:val="28"/>
          <w:szCs w:val="28"/>
        </w:rPr>
        <w:t>436.2</w:t>
      </w:r>
      <w:r>
        <w:rPr>
          <w:rFonts w:hint="eastAsia" w:ascii="仿宋_GB2312" w:eastAsia="仿宋_GB2312"/>
          <w:sz w:val="28"/>
          <w:szCs w:val="28"/>
          <w:lang w:val="en-US" w:eastAsia="zh-CN"/>
        </w:rPr>
        <w:t>0</w:t>
      </w:r>
      <w:r>
        <w:rPr>
          <w:rFonts w:hint="eastAsia" w:ascii="仿宋_GB2312" w:eastAsia="仿宋_GB2312"/>
          <w:sz w:val="28"/>
          <w:szCs w:val="28"/>
        </w:rPr>
        <w:t>元，比上年减少13</w:t>
      </w:r>
      <w:r>
        <w:rPr>
          <w:rFonts w:hint="eastAsia" w:ascii="仿宋_GB2312" w:eastAsia="仿宋_GB2312"/>
          <w:sz w:val="28"/>
          <w:szCs w:val="28"/>
          <w:lang w:val="en-US" w:eastAsia="zh-CN"/>
        </w:rPr>
        <w:t>,</w:t>
      </w:r>
      <w:r>
        <w:rPr>
          <w:rFonts w:hint="eastAsia" w:ascii="仿宋_GB2312" w:eastAsia="仿宋_GB2312"/>
          <w:sz w:val="28"/>
          <w:szCs w:val="28"/>
        </w:rPr>
        <w:t>513</w:t>
      </w:r>
      <w:r>
        <w:rPr>
          <w:rFonts w:hint="eastAsia" w:ascii="仿宋_GB2312" w:eastAsia="仿宋_GB2312"/>
          <w:sz w:val="28"/>
          <w:szCs w:val="28"/>
          <w:lang w:val="en-US" w:eastAsia="zh-CN"/>
        </w:rPr>
        <w:t>,</w:t>
      </w:r>
      <w:r>
        <w:rPr>
          <w:rFonts w:hint="eastAsia" w:ascii="仿宋_GB2312" w:eastAsia="仿宋_GB2312"/>
          <w:sz w:val="28"/>
          <w:szCs w:val="28"/>
        </w:rPr>
        <w:t>828.26元，下降</w:t>
      </w:r>
      <w:r>
        <w:rPr>
          <w:rFonts w:hint="eastAsia" w:ascii="仿宋_GB2312" w:eastAsia="仿宋_GB2312"/>
          <w:sz w:val="28"/>
          <w:szCs w:val="28"/>
          <w:lang w:val="en-US" w:eastAsia="zh-CN"/>
        </w:rPr>
        <w:t>10.2</w:t>
      </w:r>
      <w:r>
        <w:rPr>
          <w:rFonts w:hint="eastAsia" w:ascii="仿宋_GB2312" w:eastAsia="仿宋_GB2312"/>
          <w:sz w:val="28"/>
          <w:szCs w:val="28"/>
        </w:rPr>
        <w:t>%。主要原因：</w:t>
      </w:r>
      <w:r>
        <w:rPr>
          <w:rFonts w:hint="eastAsia" w:ascii="仿宋_GB2312" w:eastAsia="仿宋_GB2312"/>
          <w:sz w:val="28"/>
          <w:szCs w:val="28"/>
          <w:lang w:eastAsia="zh-CN"/>
        </w:rPr>
        <w:t>本年度街道落实“过紧日子”要求，主动压减支出以及项目类支出大幅减少</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keepNext w:val="0"/>
        <w:keepLines w:val="0"/>
        <w:pageBreakBefore w:val="0"/>
        <w:widowControl w:val="0"/>
        <w:kinsoku/>
        <w:wordWrap/>
        <w:overflowPunct/>
        <w:topLinePunct w:val="0"/>
        <w:autoSpaceDE w:val="0"/>
        <w:autoSpaceDN w:val="0"/>
        <w:bidi w:val="0"/>
        <w:adjustRightInd w:val="0"/>
        <w:snapToGrid/>
        <w:spacing w:line="240" w:lineRule="auto"/>
        <w:ind w:firstLine="560" w:firstLineChars="200"/>
        <w:jc w:val="left"/>
        <w:textAlignment w:val="auto"/>
        <w:outlineLvl w:val="9"/>
        <w:rPr>
          <w:rFonts w:ascii="仿宋_GB2312" w:eastAsia="仿宋_GB2312"/>
          <w:sz w:val="28"/>
          <w:szCs w:val="28"/>
        </w:rPr>
      </w:pPr>
      <w:r>
        <w:rPr>
          <w:rFonts w:hint="eastAsia" w:ascii="仿宋_GB2312" w:eastAsia="仿宋_GB2312"/>
          <w:sz w:val="28"/>
          <w:szCs w:val="28"/>
        </w:rPr>
        <w:t>（一）一般公共预算财政拨款支出决算总体情况</w:t>
      </w:r>
    </w:p>
    <w:p>
      <w:pPr>
        <w:keepNext w:val="0"/>
        <w:keepLines w:val="0"/>
        <w:pageBreakBefore w:val="0"/>
        <w:widowControl w:val="0"/>
        <w:tabs>
          <w:tab w:val="center" w:pos="6979"/>
        </w:tabs>
        <w:kinsoku/>
        <w:wordWrap/>
        <w:overflowPunct/>
        <w:topLinePunct w:val="0"/>
        <w:bidi w:val="0"/>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118899547.24</w:t>
      </w:r>
      <w:r>
        <w:rPr>
          <w:rFonts w:hint="eastAsia" w:ascii="仿宋_GB2312" w:eastAsia="仿宋_GB2312"/>
          <w:sz w:val="28"/>
          <w:szCs w:val="28"/>
        </w:rPr>
        <w:t>元，主要用于以下方面（按大类）：</w:t>
      </w:r>
    </w:p>
    <w:p>
      <w:pPr>
        <w:keepNext w:val="0"/>
        <w:keepLines w:val="0"/>
        <w:pageBreakBefore w:val="0"/>
        <w:widowControl w:val="0"/>
        <w:tabs>
          <w:tab w:val="center" w:pos="6979"/>
        </w:tabs>
        <w:kinsoku/>
        <w:wordWrap/>
        <w:overflowPunct/>
        <w:topLinePunct w:val="0"/>
        <w:bidi w:val="0"/>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一般公共服务支出95,294,703.26元，占本年财政拨款支出</w:t>
      </w:r>
      <w:r>
        <w:rPr>
          <w:rFonts w:hint="eastAsia" w:ascii="仿宋_GB2312" w:eastAsia="仿宋_GB2312"/>
          <w:sz w:val="28"/>
          <w:szCs w:val="28"/>
          <w:lang w:val="en-US" w:eastAsia="zh-CN"/>
        </w:rPr>
        <w:t>80.15</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bidi w:val="0"/>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val="en-US" w:eastAsia="zh-CN"/>
        </w:rPr>
        <w:t>文化旅游体育与传媒支出1,305,225.00元，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1.1</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bidi w:val="0"/>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社会保障和就业支出</w:t>
      </w:r>
      <w:r>
        <w:rPr>
          <w:rFonts w:hint="eastAsia" w:ascii="仿宋_GB2312" w:eastAsia="仿宋_GB2312"/>
          <w:sz w:val="28"/>
          <w:szCs w:val="28"/>
          <w:lang w:val="en-US" w:eastAsia="zh-CN"/>
        </w:rPr>
        <w:t>3,152,134.49元,</w:t>
      </w:r>
      <w:r>
        <w:rPr>
          <w:rFonts w:hint="eastAsia" w:ascii="仿宋_GB2312" w:eastAsia="仿宋_GB2312"/>
          <w:sz w:val="28"/>
          <w:szCs w:val="28"/>
        </w:rPr>
        <w:t>占本年财政拨款支出</w:t>
      </w:r>
      <w:r>
        <w:rPr>
          <w:rFonts w:hint="eastAsia" w:ascii="仿宋_GB2312" w:eastAsia="仿宋_GB2312"/>
          <w:sz w:val="28"/>
          <w:szCs w:val="28"/>
          <w:lang w:val="en-US" w:eastAsia="zh-CN"/>
        </w:rPr>
        <w:t>2.7</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bidi w:val="0"/>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卫生健康支出</w:t>
      </w:r>
      <w:r>
        <w:rPr>
          <w:rFonts w:hint="eastAsia" w:ascii="仿宋_GB2312" w:eastAsia="仿宋_GB2312"/>
          <w:sz w:val="28"/>
          <w:szCs w:val="28"/>
          <w:lang w:val="en-US" w:eastAsia="zh-CN"/>
        </w:rPr>
        <w:t>888,818.00元，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0.7</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bidi w:val="0"/>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城乡社区支出</w:t>
      </w:r>
      <w:r>
        <w:rPr>
          <w:rFonts w:hint="eastAsia" w:ascii="仿宋_GB2312" w:eastAsia="仿宋_GB2312"/>
          <w:sz w:val="28"/>
          <w:szCs w:val="28"/>
          <w:lang w:val="en-US" w:eastAsia="zh-CN"/>
        </w:rPr>
        <w:t>17,113,378.10元，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14.4</w:t>
      </w:r>
      <w:r>
        <w:rPr>
          <w:rFonts w:hint="eastAsia" w:ascii="仿宋_GB2312" w:eastAsia="仿宋_GB2312"/>
          <w:sz w:val="28"/>
          <w:szCs w:val="28"/>
        </w:rPr>
        <w:t>%；</w:t>
      </w:r>
    </w:p>
    <w:p>
      <w:pPr>
        <w:pStyle w:val="8"/>
        <w:keepNext w:val="0"/>
        <w:keepLines w:val="0"/>
        <w:pageBreakBefore w:val="0"/>
        <w:widowControl w:val="0"/>
        <w:kinsoku/>
        <w:wordWrap/>
        <w:overflowPunct/>
        <w:topLinePunct w:val="0"/>
        <w:bidi w:val="0"/>
        <w:snapToGrid/>
        <w:spacing w:line="240" w:lineRule="auto"/>
        <w:ind w:left="0" w:leftChars="0"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农林水支出</w:t>
      </w:r>
      <w:r>
        <w:rPr>
          <w:rFonts w:hint="eastAsia" w:ascii="仿宋_GB2312" w:eastAsia="仿宋_GB2312"/>
          <w:sz w:val="28"/>
          <w:szCs w:val="28"/>
          <w:lang w:val="en-US" w:eastAsia="zh-CN"/>
        </w:rPr>
        <w:t>50,000.00元，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0.0</w:t>
      </w:r>
      <w:r>
        <w:rPr>
          <w:rFonts w:hint="eastAsia" w:ascii="仿宋_GB2312" w:eastAsia="仿宋_GB2312"/>
          <w:sz w:val="28"/>
          <w:szCs w:val="28"/>
        </w:rPr>
        <w:t>%；</w:t>
      </w:r>
    </w:p>
    <w:p>
      <w:pPr>
        <w:pStyle w:val="8"/>
        <w:keepNext w:val="0"/>
        <w:keepLines w:val="0"/>
        <w:pageBreakBefore w:val="0"/>
        <w:widowControl w:val="0"/>
        <w:kinsoku/>
        <w:wordWrap/>
        <w:overflowPunct/>
        <w:topLinePunct w:val="0"/>
        <w:bidi w:val="0"/>
        <w:snapToGrid/>
        <w:spacing w:line="240" w:lineRule="auto"/>
        <w:ind w:left="0" w:leftChars="0"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交通运输支出</w:t>
      </w:r>
      <w:r>
        <w:rPr>
          <w:rFonts w:hint="eastAsia" w:ascii="仿宋_GB2312" w:eastAsia="仿宋_GB2312"/>
          <w:sz w:val="28"/>
          <w:szCs w:val="28"/>
          <w:lang w:val="en-US" w:eastAsia="zh-CN"/>
        </w:rPr>
        <w:t>415,653.78元，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0.3</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bidi w:val="0"/>
        <w:snapToGrid/>
        <w:spacing w:line="240" w:lineRule="auto"/>
        <w:ind w:left="558" w:leftChars="266" w:firstLine="0" w:firstLineChars="0"/>
        <w:textAlignment w:val="auto"/>
        <w:outlineLvl w:val="9"/>
        <w:rPr>
          <w:rFonts w:hint="eastAsia" w:ascii="仿宋_GB2312" w:eastAsia="仿宋_GB2312"/>
          <w:sz w:val="28"/>
          <w:szCs w:val="28"/>
        </w:rPr>
      </w:pPr>
      <w:r>
        <w:rPr>
          <w:rFonts w:hint="eastAsia" w:ascii="仿宋_GB2312" w:hAnsi="仿宋_GB2312" w:eastAsia="仿宋_GB2312" w:cs="仿宋_GB2312"/>
          <w:sz w:val="28"/>
          <w:szCs w:val="28"/>
        </w:rPr>
        <w:t>资源勘探工业信息等支出30,822.00</w:t>
      </w:r>
      <w:r>
        <w:rPr>
          <w:rFonts w:hint="eastAsia" w:ascii="仿宋_GB2312" w:hAnsi="仿宋_GB2312" w:eastAsia="仿宋_GB2312" w:cs="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0.0</w:t>
      </w:r>
      <w:r>
        <w:rPr>
          <w:rFonts w:hint="eastAsia" w:ascii="仿宋_GB2312" w:eastAsia="仿宋_GB2312"/>
          <w:sz w:val="28"/>
          <w:szCs w:val="28"/>
        </w:rPr>
        <w:t>%；</w:t>
      </w:r>
    </w:p>
    <w:p>
      <w:pPr>
        <w:keepNext w:val="0"/>
        <w:keepLines w:val="0"/>
        <w:pageBreakBefore w:val="0"/>
        <w:widowControl w:val="0"/>
        <w:tabs>
          <w:tab w:val="center" w:pos="6979"/>
        </w:tabs>
        <w:kinsoku/>
        <w:wordWrap/>
        <w:overflowPunct/>
        <w:topLinePunct w:val="0"/>
        <w:bidi w:val="0"/>
        <w:snapToGrid/>
        <w:spacing w:line="240" w:lineRule="auto"/>
        <w:ind w:left="558" w:leftChars="266" w:firstLine="0" w:firstLineChars="0"/>
        <w:textAlignment w:val="auto"/>
        <w:outlineLvl w:val="9"/>
        <w:rPr>
          <w:rFonts w:ascii="仿宋_GB2312" w:eastAsia="仿宋_GB2312"/>
          <w:sz w:val="28"/>
          <w:szCs w:val="28"/>
        </w:rPr>
      </w:pPr>
      <w:r>
        <w:rPr>
          <w:rFonts w:hint="eastAsia" w:ascii="仿宋_GB2312" w:eastAsia="仿宋_GB2312"/>
          <w:sz w:val="28"/>
          <w:szCs w:val="28"/>
          <w:highlight w:val="none"/>
          <w:lang w:eastAsia="zh-CN"/>
        </w:rPr>
        <w:t>灾害防治及应急管理支出</w:t>
      </w:r>
      <w:r>
        <w:rPr>
          <w:rFonts w:hint="eastAsia" w:ascii="仿宋_GB2312" w:eastAsia="仿宋_GB2312"/>
          <w:sz w:val="28"/>
          <w:szCs w:val="28"/>
          <w:highlight w:val="none"/>
          <w:lang w:val="en-US" w:eastAsia="zh-CN"/>
        </w:rPr>
        <w:t>648,812.61元，</w:t>
      </w:r>
      <w:r>
        <w:rPr>
          <w:rFonts w:hint="eastAsia" w:ascii="仿宋_GB2312" w:eastAsia="仿宋_GB2312"/>
          <w:sz w:val="28"/>
          <w:szCs w:val="28"/>
          <w:highlight w:val="none"/>
        </w:rPr>
        <w:t>占本年财政拨款支出</w:t>
      </w:r>
      <w:r>
        <w:rPr>
          <w:rFonts w:hint="eastAsia" w:ascii="仿宋_GB2312" w:eastAsia="仿宋_GB2312"/>
          <w:sz w:val="28"/>
          <w:szCs w:val="28"/>
          <w:highlight w:val="none"/>
          <w:lang w:val="en-US" w:eastAsia="zh-CN"/>
        </w:rPr>
        <w:t>0.5</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w:t>
      </w:r>
    </w:p>
    <w:p>
      <w:pPr>
        <w:keepNext w:val="0"/>
        <w:keepLines w:val="0"/>
        <w:pageBreakBefore w:val="0"/>
        <w:widowControl w:val="0"/>
        <w:kinsoku/>
        <w:wordWrap/>
        <w:overflowPunct/>
        <w:topLinePunct w:val="0"/>
        <w:autoSpaceDE w:val="0"/>
        <w:autoSpaceDN w:val="0"/>
        <w:bidi w:val="0"/>
        <w:adjustRightInd w:val="0"/>
        <w:snapToGrid/>
        <w:spacing w:line="240" w:lineRule="auto"/>
        <w:ind w:firstLine="560" w:firstLineChars="200"/>
        <w:jc w:val="left"/>
        <w:textAlignment w:val="auto"/>
        <w:outlineLvl w:val="9"/>
        <w:rPr>
          <w:rFonts w:ascii="仿宋_GB2312" w:eastAsia="仿宋_GB2312"/>
          <w:sz w:val="28"/>
          <w:szCs w:val="28"/>
        </w:rPr>
      </w:pPr>
      <w:r>
        <w:rPr>
          <w:rFonts w:hint="eastAsia" w:ascii="仿宋_GB2312" w:eastAsia="仿宋_GB2312"/>
          <w:sz w:val="28"/>
          <w:szCs w:val="28"/>
        </w:rPr>
        <w:t>（二）一般公共预算财政拨款支出决算具体情况</w:t>
      </w:r>
    </w:p>
    <w:p>
      <w:pPr>
        <w:keepNext w:val="0"/>
        <w:keepLines w:val="0"/>
        <w:pageBreakBefore w:val="0"/>
        <w:widowControl w:val="0"/>
        <w:kinsoku/>
        <w:wordWrap/>
        <w:overflowPunct/>
        <w:topLinePunct w:val="0"/>
        <w:autoSpaceDE w:val="0"/>
        <w:autoSpaceDN w:val="0"/>
        <w:bidi w:val="0"/>
        <w:adjustRightInd w:val="0"/>
        <w:snapToGrid/>
        <w:spacing w:line="240" w:lineRule="auto"/>
        <w:ind w:firstLine="560" w:firstLineChars="20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1、“一般公共服务支出”（类）2025年度年初预算</w:t>
      </w:r>
      <w:r>
        <w:rPr>
          <w:rFonts w:hint="eastAsia" w:ascii="仿宋_GB2312" w:hAnsi="仿宋_GB2312" w:eastAsia="仿宋_GB2312" w:cs="仿宋_GB2312"/>
          <w:sz w:val="28"/>
          <w:szCs w:val="28"/>
          <w:lang w:val="en-US" w:eastAsia="zh-CN"/>
        </w:rPr>
        <w:t>66,807,407.35</w:t>
      </w:r>
      <w:r>
        <w:rPr>
          <w:rFonts w:hint="eastAsia" w:ascii="仿宋_GB2312" w:hAnsi="仿宋_GB2312" w:eastAsia="仿宋_GB2312" w:cs="仿宋_GB2312"/>
          <w:sz w:val="28"/>
          <w:szCs w:val="28"/>
        </w:rPr>
        <w:t>元，2025年度决算</w:t>
      </w:r>
      <w:r>
        <w:rPr>
          <w:rFonts w:hint="eastAsia" w:ascii="仿宋_GB2312" w:eastAsia="仿宋_GB2312"/>
          <w:sz w:val="28"/>
          <w:szCs w:val="28"/>
        </w:rPr>
        <w:t>95,294,703.26</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142.6</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其中：</w:t>
      </w:r>
    </w:p>
    <w:p>
      <w:pPr>
        <w:keepNext w:val="0"/>
        <w:keepLines w:val="0"/>
        <w:pageBreakBefore w:val="0"/>
        <w:widowControl w:val="0"/>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“政府办公厅（室）及相关机构事务”（款）2025年度年初预算</w:t>
      </w:r>
      <w:r>
        <w:rPr>
          <w:rFonts w:hint="eastAsia" w:ascii="仿宋_GB2312" w:hAnsi="仿宋_GB2312" w:eastAsia="仿宋_GB2312" w:cs="仿宋_GB2312"/>
          <w:sz w:val="28"/>
          <w:szCs w:val="28"/>
          <w:lang w:val="en-US" w:eastAsia="zh-CN"/>
        </w:rPr>
        <w:t>36,716,804.55</w:t>
      </w:r>
      <w:r>
        <w:rPr>
          <w:rFonts w:hint="eastAsia" w:ascii="仿宋_GB2312" w:hAnsi="仿宋_GB2312" w:eastAsia="仿宋_GB2312" w:cs="仿宋_GB2312"/>
          <w:sz w:val="28"/>
          <w:szCs w:val="28"/>
        </w:rPr>
        <w:t>元，2025年度决算38,016,786.00元，完成年初预算的</w:t>
      </w:r>
      <w:r>
        <w:rPr>
          <w:rFonts w:hint="eastAsia" w:ascii="仿宋_GB2312" w:hAnsi="仿宋_GB2312" w:eastAsia="仿宋_GB2312" w:cs="仿宋_GB2312"/>
          <w:sz w:val="28"/>
          <w:szCs w:val="28"/>
          <w:lang w:val="en-US" w:eastAsia="zh-CN"/>
        </w:rPr>
        <w:t>103.5</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本年度追加了在职人员的人员经费；</w:t>
      </w:r>
    </w:p>
    <w:p>
      <w:pPr>
        <w:keepNext w:val="0"/>
        <w:keepLines w:val="0"/>
        <w:pageBreakBefore w:val="0"/>
        <w:widowControl w:val="0"/>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“发展与改革事务”（款）2025年度年初预算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元，2025年度决算10,416,702.64元。主要原因：</w:t>
      </w:r>
      <w:r>
        <w:rPr>
          <w:rFonts w:hint="eastAsia" w:ascii="仿宋_GB2312" w:hAnsi="仿宋_GB2312" w:eastAsia="仿宋_GB2312" w:cs="仿宋_GB2312"/>
          <w:sz w:val="28"/>
          <w:szCs w:val="28"/>
          <w:lang w:eastAsia="zh-CN"/>
        </w:rPr>
        <w:t>本年度追加了人口调控专项资金；</w:t>
      </w:r>
    </w:p>
    <w:p>
      <w:pPr>
        <w:keepNext w:val="0"/>
        <w:keepLines w:val="0"/>
        <w:pageBreakBefore w:val="0"/>
        <w:widowControl w:val="0"/>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“财政事务”（款）2025年度年初预算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20,000.00</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本年度追加了本年年中追加了成本预算绩效分析服务项目；</w:t>
      </w:r>
    </w:p>
    <w:p>
      <w:pPr>
        <w:keepNext w:val="0"/>
        <w:keepLines w:val="0"/>
        <w:pageBreakBefore w:val="0"/>
        <w:widowControl w:val="0"/>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“纪检监察事务”（款）2025年度年初预算</w:t>
      </w:r>
      <w:r>
        <w:rPr>
          <w:rFonts w:hint="eastAsia" w:ascii="仿宋_GB2312" w:hAnsi="仿宋_GB2312" w:eastAsia="仿宋_GB2312" w:cs="仿宋_GB2312"/>
          <w:sz w:val="28"/>
          <w:szCs w:val="28"/>
          <w:lang w:val="en-US" w:eastAsia="zh-CN"/>
        </w:rPr>
        <w:t>10,5000.00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104,658.80</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99.7</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本项目基本完成预算；</w:t>
      </w:r>
    </w:p>
    <w:p>
      <w:pPr>
        <w:keepNext w:val="0"/>
        <w:keepLines w:val="0"/>
        <w:pageBreakBefore w:val="0"/>
        <w:widowControl w:val="0"/>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“组织事务”（款）2025年度年初预算</w:t>
      </w:r>
      <w:r>
        <w:rPr>
          <w:rFonts w:hint="eastAsia" w:ascii="仿宋_GB2312" w:hAnsi="仿宋_GB2312" w:eastAsia="仿宋_GB2312" w:cs="仿宋_GB2312"/>
          <w:sz w:val="28"/>
          <w:szCs w:val="28"/>
          <w:lang w:val="en-US" w:eastAsia="zh-CN"/>
        </w:rPr>
        <w:t>4,709,640.00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6,355,180.47</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134.9</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年初预算财政未下达项目的全额，年中再次追加；</w:t>
      </w:r>
    </w:p>
    <w:p>
      <w:pPr>
        <w:keepNext w:val="0"/>
        <w:keepLines w:val="0"/>
        <w:pageBreakBefore w:val="0"/>
        <w:widowControl w:val="0"/>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社会工作事务</w:t>
      </w:r>
      <w:r>
        <w:rPr>
          <w:rFonts w:hint="eastAsia" w:ascii="仿宋_GB2312" w:hAnsi="仿宋_GB2312" w:eastAsia="仿宋_GB2312" w:cs="仿宋_GB2312"/>
          <w:sz w:val="28"/>
          <w:szCs w:val="28"/>
        </w:rPr>
        <w:t>”（款）2025年度年初预算</w:t>
      </w:r>
      <w:r>
        <w:rPr>
          <w:rFonts w:hint="eastAsia" w:ascii="仿宋_GB2312" w:hAnsi="仿宋_GB2312" w:eastAsia="仿宋_GB2312" w:cs="仿宋_GB2312"/>
          <w:sz w:val="28"/>
          <w:szCs w:val="28"/>
          <w:lang w:val="en-US" w:eastAsia="zh-CN"/>
        </w:rPr>
        <w:t>25,275,962.80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40,381,375.35</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159.8</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年初预算财政未下达项目的全额，年中再次追加</w:t>
      </w:r>
      <w:r>
        <w:rPr>
          <w:rFonts w:hint="eastAsia" w:ascii="仿宋_GB2312" w:hAnsi="仿宋_GB2312" w:eastAsia="仿宋_GB2312" w:cs="仿宋_GB2312"/>
          <w:sz w:val="28"/>
          <w:szCs w:val="28"/>
        </w:rPr>
        <w:t>。</w:t>
      </w:r>
    </w:p>
    <w:p>
      <w:pPr>
        <w:keepNext w:val="0"/>
        <w:keepLines w:val="0"/>
        <w:pageBreakBefore w:val="0"/>
        <w:widowControl w:val="0"/>
        <w:numPr>
          <w:ilvl w:val="0"/>
          <w:numId w:val="1"/>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“文化旅游体育与传媒支出”(类)2025年度年初预算</w:t>
      </w:r>
      <w:r>
        <w:rPr>
          <w:rFonts w:hint="eastAsia" w:ascii="仿宋_GB2312" w:hAnsi="仿宋_GB2312" w:eastAsia="仿宋_GB2312" w:cs="仿宋_GB2312"/>
          <w:sz w:val="28"/>
          <w:szCs w:val="28"/>
          <w:lang w:val="en-US" w:eastAsia="zh-CN"/>
        </w:rPr>
        <w:t>868,700.00</w:t>
      </w:r>
      <w:r>
        <w:rPr>
          <w:rFonts w:hint="eastAsia" w:ascii="仿宋_GB2312" w:hAnsi="仿宋_GB2312" w:eastAsia="仿宋_GB2312" w:cs="仿宋_GB2312"/>
          <w:sz w:val="28"/>
          <w:szCs w:val="28"/>
        </w:rPr>
        <w:t>元，2025年度决算1,305,225.00元，完成年初预算的</w:t>
      </w:r>
      <w:r>
        <w:rPr>
          <w:rFonts w:hint="eastAsia" w:ascii="仿宋_GB2312" w:hAnsi="仿宋_GB2312" w:eastAsia="仿宋_GB2312" w:cs="仿宋_GB2312"/>
          <w:sz w:val="28"/>
          <w:szCs w:val="28"/>
          <w:lang w:val="en-US" w:eastAsia="zh-CN"/>
        </w:rPr>
        <w:t>150.2</w:t>
      </w:r>
      <w:r>
        <w:rPr>
          <w:rFonts w:hint="eastAsia" w:ascii="仿宋_GB2312" w:hAnsi="仿宋_GB2312" w:eastAsia="仿宋_GB2312" w:cs="仿宋_GB2312"/>
          <w:sz w:val="28"/>
          <w:szCs w:val="28"/>
        </w:rPr>
        <w:t>%。其中：</w:t>
      </w:r>
    </w:p>
    <w:p>
      <w:pPr>
        <w:keepNext w:val="0"/>
        <w:keepLines w:val="0"/>
        <w:pageBreakBefore w:val="0"/>
        <w:widowControl w:val="0"/>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“文化和旅游”（款）2025年度年初预算</w:t>
      </w:r>
      <w:r>
        <w:rPr>
          <w:rFonts w:hint="eastAsia" w:ascii="仿宋_GB2312" w:hAnsi="仿宋_GB2312" w:eastAsia="仿宋_GB2312" w:cs="仿宋_GB2312"/>
          <w:sz w:val="28"/>
          <w:szCs w:val="28"/>
          <w:lang w:val="en-US" w:eastAsia="zh-CN"/>
        </w:rPr>
        <w:t>868,700.00</w:t>
      </w:r>
      <w:r>
        <w:rPr>
          <w:rFonts w:hint="eastAsia" w:ascii="仿宋_GB2312" w:hAnsi="仿宋_GB2312" w:eastAsia="仿宋_GB2312" w:cs="仿宋_GB2312"/>
          <w:sz w:val="28"/>
          <w:szCs w:val="28"/>
        </w:rPr>
        <w:t>元，2025年度决算1,305,225.00元，完成年初预算的</w:t>
      </w:r>
      <w:r>
        <w:rPr>
          <w:rFonts w:hint="eastAsia" w:ascii="仿宋_GB2312" w:hAnsi="仿宋_GB2312" w:eastAsia="仿宋_GB2312" w:cs="仿宋_GB2312"/>
          <w:sz w:val="28"/>
          <w:szCs w:val="28"/>
          <w:lang w:val="en-US" w:eastAsia="zh-CN"/>
        </w:rPr>
        <w:t>150.2</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年初预算财政未下达项目的全额，年中再次追加。</w:t>
      </w:r>
    </w:p>
    <w:p>
      <w:pPr>
        <w:keepNext w:val="0"/>
        <w:keepLines w:val="0"/>
        <w:pageBreakBefore w:val="0"/>
        <w:widowControl w:val="0"/>
        <w:numPr>
          <w:ilvl w:val="0"/>
          <w:numId w:val="2"/>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“社会保障和就业支出”(类)2025年度年初预算</w:t>
      </w:r>
      <w:r>
        <w:rPr>
          <w:rFonts w:hint="eastAsia" w:ascii="仿宋_GB2312" w:hAnsi="仿宋_GB2312" w:eastAsia="仿宋_GB2312" w:cs="仿宋_GB2312"/>
          <w:sz w:val="28"/>
          <w:szCs w:val="28"/>
          <w:lang w:val="en-US" w:eastAsia="zh-CN"/>
        </w:rPr>
        <w:t>1,240,999.52</w:t>
      </w:r>
      <w:r>
        <w:rPr>
          <w:rFonts w:hint="eastAsia" w:ascii="仿宋_GB2312" w:hAnsi="仿宋_GB2312" w:eastAsia="仿宋_GB2312" w:cs="仿宋_GB2312"/>
          <w:sz w:val="28"/>
          <w:szCs w:val="28"/>
        </w:rPr>
        <w:t>元，2025年度决算3,152,134.49元，完成年初预算的</w:t>
      </w:r>
      <w:r>
        <w:rPr>
          <w:rFonts w:hint="eastAsia" w:ascii="仿宋_GB2312" w:hAnsi="仿宋_GB2312" w:eastAsia="仿宋_GB2312" w:cs="仿宋_GB2312"/>
          <w:sz w:val="28"/>
          <w:szCs w:val="28"/>
          <w:lang w:val="en-US" w:eastAsia="zh-CN"/>
        </w:rPr>
        <w:t>254.0</w:t>
      </w:r>
      <w:r>
        <w:rPr>
          <w:rFonts w:hint="eastAsia" w:ascii="仿宋_GB2312" w:hAnsi="仿宋_GB2312" w:eastAsia="仿宋_GB2312" w:cs="仿宋_GB2312"/>
          <w:sz w:val="28"/>
          <w:szCs w:val="28"/>
        </w:rPr>
        <w:t>%。其中：</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“人力资源和社会保障管理事务”（款）2025年度年初预算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75,025.95</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年中追加了失业人员自采暖补贴和社区管理企业退休人员自采暖补贴项目；</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highlight w:val="none"/>
        </w:rPr>
        <w:t>“民政管理事务”（款）2025年度年初预算</w:t>
      </w:r>
      <w:r>
        <w:rPr>
          <w:rFonts w:hint="eastAsia" w:ascii="仿宋_GB2312" w:hAnsi="仿宋_GB2312" w:eastAsia="仿宋_GB2312" w:cs="仿宋_GB2312"/>
          <w:sz w:val="28"/>
          <w:szCs w:val="28"/>
          <w:highlight w:val="none"/>
          <w:lang w:val="en-US" w:eastAsia="zh-CN"/>
        </w:rPr>
        <w:t>39,500.00</w:t>
      </w:r>
      <w:r>
        <w:rPr>
          <w:rFonts w:hint="eastAsia" w:ascii="仿宋_GB2312" w:hAnsi="仿宋_GB2312" w:eastAsia="仿宋_GB2312" w:cs="仿宋_GB2312"/>
          <w:sz w:val="28"/>
          <w:szCs w:val="28"/>
          <w:highlight w:val="none"/>
        </w:rPr>
        <w:t>元，2025年度决算</w:t>
      </w:r>
      <w:r>
        <w:rPr>
          <w:rFonts w:hint="eastAsia" w:ascii="仿宋_GB2312" w:hAnsi="仿宋_GB2312" w:eastAsia="仿宋_GB2312" w:cs="仿宋_GB2312"/>
          <w:sz w:val="28"/>
          <w:szCs w:val="28"/>
          <w:highlight w:val="none"/>
          <w:lang w:val="en-US" w:eastAsia="zh-CN"/>
        </w:rPr>
        <w:t>32,000.00</w:t>
      </w:r>
      <w:r>
        <w:rPr>
          <w:rFonts w:hint="eastAsia" w:ascii="仿宋_GB2312" w:hAnsi="仿宋_GB2312" w:eastAsia="仿宋_GB2312" w:cs="仿宋_GB2312"/>
          <w:sz w:val="28"/>
          <w:szCs w:val="28"/>
          <w:highlight w:val="none"/>
        </w:rPr>
        <w:t>元，完成年初预算的</w:t>
      </w:r>
      <w:r>
        <w:rPr>
          <w:rFonts w:hint="eastAsia" w:ascii="仿宋_GB2312" w:hAnsi="仿宋_GB2312" w:eastAsia="仿宋_GB2312" w:cs="仿宋_GB2312"/>
          <w:sz w:val="28"/>
          <w:szCs w:val="28"/>
          <w:highlight w:val="none"/>
          <w:lang w:val="en-US" w:eastAsia="zh-CN"/>
        </w:rPr>
        <w:t>81.0</w:t>
      </w:r>
      <w:r>
        <w:rPr>
          <w:rFonts w:hint="eastAsia" w:ascii="仿宋_GB2312" w:hAnsi="仿宋_GB2312" w:eastAsia="仿宋_GB2312" w:cs="仿宋_GB2312"/>
          <w:sz w:val="28"/>
          <w:szCs w:val="28"/>
          <w:highlight w:val="none"/>
        </w:rPr>
        <w:t>%。主要原因：</w:t>
      </w:r>
      <w:r>
        <w:rPr>
          <w:rFonts w:hint="eastAsia" w:ascii="仿宋_GB2312" w:hAnsi="仿宋_GB2312" w:eastAsia="仿宋_GB2312" w:cs="仿宋_GB2312"/>
          <w:sz w:val="28"/>
          <w:szCs w:val="28"/>
          <w:highlight w:val="none"/>
          <w:lang w:eastAsia="zh-CN"/>
        </w:rPr>
        <w:t>拥军优属慰问经费项目中根据义务兵人员情况发放慰问金，慰问经费支出减少；</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“行政事业单位养老支出”（款）2025年度年初预算</w:t>
      </w:r>
      <w:r>
        <w:rPr>
          <w:rFonts w:hint="eastAsia" w:ascii="仿宋_GB2312" w:hAnsi="仿宋_GB2312" w:eastAsia="仿宋_GB2312" w:cs="仿宋_GB2312"/>
          <w:sz w:val="28"/>
          <w:szCs w:val="28"/>
          <w:lang w:val="en-US" w:eastAsia="zh-CN"/>
        </w:rPr>
        <w:t>271,634.00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b w:val="0"/>
          <w:bCs w:val="0"/>
          <w:sz w:val="28"/>
          <w:szCs w:val="28"/>
          <w:lang w:val="en-US" w:eastAsia="zh-CN"/>
        </w:rPr>
        <w:t>317,515.00</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116.9</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年中追加退休人员经费；</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“就业补助”（款）2025年度年初预算</w:t>
      </w:r>
      <w:r>
        <w:rPr>
          <w:rFonts w:hint="eastAsia" w:ascii="仿宋_GB2312" w:hAnsi="仿宋_GB2312" w:eastAsia="仿宋_GB2312" w:cs="仿宋_GB2312"/>
          <w:sz w:val="28"/>
          <w:szCs w:val="28"/>
          <w:lang w:val="en-US" w:eastAsia="zh-CN"/>
        </w:rPr>
        <w:t>929,065.52</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2,663,281.99</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286.7</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年初预算财政未下达项目的全额，年中再次追加；</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“抚恤”（款）2025年度年初预算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2,000.00</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：年中追加了慰问品购买经费项目；</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“社会福利”（款）2025年度年初预算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35,000.00</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：年中追加了城乡无丧葬补助居民丧葬补贴项目；</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“临时救助”（款）2025年度年初预算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26,511.55</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：年中追加了临时救助项目；</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highlight w:val="none"/>
        </w:rPr>
        <w:t>“其他社会保障和就业支出”（款）2025年度年初预算</w:t>
      </w:r>
      <w:r>
        <w:rPr>
          <w:rFonts w:hint="eastAsia" w:ascii="仿宋_GB2312" w:hAnsi="仿宋_GB2312" w:eastAsia="仿宋_GB2312" w:cs="仿宋_GB2312"/>
          <w:sz w:val="28"/>
          <w:szCs w:val="28"/>
          <w:highlight w:val="none"/>
          <w:lang w:val="en-US" w:eastAsia="zh-CN"/>
        </w:rPr>
        <w:t>800.00</w:t>
      </w:r>
      <w:r>
        <w:rPr>
          <w:rFonts w:hint="eastAsia" w:ascii="仿宋_GB2312" w:hAnsi="仿宋_GB2312" w:eastAsia="仿宋_GB2312" w:cs="仿宋_GB2312"/>
          <w:sz w:val="28"/>
          <w:szCs w:val="28"/>
          <w:highlight w:val="none"/>
        </w:rPr>
        <w:t>元，2025年度决算</w:t>
      </w:r>
      <w:r>
        <w:rPr>
          <w:rFonts w:hint="eastAsia" w:ascii="仿宋_GB2312" w:hAnsi="仿宋_GB2312" w:eastAsia="仿宋_GB2312" w:cs="仿宋_GB2312"/>
          <w:sz w:val="28"/>
          <w:szCs w:val="28"/>
          <w:highlight w:val="none"/>
          <w:lang w:val="en-US" w:eastAsia="zh-CN"/>
        </w:rPr>
        <w:t>800.00</w:t>
      </w:r>
      <w:r>
        <w:rPr>
          <w:rFonts w:hint="eastAsia" w:ascii="仿宋_GB2312" w:hAnsi="仿宋_GB2312" w:eastAsia="仿宋_GB2312" w:cs="仿宋_GB2312"/>
          <w:sz w:val="28"/>
          <w:szCs w:val="28"/>
          <w:highlight w:val="none"/>
        </w:rPr>
        <w:t>元，完成年初预算的</w:t>
      </w:r>
      <w:r>
        <w:rPr>
          <w:rFonts w:hint="eastAsia" w:ascii="仿宋_GB2312" w:hAnsi="仿宋_GB2312" w:eastAsia="仿宋_GB2312" w:cs="仿宋_GB2312"/>
          <w:sz w:val="28"/>
          <w:szCs w:val="28"/>
          <w:highlight w:val="none"/>
          <w:lang w:val="en-US" w:eastAsia="zh-CN"/>
        </w:rPr>
        <w:t>100.0</w:t>
      </w:r>
      <w:r>
        <w:rPr>
          <w:rFonts w:hint="eastAsia" w:ascii="仿宋_GB2312" w:hAnsi="仿宋_GB2312" w:eastAsia="仿宋_GB2312" w:cs="仿宋_GB2312"/>
          <w:sz w:val="28"/>
          <w:szCs w:val="28"/>
          <w:highlight w:val="none"/>
        </w:rPr>
        <w:t>%。</w:t>
      </w:r>
    </w:p>
    <w:p>
      <w:pPr>
        <w:keepNext w:val="0"/>
        <w:keepLines w:val="0"/>
        <w:pageBreakBefore w:val="0"/>
        <w:widowControl w:val="0"/>
        <w:numPr>
          <w:ilvl w:val="0"/>
          <w:numId w:val="2"/>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“卫生健康支出”(类)2025年度年初预算</w:t>
      </w:r>
      <w:r>
        <w:rPr>
          <w:rFonts w:hint="eastAsia" w:ascii="仿宋_GB2312" w:hAnsi="仿宋_GB2312" w:eastAsia="仿宋_GB2312" w:cs="仿宋_GB2312"/>
          <w:sz w:val="28"/>
          <w:szCs w:val="28"/>
          <w:lang w:val="en-US" w:eastAsia="zh-CN"/>
        </w:rPr>
        <w:t>470,000.00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888,818.00</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189.1</w:t>
      </w:r>
      <w:r>
        <w:rPr>
          <w:rFonts w:hint="eastAsia" w:ascii="仿宋_GB2312" w:hAnsi="仿宋_GB2312" w:eastAsia="仿宋_GB2312" w:cs="仿宋_GB2312"/>
          <w:sz w:val="28"/>
          <w:szCs w:val="28"/>
        </w:rPr>
        <w:t>%。其中：</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“公共卫生”（款）2025年度年初预算</w:t>
      </w:r>
      <w:r>
        <w:rPr>
          <w:rFonts w:hint="eastAsia" w:ascii="仿宋_GB2312" w:hAnsi="仿宋_GB2312" w:eastAsia="仿宋_GB2312" w:cs="仿宋_GB2312"/>
          <w:sz w:val="28"/>
          <w:szCs w:val="28"/>
          <w:lang w:val="en-US" w:eastAsia="zh-CN"/>
        </w:rPr>
        <w:t>240,000.00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480,000.00</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200.0</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：年初预算财政未下达项目的全额，年中再次追加；</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highlight w:val="yellow"/>
          <w:lang w:eastAsia="zh-CN"/>
        </w:rPr>
      </w:pPr>
      <w:r>
        <w:rPr>
          <w:rFonts w:hint="eastAsia" w:ascii="仿宋_GB2312" w:hAnsi="仿宋_GB2312" w:eastAsia="仿宋_GB2312" w:cs="仿宋_GB2312"/>
          <w:sz w:val="28"/>
          <w:szCs w:val="28"/>
          <w:highlight w:val="none"/>
        </w:rPr>
        <w:t>“计划生育事务”（款）2025年度年初预算</w:t>
      </w:r>
      <w:r>
        <w:rPr>
          <w:rFonts w:hint="eastAsia" w:ascii="仿宋_GB2312" w:hAnsi="仿宋_GB2312" w:eastAsia="仿宋_GB2312" w:cs="仿宋_GB2312"/>
          <w:sz w:val="28"/>
          <w:szCs w:val="28"/>
          <w:highlight w:val="none"/>
          <w:lang w:val="en-US" w:eastAsia="zh-CN"/>
        </w:rPr>
        <w:t>230,000.00</w:t>
      </w:r>
      <w:r>
        <w:rPr>
          <w:rFonts w:hint="eastAsia" w:ascii="仿宋_GB2312" w:hAnsi="仿宋_GB2312" w:eastAsia="仿宋_GB2312" w:cs="仿宋_GB2312"/>
          <w:sz w:val="28"/>
          <w:szCs w:val="28"/>
          <w:highlight w:val="none"/>
        </w:rPr>
        <w:t>元，2025年度决算</w:t>
      </w:r>
      <w:r>
        <w:rPr>
          <w:rFonts w:hint="eastAsia" w:ascii="仿宋_GB2312" w:hAnsi="仿宋_GB2312" w:eastAsia="仿宋_GB2312" w:cs="仿宋_GB2312"/>
          <w:sz w:val="28"/>
          <w:szCs w:val="28"/>
          <w:highlight w:val="none"/>
          <w:lang w:val="en-US" w:eastAsia="zh-CN"/>
        </w:rPr>
        <w:t>218,105.00</w:t>
      </w:r>
      <w:r>
        <w:rPr>
          <w:rFonts w:hint="eastAsia" w:ascii="仿宋_GB2312" w:hAnsi="仿宋_GB2312" w:eastAsia="仿宋_GB2312" w:cs="仿宋_GB2312"/>
          <w:sz w:val="28"/>
          <w:szCs w:val="28"/>
          <w:highlight w:val="none"/>
        </w:rPr>
        <w:t>元，完成年初预算的</w:t>
      </w:r>
      <w:r>
        <w:rPr>
          <w:rFonts w:hint="eastAsia" w:ascii="仿宋_GB2312" w:hAnsi="仿宋_GB2312" w:eastAsia="仿宋_GB2312" w:cs="仿宋_GB2312"/>
          <w:sz w:val="28"/>
          <w:szCs w:val="28"/>
          <w:highlight w:val="none"/>
          <w:lang w:val="en-US" w:eastAsia="zh-CN"/>
        </w:rPr>
        <w:t>94.8</w:t>
      </w:r>
      <w:r>
        <w:rPr>
          <w:rFonts w:hint="eastAsia" w:ascii="仿宋_GB2312" w:hAnsi="仿宋_GB2312" w:eastAsia="仿宋_GB2312" w:cs="仿宋_GB2312"/>
          <w:sz w:val="28"/>
          <w:szCs w:val="28"/>
          <w:highlight w:val="none"/>
        </w:rPr>
        <w:t>%。主要原因</w:t>
      </w:r>
      <w:r>
        <w:rPr>
          <w:rFonts w:hint="eastAsia" w:ascii="仿宋_GB2312" w:hAnsi="仿宋_GB2312" w:eastAsia="仿宋_GB2312" w:cs="仿宋_GB2312"/>
          <w:sz w:val="28"/>
          <w:szCs w:val="28"/>
          <w:highlight w:val="none"/>
          <w:lang w:eastAsia="zh-CN"/>
        </w:rPr>
        <w:t>：本年发放人数较去年略有下降；</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“医疗救助”（款）2025年度年初预算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190,713.00</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：年中追加了退养人员医疗费项目。</w:t>
      </w:r>
    </w:p>
    <w:p>
      <w:pPr>
        <w:keepNext w:val="0"/>
        <w:keepLines w:val="0"/>
        <w:pageBreakBefore w:val="0"/>
        <w:widowControl w:val="0"/>
        <w:numPr>
          <w:ilvl w:val="0"/>
          <w:numId w:val="2"/>
        </w:numPr>
        <w:kinsoku/>
        <w:wordWrap/>
        <w:overflowPunct/>
        <w:topLinePunct w:val="0"/>
        <w:bidi w:val="0"/>
        <w:snapToGrid/>
        <w:spacing w:line="240" w:lineRule="auto"/>
        <w:ind w:left="0" w:leftChars="0"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“城乡社区支出”(类)2025年度年初预算</w:t>
      </w:r>
      <w:r>
        <w:rPr>
          <w:rFonts w:hint="eastAsia" w:ascii="仿宋_GB2312" w:hAnsi="仿宋_GB2312" w:eastAsia="仿宋_GB2312" w:cs="仿宋_GB2312"/>
          <w:sz w:val="28"/>
          <w:szCs w:val="28"/>
          <w:lang w:val="en-US" w:eastAsia="zh-CN"/>
        </w:rPr>
        <w:t>1,462,000.00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17,113,378.10</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1170.5</w:t>
      </w:r>
      <w:r>
        <w:rPr>
          <w:rFonts w:hint="eastAsia" w:ascii="仿宋_GB2312" w:hAnsi="仿宋_GB2312" w:eastAsia="仿宋_GB2312" w:cs="仿宋_GB2312"/>
          <w:sz w:val="28"/>
          <w:szCs w:val="28"/>
        </w:rPr>
        <w:t>%。其中：</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“城乡社区管理事务”（款）2025年度年初预算</w:t>
      </w:r>
      <w:r>
        <w:rPr>
          <w:rFonts w:hint="eastAsia" w:ascii="仿宋_GB2312" w:hAnsi="仿宋_GB2312" w:eastAsia="仿宋_GB2312" w:cs="仿宋_GB2312"/>
          <w:sz w:val="28"/>
          <w:szCs w:val="28"/>
          <w:lang w:val="en-US" w:eastAsia="zh-CN"/>
        </w:rPr>
        <w:t>302,000.00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5,687,477.61</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1883.3</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：年中追加了2023年创城灾后损毁硬件设施修复等项目；</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“城乡社区环境卫生”（款）2025年度年初预算</w:t>
      </w:r>
      <w:r>
        <w:rPr>
          <w:rFonts w:hint="eastAsia" w:ascii="仿宋_GB2312" w:hAnsi="仿宋_GB2312" w:eastAsia="仿宋_GB2312" w:cs="仿宋_GB2312"/>
          <w:sz w:val="28"/>
          <w:szCs w:val="28"/>
          <w:lang w:val="en-US" w:eastAsia="zh-CN"/>
        </w:rPr>
        <w:t>200,000.00</w:t>
      </w:r>
      <w:r>
        <w:rPr>
          <w:rFonts w:hint="eastAsia" w:ascii="仿宋_GB2312" w:hAnsi="仿宋_GB2312" w:eastAsia="仿宋_GB2312" w:cs="仿宋_GB2312"/>
          <w:sz w:val="28"/>
          <w:szCs w:val="28"/>
        </w:rPr>
        <w:t>元，2025年度决</w:t>
      </w:r>
      <w:r>
        <w:rPr>
          <w:rFonts w:hint="eastAsia" w:ascii="仿宋_GB2312" w:hAnsi="仿宋_GB2312" w:eastAsia="仿宋_GB2312" w:cs="仿宋_GB2312"/>
          <w:b w:val="0"/>
          <w:bCs w:val="0"/>
          <w:sz w:val="28"/>
          <w:szCs w:val="28"/>
        </w:rPr>
        <w:t>算</w:t>
      </w:r>
      <w:r>
        <w:rPr>
          <w:rFonts w:hint="eastAsia" w:ascii="仿宋_GB2312" w:hAnsi="仿宋_GB2312" w:eastAsia="仿宋_GB2312" w:cs="仿宋_GB2312"/>
          <w:b w:val="0"/>
          <w:bCs w:val="0"/>
          <w:sz w:val="28"/>
          <w:szCs w:val="28"/>
          <w:lang w:val="en-US" w:eastAsia="zh-CN"/>
        </w:rPr>
        <w:t>5,856,531.40</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2928.3</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：年中追加了2025年购买垃圾分类指导员专业运营服务相关费用等项目；</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“其他城乡社区支出”（款）2025年度年初预算</w:t>
      </w:r>
      <w:r>
        <w:rPr>
          <w:rFonts w:hint="eastAsia" w:ascii="仿宋_GB2312" w:hAnsi="仿宋_GB2312" w:eastAsia="仿宋_GB2312" w:cs="仿宋_GB2312"/>
          <w:sz w:val="28"/>
          <w:szCs w:val="28"/>
          <w:lang w:val="en-US" w:eastAsia="zh-CN"/>
        </w:rPr>
        <w:t>960,000.00</w:t>
      </w:r>
      <w:r>
        <w:rPr>
          <w:rFonts w:hint="eastAsia" w:ascii="仿宋_GB2312" w:hAnsi="仿宋_GB2312" w:eastAsia="仿宋_GB2312" w:cs="仿宋_GB2312"/>
          <w:sz w:val="28"/>
          <w:szCs w:val="28"/>
        </w:rPr>
        <w:t>元，2025年度决</w:t>
      </w:r>
      <w:r>
        <w:rPr>
          <w:rFonts w:hint="eastAsia" w:ascii="仿宋_GB2312" w:hAnsi="仿宋_GB2312" w:eastAsia="仿宋_GB2312" w:cs="仿宋_GB2312"/>
          <w:b w:val="0"/>
          <w:bCs w:val="0"/>
          <w:sz w:val="28"/>
          <w:szCs w:val="28"/>
        </w:rPr>
        <w:t>算</w:t>
      </w:r>
      <w:r>
        <w:rPr>
          <w:rFonts w:hint="eastAsia" w:ascii="仿宋_GB2312" w:hAnsi="仿宋_GB2312" w:eastAsia="仿宋_GB2312" w:cs="仿宋_GB2312"/>
          <w:b w:val="0"/>
          <w:bCs w:val="0"/>
          <w:sz w:val="28"/>
          <w:szCs w:val="28"/>
          <w:lang w:val="en-US" w:eastAsia="zh-CN"/>
        </w:rPr>
        <w:t>5,569,369.09</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580.1</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：年中追加了身边事基金等项目。</w:t>
      </w:r>
    </w:p>
    <w:p>
      <w:pPr>
        <w:keepNext w:val="0"/>
        <w:keepLines w:val="0"/>
        <w:pageBreakBefore w:val="0"/>
        <w:widowControl w:val="0"/>
        <w:numPr>
          <w:ilvl w:val="0"/>
          <w:numId w:val="2"/>
        </w:numPr>
        <w:kinsoku/>
        <w:wordWrap/>
        <w:overflowPunct/>
        <w:topLinePunct w:val="0"/>
        <w:bidi w:val="0"/>
        <w:snapToGrid/>
        <w:spacing w:line="240" w:lineRule="auto"/>
        <w:ind w:left="0" w:leftChars="0"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“农林水支出”(类)2025年度年初预算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50,000.00</w:t>
      </w:r>
      <w:r>
        <w:rPr>
          <w:rFonts w:hint="eastAsia" w:ascii="仿宋_GB2312" w:hAnsi="仿宋_GB2312" w:eastAsia="仿宋_GB2312" w:cs="仿宋_GB2312"/>
          <w:sz w:val="28"/>
          <w:szCs w:val="28"/>
        </w:rPr>
        <w:t>元。其中：</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“林业和草原”（款）2025年度年初预算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w:t>
      </w:r>
      <w:r>
        <w:rPr>
          <w:rFonts w:hint="eastAsia" w:ascii="仿宋_GB2312" w:hAnsi="仿宋_GB2312" w:eastAsia="仿宋_GB2312" w:cs="仿宋_GB2312"/>
          <w:b w:val="0"/>
          <w:bCs w:val="0"/>
          <w:sz w:val="28"/>
          <w:szCs w:val="28"/>
        </w:rPr>
        <w:t>算</w:t>
      </w:r>
      <w:r>
        <w:rPr>
          <w:rFonts w:hint="eastAsia" w:ascii="仿宋_GB2312" w:hAnsi="仿宋_GB2312" w:eastAsia="仿宋_GB2312" w:cs="仿宋_GB2312"/>
          <w:sz w:val="28"/>
          <w:szCs w:val="28"/>
          <w:lang w:val="en-US" w:eastAsia="zh-CN"/>
        </w:rPr>
        <w:t>50,000.00</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：年中追加了首都全民义务植树补助资金（门头沟区城子街道办事处城子西街社区“互联网+全民义务植树”基地）项目。</w:t>
      </w:r>
    </w:p>
    <w:p>
      <w:pPr>
        <w:keepNext w:val="0"/>
        <w:keepLines w:val="0"/>
        <w:pageBreakBefore w:val="0"/>
        <w:widowControl w:val="0"/>
        <w:numPr>
          <w:ilvl w:val="0"/>
          <w:numId w:val="2"/>
        </w:numPr>
        <w:kinsoku/>
        <w:wordWrap/>
        <w:overflowPunct/>
        <w:topLinePunct w:val="0"/>
        <w:bidi w:val="0"/>
        <w:snapToGrid/>
        <w:spacing w:line="240" w:lineRule="auto"/>
        <w:ind w:left="0" w:leftChars="0"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“交通运输支出”(类)2025年度年初预算</w:t>
      </w:r>
      <w:r>
        <w:rPr>
          <w:rFonts w:hint="eastAsia" w:ascii="仿宋_GB2312" w:hAnsi="仿宋_GB2312" w:eastAsia="仿宋_GB2312" w:cs="仿宋_GB2312"/>
          <w:sz w:val="28"/>
          <w:szCs w:val="28"/>
          <w:lang w:val="en-US" w:eastAsia="zh-CN"/>
        </w:rPr>
        <w:t>328,778.40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415,653.78</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126.4</w:t>
      </w:r>
      <w:r>
        <w:rPr>
          <w:rFonts w:hint="eastAsia" w:ascii="仿宋_GB2312" w:hAnsi="仿宋_GB2312" w:eastAsia="仿宋_GB2312" w:cs="仿宋_GB2312"/>
          <w:sz w:val="28"/>
          <w:szCs w:val="28"/>
        </w:rPr>
        <w:t>%。其中：</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“铁路运输”（款）2025年度年初预算</w:t>
      </w:r>
      <w:r>
        <w:rPr>
          <w:rFonts w:hint="eastAsia" w:ascii="仿宋_GB2312" w:hAnsi="仿宋_GB2312" w:eastAsia="仿宋_GB2312" w:cs="仿宋_GB2312"/>
          <w:sz w:val="28"/>
          <w:szCs w:val="28"/>
          <w:lang w:val="en-US" w:eastAsia="zh-CN"/>
        </w:rPr>
        <w:t>328,778.40</w:t>
      </w:r>
      <w:r>
        <w:rPr>
          <w:rFonts w:hint="eastAsia" w:ascii="仿宋_GB2312" w:hAnsi="仿宋_GB2312" w:eastAsia="仿宋_GB2312" w:cs="仿宋_GB2312"/>
          <w:sz w:val="28"/>
          <w:szCs w:val="28"/>
        </w:rPr>
        <w:t>元，2025年度决</w:t>
      </w:r>
      <w:r>
        <w:rPr>
          <w:rFonts w:hint="eastAsia" w:ascii="仿宋_GB2312" w:hAnsi="仿宋_GB2312" w:eastAsia="仿宋_GB2312" w:cs="仿宋_GB2312"/>
          <w:b w:val="0"/>
          <w:bCs w:val="0"/>
          <w:sz w:val="28"/>
          <w:szCs w:val="28"/>
        </w:rPr>
        <w:t>算</w:t>
      </w:r>
      <w:r>
        <w:rPr>
          <w:rFonts w:hint="eastAsia" w:ascii="仿宋_GB2312" w:hAnsi="仿宋_GB2312" w:eastAsia="仿宋_GB2312" w:cs="仿宋_GB2312"/>
          <w:sz w:val="28"/>
          <w:szCs w:val="28"/>
          <w:lang w:val="en-US" w:eastAsia="zh-CN"/>
        </w:rPr>
        <w:t>415,653.78</w:t>
      </w:r>
      <w:r>
        <w:rPr>
          <w:rFonts w:hint="eastAsia" w:ascii="仿宋_GB2312" w:hAnsi="仿宋_GB2312" w:eastAsia="仿宋_GB2312" w:cs="仿宋_GB2312"/>
          <w:sz w:val="28"/>
          <w:szCs w:val="28"/>
        </w:rPr>
        <w:t>元，完成年初预算的</w:t>
      </w:r>
      <w:r>
        <w:rPr>
          <w:rFonts w:hint="eastAsia" w:ascii="仿宋_GB2312" w:hAnsi="仿宋_GB2312" w:eastAsia="仿宋_GB2312" w:cs="仿宋_GB2312"/>
          <w:sz w:val="28"/>
          <w:szCs w:val="28"/>
          <w:lang w:val="en-US" w:eastAsia="zh-CN"/>
        </w:rPr>
        <w:t>126.4</w:t>
      </w:r>
      <w:r>
        <w:rPr>
          <w:rFonts w:hint="eastAsia" w:ascii="仿宋_GB2312" w:hAnsi="仿宋_GB2312" w:eastAsia="仿宋_GB2312" w:cs="仿宋_GB2312"/>
          <w:sz w:val="28"/>
          <w:szCs w:val="28"/>
        </w:rPr>
        <w:t>%。主要原因</w:t>
      </w:r>
      <w:r>
        <w:rPr>
          <w:rFonts w:hint="eastAsia" w:ascii="仿宋_GB2312" w:hAnsi="仿宋_GB2312" w:eastAsia="仿宋_GB2312" w:cs="仿宋_GB2312"/>
          <w:sz w:val="28"/>
          <w:szCs w:val="28"/>
          <w:lang w:eastAsia="zh-CN"/>
        </w:rPr>
        <w:t>：年中追加了铁路沿线绿化提升项目等项目。</w:t>
      </w:r>
    </w:p>
    <w:p>
      <w:pPr>
        <w:keepNext w:val="0"/>
        <w:keepLines w:val="0"/>
        <w:pageBreakBefore w:val="0"/>
        <w:widowControl w:val="0"/>
        <w:numPr>
          <w:ilvl w:val="0"/>
          <w:numId w:val="2"/>
        </w:numPr>
        <w:kinsoku/>
        <w:wordWrap/>
        <w:overflowPunct/>
        <w:topLinePunct w:val="0"/>
        <w:bidi w:val="0"/>
        <w:snapToGrid/>
        <w:spacing w:line="240" w:lineRule="auto"/>
        <w:ind w:left="0" w:leftChars="0"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“资源勘探工业信息等支出”(类)2025年度年初预算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30,822.00</w:t>
      </w:r>
      <w:r>
        <w:rPr>
          <w:rFonts w:hint="eastAsia" w:ascii="仿宋_GB2312" w:hAnsi="仿宋_GB2312" w:eastAsia="仿宋_GB2312" w:cs="仿宋_GB2312"/>
          <w:sz w:val="28"/>
          <w:szCs w:val="28"/>
        </w:rPr>
        <w:t>元。其中：</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“制造业”（款）2025年度年初预算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w:t>
      </w:r>
      <w:r>
        <w:rPr>
          <w:rFonts w:hint="eastAsia" w:ascii="仿宋_GB2312" w:hAnsi="仿宋_GB2312" w:eastAsia="仿宋_GB2312" w:cs="仿宋_GB2312"/>
          <w:b w:val="0"/>
          <w:bCs w:val="0"/>
          <w:sz w:val="28"/>
          <w:szCs w:val="28"/>
        </w:rPr>
        <w:t>算</w:t>
      </w:r>
      <w:r>
        <w:rPr>
          <w:rFonts w:hint="eastAsia" w:ascii="仿宋_GB2312" w:hAnsi="仿宋_GB2312" w:eastAsia="仿宋_GB2312" w:cs="仿宋_GB2312"/>
          <w:sz w:val="28"/>
          <w:szCs w:val="28"/>
          <w:lang w:val="en-US" w:eastAsia="zh-CN"/>
        </w:rPr>
        <w:t>30,822.00</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：年中追加了能力提升设备采购项目。</w:t>
      </w:r>
    </w:p>
    <w:p>
      <w:pPr>
        <w:keepNext w:val="0"/>
        <w:keepLines w:val="0"/>
        <w:pageBreakBefore w:val="0"/>
        <w:widowControl w:val="0"/>
        <w:numPr>
          <w:ilvl w:val="0"/>
          <w:numId w:val="2"/>
        </w:numPr>
        <w:kinsoku/>
        <w:wordWrap/>
        <w:overflowPunct/>
        <w:topLinePunct w:val="0"/>
        <w:bidi w:val="0"/>
        <w:snapToGrid/>
        <w:spacing w:line="240" w:lineRule="auto"/>
        <w:ind w:left="0" w:leftChars="0"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“灾害防治及应急管理支出”(类)2025年度年初预算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元，2025年度决算</w:t>
      </w:r>
      <w:r>
        <w:rPr>
          <w:rFonts w:hint="eastAsia" w:ascii="仿宋_GB2312" w:hAnsi="仿宋_GB2312" w:eastAsia="仿宋_GB2312" w:cs="仿宋_GB2312"/>
          <w:sz w:val="28"/>
          <w:szCs w:val="28"/>
          <w:lang w:val="en-US" w:eastAsia="zh-CN"/>
        </w:rPr>
        <w:t>648,812.61</w:t>
      </w:r>
      <w:r>
        <w:rPr>
          <w:rFonts w:hint="eastAsia" w:ascii="仿宋_GB2312" w:hAnsi="仿宋_GB2312" w:eastAsia="仿宋_GB2312" w:cs="仿宋_GB2312"/>
          <w:sz w:val="28"/>
          <w:szCs w:val="28"/>
        </w:rPr>
        <w:t>元。其中：</w:t>
      </w:r>
    </w:p>
    <w:p>
      <w:pPr>
        <w:keepNext w:val="0"/>
        <w:keepLines w:val="0"/>
        <w:pageBreakBefore w:val="0"/>
        <w:widowControl w:val="0"/>
        <w:numPr>
          <w:ilvl w:val="0"/>
          <w:numId w:val="0"/>
        </w:numPr>
        <w:kinsoku/>
        <w:wordWrap/>
        <w:overflowPunct/>
        <w:topLinePunct w:val="0"/>
        <w:bidi w:val="0"/>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“其他灾害防治及应急管理支出”（款）2025年度年初预算</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元，2025年度决</w:t>
      </w:r>
      <w:r>
        <w:rPr>
          <w:rFonts w:hint="eastAsia" w:ascii="仿宋_GB2312" w:hAnsi="仿宋_GB2312" w:eastAsia="仿宋_GB2312" w:cs="仿宋_GB2312"/>
          <w:b w:val="0"/>
          <w:bCs w:val="0"/>
          <w:sz w:val="28"/>
          <w:szCs w:val="28"/>
        </w:rPr>
        <w:t>算</w:t>
      </w:r>
      <w:r>
        <w:rPr>
          <w:rFonts w:hint="eastAsia" w:ascii="仿宋_GB2312" w:hAnsi="仿宋_GB2312" w:eastAsia="仿宋_GB2312" w:cs="仿宋_GB2312"/>
          <w:sz w:val="28"/>
          <w:szCs w:val="28"/>
          <w:lang w:val="en-US" w:eastAsia="zh-CN"/>
        </w:rPr>
        <w:t>648,812.61</w:t>
      </w:r>
      <w:r>
        <w:rPr>
          <w:rFonts w:hint="eastAsia" w:ascii="仿宋_GB2312" w:hAnsi="仿宋_GB2312" w:eastAsia="仿宋_GB2312" w:cs="仿宋_GB2312"/>
          <w:sz w:val="28"/>
          <w:szCs w:val="28"/>
        </w:rPr>
        <w:t>元。主要原因</w:t>
      </w:r>
      <w:r>
        <w:rPr>
          <w:rFonts w:hint="eastAsia" w:ascii="仿宋_GB2312" w:hAnsi="仿宋_GB2312" w:eastAsia="仿宋_GB2312" w:cs="仿宋_GB2312"/>
          <w:sz w:val="28"/>
          <w:szCs w:val="28"/>
          <w:lang w:eastAsia="zh-CN"/>
        </w:rPr>
        <w:t>：年中追加了防汛抢险救灾-辖区应急除险保障项目（第三批）项目。</w:t>
      </w:r>
    </w:p>
    <w:p>
      <w:pPr>
        <w:pStyle w:val="2"/>
        <w:keepNext w:val="0"/>
        <w:keepLines w:val="0"/>
        <w:pageBreakBefore w:val="0"/>
        <w:widowControl w:val="0"/>
        <w:kinsoku/>
        <w:wordWrap/>
        <w:overflowPunct/>
        <w:topLinePunct w:val="0"/>
        <w:bidi w:val="0"/>
        <w:snapToGrid/>
        <w:spacing w:line="240" w:lineRule="auto"/>
        <w:textAlignment w:val="auto"/>
        <w:outlineLvl w:val="9"/>
        <w:rPr>
          <w:sz w:val="28"/>
          <w:szCs w:val="28"/>
        </w:rPr>
      </w:pP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keepNext w:val="0"/>
        <w:keepLines w:val="0"/>
        <w:pageBreakBefore w:val="0"/>
        <w:widowControl w:val="0"/>
        <w:kinsoku/>
        <w:wordWrap/>
        <w:overflowPunct/>
        <w:topLinePunct w:val="0"/>
        <w:autoSpaceDE w:val="0"/>
        <w:autoSpaceDN w:val="0"/>
        <w:bidi w:val="0"/>
        <w:adjustRightInd w:val="0"/>
        <w:snapToGrid/>
        <w:spacing w:line="240" w:lineRule="auto"/>
        <w:ind w:firstLine="560" w:firstLineChars="200"/>
        <w:jc w:val="left"/>
        <w:textAlignment w:val="auto"/>
        <w:outlineLvl w:val="9"/>
        <w:rPr>
          <w:rFonts w:ascii="仿宋_GB2312" w:eastAsia="仿宋_GB2312"/>
          <w:sz w:val="28"/>
          <w:szCs w:val="28"/>
        </w:rPr>
      </w:pPr>
      <w:r>
        <w:rPr>
          <w:rFonts w:hint="eastAsia" w:ascii="仿宋_GB2312" w:eastAsia="仿宋_GB2312"/>
          <w:sz w:val="28"/>
          <w:szCs w:val="28"/>
        </w:rPr>
        <w:t>（一）政府性基金预算财政拨款支出决算总体情况</w:t>
      </w:r>
    </w:p>
    <w:p>
      <w:pPr>
        <w:keepNext w:val="0"/>
        <w:keepLines w:val="0"/>
        <w:pageBreakBefore w:val="0"/>
        <w:widowControl w:val="0"/>
        <w:tabs>
          <w:tab w:val="center" w:pos="6979"/>
        </w:tabs>
        <w:kinsoku/>
        <w:wordWrap/>
        <w:overflowPunct/>
        <w:topLinePunct w:val="0"/>
        <w:bidi w:val="0"/>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0</w:t>
      </w:r>
      <w:r>
        <w:rPr>
          <w:rFonts w:hint="eastAsia" w:ascii="仿宋_GB2312" w:eastAsia="仿宋_GB2312"/>
          <w:sz w:val="28"/>
          <w:szCs w:val="28"/>
        </w:rPr>
        <w:t>元。</w:t>
      </w:r>
    </w:p>
    <w:p>
      <w:pPr>
        <w:keepNext w:val="0"/>
        <w:keepLines w:val="0"/>
        <w:pageBreakBefore w:val="0"/>
        <w:widowControl w:val="0"/>
        <w:kinsoku/>
        <w:wordWrap/>
        <w:overflowPunct/>
        <w:topLinePunct w:val="0"/>
        <w:autoSpaceDE w:val="0"/>
        <w:autoSpaceDN w:val="0"/>
        <w:bidi w:val="0"/>
        <w:adjustRightInd w:val="0"/>
        <w:snapToGrid/>
        <w:spacing w:line="240" w:lineRule="auto"/>
        <w:ind w:firstLine="560" w:firstLineChars="200"/>
        <w:jc w:val="left"/>
        <w:textAlignment w:val="auto"/>
        <w:outlineLvl w:val="9"/>
        <w:rPr>
          <w:rFonts w:ascii="仿宋_GB2312" w:eastAsia="仿宋_GB2312"/>
          <w:sz w:val="28"/>
          <w:szCs w:val="28"/>
        </w:rPr>
      </w:pPr>
      <w:r>
        <w:rPr>
          <w:rFonts w:hint="eastAsia" w:ascii="仿宋_GB2312" w:eastAsia="仿宋_GB2312"/>
          <w:sz w:val="28"/>
          <w:szCs w:val="28"/>
        </w:rPr>
        <w:t>（二）政府性基金预算财政拨款支出决算具体情况</w:t>
      </w:r>
    </w:p>
    <w:p>
      <w:pPr>
        <w:pStyle w:val="8"/>
        <w:keepNext w:val="0"/>
        <w:keepLines w:val="0"/>
        <w:pageBreakBefore w:val="0"/>
        <w:widowControl w:val="0"/>
        <w:numPr>
          <w:ilvl w:val="0"/>
          <w:numId w:val="0"/>
        </w:numPr>
        <w:kinsoku/>
        <w:wordWrap/>
        <w:overflowPunct/>
        <w:topLinePunct w:val="0"/>
        <w:bidi w:val="0"/>
        <w:snapToGrid/>
        <w:spacing w:line="240" w:lineRule="auto"/>
        <w:ind w:right="1470" w:rightChars="700" w:firstLine="560" w:firstLineChars="200"/>
        <w:jc w:val="both"/>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我单位本年度不涉及此业务。</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计585</w:t>
      </w:r>
      <w:r>
        <w:rPr>
          <w:rFonts w:hint="eastAsia" w:ascii="仿宋_GB2312" w:eastAsia="仿宋_GB2312"/>
          <w:sz w:val="28"/>
          <w:szCs w:val="28"/>
          <w:lang w:val="en-US" w:eastAsia="zh-CN"/>
        </w:rPr>
        <w:t>,</w:t>
      </w:r>
      <w:r>
        <w:rPr>
          <w:rFonts w:ascii="仿宋_GB2312" w:eastAsia="仿宋_GB2312"/>
          <w:sz w:val="28"/>
          <w:szCs w:val="28"/>
        </w:rPr>
        <w:t>888.96</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计585</w:t>
      </w:r>
      <w:r>
        <w:rPr>
          <w:rFonts w:hint="eastAsia" w:ascii="仿宋_GB2312" w:eastAsia="仿宋_GB2312"/>
          <w:sz w:val="28"/>
          <w:szCs w:val="28"/>
          <w:lang w:val="en-US" w:eastAsia="zh-CN"/>
        </w:rPr>
        <w:t>,</w:t>
      </w:r>
      <w:r>
        <w:rPr>
          <w:rFonts w:ascii="仿宋_GB2312" w:eastAsia="仿宋_GB2312"/>
          <w:sz w:val="28"/>
          <w:szCs w:val="28"/>
        </w:rPr>
        <w:t>888.96</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370</w:t>
      </w:r>
      <w:r>
        <w:rPr>
          <w:rFonts w:hint="eastAsia" w:ascii="仿宋_GB2312" w:eastAsia="仿宋_GB2312"/>
          <w:sz w:val="28"/>
          <w:szCs w:val="28"/>
          <w:lang w:val="en-US" w:eastAsia="zh-CN"/>
        </w:rPr>
        <w:t>,</w:t>
      </w:r>
      <w:r>
        <w:rPr>
          <w:rFonts w:ascii="仿宋_GB2312" w:eastAsia="仿宋_GB2312"/>
          <w:sz w:val="28"/>
          <w:szCs w:val="28"/>
        </w:rPr>
        <w:t>570.51</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19</w:t>
      </w:r>
      <w:r>
        <w:rPr>
          <w:rFonts w:hint="eastAsia" w:ascii="仿宋_GB2312" w:eastAsia="仿宋_GB2312"/>
          <w:sz w:val="28"/>
          <w:szCs w:val="28"/>
          <w:lang w:val="en-US" w:eastAsia="zh-CN"/>
        </w:rPr>
        <w:t>,</w:t>
      </w:r>
      <w:r>
        <w:rPr>
          <w:rFonts w:ascii="仿宋_GB2312" w:eastAsia="仿宋_GB2312"/>
          <w:sz w:val="28"/>
          <w:szCs w:val="28"/>
        </w:rPr>
        <w:t>822.75</w:t>
      </w:r>
      <w:r>
        <w:rPr>
          <w:rFonts w:hint="eastAsia" w:ascii="仿宋_GB2312" w:eastAsia="仿宋_GB2312"/>
          <w:sz w:val="28"/>
          <w:szCs w:val="28"/>
        </w:rPr>
        <w:t>元，比2025年度“三公”经费财政拨款年初预算</w:t>
      </w:r>
      <w:r>
        <w:rPr>
          <w:rFonts w:ascii="仿宋_GB2312" w:eastAsia="仿宋_GB2312"/>
          <w:sz w:val="28"/>
          <w:szCs w:val="28"/>
        </w:rPr>
        <w:t>79</w:t>
      </w:r>
      <w:r>
        <w:rPr>
          <w:rFonts w:hint="eastAsia" w:ascii="仿宋_GB2312" w:eastAsia="仿宋_GB2312"/>
          <w:sz w:val="28"/>
          <w:szCs w:val="28"/>
          <w:lang w:val="en-US" w:eastAsia="zh-CN"/>
        </w:rPr>
        <w:t>,</w:t>
      </w:r>
      <w:r>
        <w:rPr>
          <w:rFonts w:ascii="仿宋_GB2312" w:eastAsia="仿宋_GB2312"/>
          <w:sz w:val="28"/>
          <w:szCs w:val="28"/>
        </w:rPr>
        <w:t>590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59</w:t>
      </w:r>
      <w:r>
        <w:rPr>
          <w:rFonts w:hint="eastAsia" w:ascii="仿宋_GB2312" w:eastAsia="仿宋_GB2312"/>
          <w:sz w:val="28"/>
          <w:szCs w:val="28"/>
          <w:lang w:val="en-US" w:eastAsia="zh-CN"/>
        </w:rPr>
        <w:t>,</w:t>
      </w:r>
      <w:r>
        <w:rPr>
          <w:rFonts w:ascii="仿宋_GB2312" w:eastAsia="仿宋_GB2312"/>
          <w:sz w:val="28"/>
          <w:szCs w:val="28"/>
        </w:rPr>
        <w:t>767.25</w:t>
      </w:r>
      <w:r>
        <w:rPr>
          <w:rFonts w:hint="eastAsia" w:ascii="仿宋_GB2312" w:eastAsia="仿宋_GB2312"/>
          <w:sz w:val="28"/>
          <w:szCs w:val="28"/>
        </w:rPr>
        <w:t>元。其中：</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eastAsia="仿宋_GB2312"/>
          <w:sz w:val="28"/>
          <w:szCs w:val="28"/>
        </w:rPr>
        <w:t>因公出国（境）费用。2025年度决算数</w:t>
      </w:r>
      <w:r>
        <w:rPr>
          <w:rFonts w:ascii="仿宋_GB2312" w:eastAsia="仿宋_GB2312"/>
          <w:sz w:val="28"/>
          <w:szCs w:val="28"/>
        </w:rPr>
        <w:t>0</w:t>
      </w:r>
      <w:r>
        <w:rPr>
          <w:rFonts w:hint="eastAsia" w:ascii="仿宋_GB2312" w:eastAsia="仿宋_GB2312"/>
          <w:sz w:val="28"/>
          <w:szCs w:val="28"/>
        </w:rPr>
        <w:t>元，</w:t>
      </w:r>
      <w:r>
        <w:rPr>
          <w:rFonts w:hint="eastAsia" w:ascii="仿宋_GB2312" w:eastAsia="仿宋_GB2312"/>
          <w:sz w:val="28"/>
          <w:szCs w:val="28"/>
          <w:lang w:eastAsia="zh-CN"/>
        </w:rPr>
        <w:t>与</w:t>
      </w:r>
      <w:r>
        <w:rPr>
          <w:rFonts w:hint="eastAsia" w:ascii="仿宋_GB2312" w:eastAsia="仿宋_GB2312"/>
          <w:sz w:val="28"/>
          <w:szCs w:val="28"/>
        </w:rPr>
        <w:t>2025年度年初预算数</w:t>
      </w:r>
      <w:r>
        <w:rPr>
          <w:rFonts w:hint="eastAsia" w:ascii="仿宋_GB2312" w:eastAsia="仿宋_GB2312"/>
          <w:sz w:val="28"/>
          <w:szCs w:val="28"/>
          <w:lang w:eastAsia="zh-CN"/>
        </w:rPr>
        <w:t>相同</w:t>
      </w:r>
      <w:r>
        <w:rPr>
          <w:rFonts w:hint="eastAsia" w:ascii="仿宋_GB2312" w:eastAsia="仿宋_GB2312"/>
          <w:sz w:val="28"/>
          <w:szCs w:val="28"/>
        </w:rPr>
        <w:t>。主要原因：</w:t>
      </w:r>
      <w:r>
        <w:rPr>
          <w:rFonts w:hint="eastAsia" w:ascii="仿宋_GB2312" w:hAnsi="仿宋_GB2312" w:eastAsia="仿宋_GB2312" w:cs="仿宋_GB2312"/>
          <w:sz w:val="28"/>
          <w:szCs w:val="28"/>
        </w:rPr>
        <w:t>此项为区级预留资金，年中根据各单位实际需求另行安排</w:t>
      </w:r>
      <w:r>
        <w:rPr>
          <w:rFonts w:hint="eastAsia" w:ascii="仿宋_GB2312" w:hAnsi="仿宋_GB2312" w:eastAsia="仿宋_GB2312" w:cs="仿宋_GB2312"/>
          <w:sz w:val="28"/>
          <w:szCs w:val="28"/>
          <w:lang w:eastAsia="zh-CN"/>
        </w:rPr>
        <w:t>。</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eastAsia="仿宋_GB2312"/>
          <w:sz w:val="28"/>
          <w:szCs w:val="28"/>
          <w:lang w:eastAsia="zh-CN"/>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590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590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hAnsi="仿宋_GB2312" w:eastAsia="仿宋_GB2312" w:cs="仿宋_GB2312"/>
          <w:sz w:val="28"/>
          <w:szCs w:val="28"/>
        </w:rPr>
        <w:t>我单位近年来逐步压缩“三公”经费在内的一般性支出</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19</w:t>
      </w:r>
      <w:r>
        <w:rPr>
          <w:rFonts w:hint="eastAsia" w:ascii="仿宋_GB2312" w:eastAsia="仿宋_GB2312"/>
          <w:sz w:val="28"/>
          <w:szCs w:val="28"/>
          <w:lang w:val="en-US" w:eastAsia="zh-CN"/>
        </w:rPr>
        <w:t>,</w:t>
      </w:r>
      <w:r>
        <w:rPr>
          <w:rFonts w:ascii="仿宋_GB2312" w:eastAsia="仿宋_GB2312"/>
          <w:sz w:val="28"/>
          <w:szCs w:val="28"/>
        </w:rPr>
        <w:t>822.75</w:t>
      </w:r>
      <w:r>
        <w:rPr>
          <w:rFonts w:hint="eastAsia" w:ascii="仿宋_GB2312" w:eastAsia="仿宋_GB2312"/>
          <w:sz w:val="28"/>
          <w:szCs w:val="28"/>
        </w:rPr>
        <w:t>元，比2025年度年初预算数</w:t>
      </w:r>
      <w:r>
        <w:rPr>
          <w:rFonts w:ascii="仿宋_GB2312" w:eastAsia="仿宋_GB2312"/>
          <w:sz w:val="28"/>
          <w:szCs w:val="28"/>
        </w:rPr>
        <w:t>66</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46</w:t>
      </w:r>
      <w:r>
        <w:rPr>
          <w:rFonts w:hint="eastAsia" w:ascii="仿宋_GB2312" w:eastAsia="仿宋_GB2312"/>
          <w:sz w:val="28"/>
          <w:szCs w:val="28"/>
          <w:lang w:val="en-US" w:eastAsia="zh-CN"/>
        </w:rPr>
        <w:t>,</w:t>
      </w:r>
      <w:r>
        <w:rPr>
          <w:rFonts w:ascii="仿宋_GB2312" w:eastAsia="仿宋_GB2312"/>
          <w:sz w:val="28"/>
          <w:szCs w:val="28"/>
        </w:rPr>
        <w:t>177.25</w:t>
      </w:r>
      <w:r>
        <w:rPr>
          <w:rFonts w:hint="eastAsia" w:ascii="仿宋_GB2312" w:eastAsia="仿宋_GB2312"/>
          <w:sz w:val="28"/>
          <w:szCs w:val="28"/>
        </w:rPr>
        <w:t>元。其中，公务用车购置费2025年度决算数0元，主要原因：</w:t>
      </w:r>
      <w:r>
        <w:rPr>
          <w:rFonts w:hint="eastAsia" w:ascii="仿宋_GB2312" w:hAnsi="仿宋_GB2312" w:eastAsia="仿宋_GB2312" w:cs="仿宋_GB2312"/>
          <w:sz w:val="28"/>
          <w:szCs w:val="28"/>
        </w:rPr>
        <w:t>此项为区级预留资金，年中根据各单位实际需求另行安排</w:t>
      </w:r>
      <w:r>
        <w:rPr>
          <w:rFonts w:hint="eastAsia" w:ascii="仿宋_GB2312" w:eastAsia="仿宋_GB2312"/>
          <w:sz w:val="28"/>
          <w:szCs w:val="28"/>
        </w:rPr>
        <w:t>，2025年度购置（更新）0辆。公务用车运行维护费2025年度决算数19</w:t>
      </w:r>
      <w:r>
        <w:rPr>
          <w:rFonts w:hint="eastAsia" w:ascii="仿宋_GB2312" w:eastAsia="仿宋_GB2312"/>
          <w:sz w:val="28"/>
          <w:szCs w:val="28"/>
          <w:lang w:val="en-US" w:eastAsia="zh-CN"/>
        </w:rPr>
        <w:t>,</w:t>
      </w:r>
      <w:r>
        <w:rPr>
          <w:rFonts w:hint="eastAsia" w:ascii="仿宋_GB2312" w:eastAsia="仿宋_GB2312"/>
          <w:sz w:val="28"/>
          <w:szCs w:val="28"/>
        </w:rPr>
        <w:t>822.75元，主要原因：</w:t>
      </w:r>
      <w:r>
        <w:rPr>
          <w:rFonts w:hint="eastAsia" w:ascii="仿宋_GB2312" w:eastAsia="仿宋_GB2312"/>
          <w:sz w:val="28"/>
          <w:szCs w:val="28"/>
          <w:lang w:eastAsia="zh-CN"/>
        </w:rPr>
        <w:t>主要用于街道公务用车的加油、维修、保险等支出</w:t>
      </w:r>
      <w:r>
        <w:rPr>
          <w:rFonts w:hint="eastAsia" w:ascii="仿宋_GB2312" w:eastAsia="仿宋_GB2312"/>
          <w:sz w:val="28"/>
          <w:szCs w:val="28"/>
        </w:rPr>
        <w:t>。2025年度公务用车保有量</w:t>
      </w:r>
      <w:r>
        <w:rPr>
          <w:rFonts w:ascii="仿宋_GB2312" w:eastAsia="仿宋_GB2312"/>
          <w:sz w:val="28"/>
          <w:szCs w:val="28"/>
        </w:rPr>
        <w:t>3</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2025年度机关运行经费支出合计2</w:t>
      </w:r>
      <w:r>
        <w:rPr>
          <w:rFonts w:hint="eastAsia" w:ascii="仿宋_GB2312" w:eastAsia="仿宋_GB2312"/>
          <w:sz w:val="28"/>
          <w:szCs w:val="28"/>
          <w:lang w:val="en-US" w:eastAsia="zh-CN"/>
        </w:rPr>
        <w:t>,</w:t>
      </w:r>
      <w:r>
        <w:rPr>
          <w:rFonts w:hint="eastAsia" w:ascii="仿宋_GB2312" w:eastAsia="仿宋_GB2312"/>
          <w:sz w:val="28"/>
          <w:szCs w:val="28"/>
        </w:rPr>
        <w:t>390</w:t>
      </w:r>
      <w:r>
        <w:rPr>
          <w:rFonts w:hint="eastAsia" w:ascii="仿宋_GB2312" w:eastAsia="仿宋_GB2312"/>
          <w:sz w:val="28"/>
          <w:szCs w:val="28"/>
          <w:lang w:val="en-US" w:eastAsia="zh-CN"/>
        </w:rPr>
        <w:t>,</w:t>
      </w:r>
      <w:r>
        <w:rPr>
          <w:rFonts w:hint="eastAsia" w:ascii="仿宋_GB2312" w:eastAsia="仿宋_GB2312"/>
          <w:sz w:val="28"/>
          <w:szCs w:val="28"/>
        </w:rPr>
        <w:t>390.51元，比上年减少48</w:t>
      </w:r>
      <w:r>
        <w:rPr>
          <w:rFonts w:hint="eastAsia" w:ascii="仿宋_GB2312" w:eastAsia="仿宋_GB2312"/>
          <w:sz w:val="28"/>
          <w:szCs w:val="28"/>
          <w:lang w:val="en-US" w:eastAsia="zh-CN"/>
        </w:rPr>
        <w:t>,</w:t>
      </w:r>
      <w:r>
        <w:rPr>
          <w:rFonts w:hint="eastAsia" w:ascii="仿宋_GB2312" w:eastAsia="仿宋_GB2312"/>
          <w:sz w:val="28"/>
          <w:szCs w:val="28"/>
        </w:rPr>
        <w:t>158.42元，减少原因：</w:t>
      </w:r>
      <w:r>
        <w:rPr>
          <w:rFonts w:hint="eastAsia" w:ascii="仿宋_GB2312" w:eastAsia="仿宋_GB2312"/>
          <w:sz w:val="28"/>
          <w:szCs w:val="28"/>
          <w:lang w:eastAsia="zh-CN"/>
        </w:rPr>
        <w:t>本年度街道落实“过紧日子”要求，减少各类支出</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861</w:t>
      </w:r>
      <w:r>
        <w:rPr>
          <w:rFonts w:hint="eastAsia" w:ascii="仿宋_GB2312" w:eastAsia="仿宋_GB2312"/>
          <w:sz w:val="28"/>
          <w:szCs w:val="28"/>
          <w:lang w:val="en-US" w:eastAsia="zh-CN"/>
        </w:rPr>
        <w:t>,</w:t>
      </w:r>
      <w:r>
        <w:rPr>
          <w:rFonts w:ascii="仿宋_GB2312" w:eastAsia="仿宋_GB2312"/>
          <w:sz w:val="28"/>
          <w:szCs w:val="28"/>
        </w:rPr>
        <w:t>846.02</w:t>
      </w:r>
      <w:r>
        <w:rPr>
          <w:rFonts w:hint="eastAsia" w:ascii="仿宋_GB2312" w:eastAsia="仿宋_GB2312"/>
          <w:sz w:val="28"/>
          <w:szCs w:val="28"/>
        </w:rPr>
        <w:t>元，其中：政府采购货物支出</w:t>
      </w:r>
      <w:r>
        <w:rPr>
          <w:rFonts w:ascii="仿宋_GB2312" w:eastAsia="仿宋_GB2312"/>
          <w:sz w:val="28"/>
          <w:szCs w:val="28"/>
        </w:rPr>
        <w:t>136</w:t>
      </w:r>
      <w:r>
        <w:rPr>
          <w:rFonts w:hint="eastAsia" w:ascii="仿宋_GB2312" w:eastAsia="仿宋_GB2312"/>
          <w:sz w:val="28"/>
          <w:szCs w:val="28"/>
          <w:lang w:val="en-US" w:eastAsia="zh-CN"/>
        </w:rPr>
        <w:t>,</w:t>
      </w:r>
      <w:r>
        <w:rPr>
          <w:rFonts w:ascii="仿宋_GB2312" w:eastAsia="仿宋_GB2312"/>
          <w:sz w:val="28"/>
          <w:szCs w:val="28"/>
        </w:rPr>
        <w:t>678</w:t>
      </w:r>
      <w:r>
        <w:rPr>
          <w:rFonts w:hint="eastAsia" w:ascii="仿宋_GB2312" w:eastAsia="仿宋_GB2312"/>
          <w:sz w:val="28"/>
          <w:szCs w:val="28"/>
          <w:lang w:val="en-US" w:eastAsia="zh-CN"/>
        </w:rPr>
        <w:t>.00</w:t>
      </w:r>
      <w:r>
        <w:rPr>
          <w:rFonts w:hint="eastAsia" w:ascii="仿宋_GB2312" w:eastAsia="仿宋_GB2312"/>
          <w:sz w:val="28"/>
          <w:szCs w:val="28"/>
        </w:rPr>
        <w:t>元，政府采购工程支出</w:t>
      </w:r>
      <w:r>
        <w:rPr>
          <w:rFonts w:ascii="仿宋_GB2312" w:eastAsia="仿宋_GB2312"/>
          <w:sz w:val="28"/>
          <w:szCs w:val="28"/>
        </w:rPr>
        <w:t>12</w:t>
      </w:r>
      <w:r>
        <w:rPr>
          <w:rFonts w:hint="eastAsia" w:ascii="仿宋_GB2312" w:eastAsia="仿宋_GB2312"/>
          <w:sz w:val="28"/>
          <w:szCs w:val="28"/>
          <w:lang w:val="en-US" w:eastAsia="zh-CN"/>
        </w:rPr>
        <w:t>,</w:t>
      </w:r>
      <w:r>
        <w:rPr>
          <w:rFonts w:ascii="仿宋_GB2312" w:eastAsia="仿宋_GB2312"/>
          <w:sz w:val="28"/>
          <w:szCs w:val="28"/>
        </w:rPr>
        <w:t>155</w:t>
      </w:r>
      <w:r>
        <w:rPr>
          <w:rFonts w:hint="eastAsia" w:ascii="仿宋_GB2312" w:eastAsia="仿宋_GB2312"/>
          <w:sz w:val="28"/>
          <w:szCs w:val="28"/>
          <w:lang w:val="en-US" w:eastAsia="zh-CN"/>
        </w:rPr>
        <w:t>,</w:t>
      </w:r>
      <w:r>
        <w:rPr>
          <w:rFonts w:ascii="仿宋_GB2312" w:eastAsia="仿宋_GB2312"/>
          <w:sz w:val="28"/>
          <w:szCs w:val="28"/>
        </w:rPr>
        <w:t>420.42</w:t>
      </w:r>
      <w:r>
        <w:rPr>
          <w:rFonts w:hint="eastAsia" w:ascii="仿宋_GB2312" w:eastAsia="仿宋_GB2312"/>
          <w:sz w:val="28"/>
          <w:szCs w:val="28"/>
        </w:rPr>
        <w:t>元，政府采购服务支出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569</w:t>
      </w:r>
      <w:r>
        <w:rPr>
          <w:rFonts w:hint="eastAsia" w:ascii="仿宋_GB2312" w:eastAsia="仿宋_GB2312"/>
          <w:sz w:val="28"/>
          <w:szCs w:val="28"/>
          <w:lang w:val="en-US" w:eastAsia="zh-CN"/>
        </w:rPr>
        <w:t>,</w:t>
      </w:r>
      <w:r>
        <w:rPr>
          <w:rFonts w:ascii="仿宋_GB2312" w:eastAsia="仿宋_GB2312"/>
          <w:sz w:val="28"/>
          <w:szCs w:val="28"/>
        </w:rPr>
        <w:t>747.6</w:t>
      </w:r>
      <w:r>
        <w:rPr>
          <w:rFonts w:hint="eastAsia" w:ascii="仿宋_GB2312" w:eastAsia="仿宋_GB2312"/>
          <w:sz w:val="28"/>
          <w:szCs w:val="28"/>
          <w:lang w:val="en-US" w:eastAsia="zh-CN"/>
        </w:rPr>
        <w:t>0</w:t>
      </w:r>
      <w:r>
        <w:rPr>
          <w:rFonts w:hint="eastAsia" w:ascii="仿宋_GB2312" w:eastAsia="仿宋_GB2312"/>
          <w:sz w:val="28"/>
          <w:szCs w:val="28"/>
        </w:rPr>
        <w:t>元。授予中小企业合同金额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216</w:t>
      </w:r>
      <w:r>
        <w:rPr>
          <w:rFonts w:hint="eastAsia" w:ascii="仿宋_GB2312" w:eastAsia="仿宋_GB2312"/>
          <w:sz w:val="28"/>
          <w:szCs w:val="28"/>
          <w:lang w:val="en-US" w:eastAsia="zh-CN"/>
        </w:rPr>
        <w:t>,</w:t>
      </w:r>
      <w:r>
        <w:rPr>
          <w:rFonts w:ascii="仿宋_GB2312" w:eastAsia="仿宋_GB2312"/>
          <w:sz w:val="28"/>
          <w:szCs w:val="28"/>
        </w:rPr>
        <w:t>708.37</w:t>
      </w:r>
      <w:r>
        <w:rPr>
          <w:rFonts w:hint="eastAsia" w:ascii="仿宋_GB2312" w:eastAsia="仿宋_GB2312"/>
          <w:sz w:val="28"/>
          <w:szCs w:val="28"/>
        </w:rPr>
        <w:t>元，占政府采购支出总额的37.6%，其中：授予小微企业合同金额</w:t>
      </w:r>
      <w:r>
        <w:rPr>
          <w:rFonts w:ascii="仿宋_GB2312" w:eastAsia="仿宋_GB2312"/>
          <w:sz w:val="28"/>
          <w:szCs w:val="28"/>
        </w:rPr>
        <w:t>5</w:t>
      </w:r>
      <w:r>
        <w:rPr>
          <w:rFonts w:hint="eastAsia" w:ascii="仿宋_GB2312" w:eastAsia="仿宋_GB2312"/>
          <w:sz w:val="28"/>
          <w:szCs w:val="28"/>
          <w:lang w:val="en-US" w:eastAsia="zh-CN"/>
        </w:rPr>
        <w:t>,</w:t>
      </w:r>
      <w:r>
        <w:rPr>
          <w:rFonts w:ascii="仿宋_GB2312" w:eastAsia="仿宋_GB2312"/>
          <w:sz w:val="28"/>
          <w:szCs w:val="28"/>
        </w:rPr>
        <w:t>216</w:t>
      </w:r>
      <w:r>
        <w:rPr>
          <w:rFonts w:hint="eastAsia" w:ascii="仿宋_GB2312" w:eastAsia="仿宋_GB2312"/>
          <w:sz w:val="28"/>
          <w:szCs w:val="28"/>
          <w:lang w:val="en-US" w:eastAsia="zh-CN"/>
        </w:rPr>
        <w:t>,</w:t>
      </w:r>
      <w:r>
        <w:rPr>
          <w:rFonts w:ascii="仿宋_GB2312" w:eastAsia="仿宋_GB2312"/>
          <w:sz w:val="28"/>
          <w:szCs w:val="28"/>
        </w:rPr>
        <w:t>708.37</w:t>
      </w:r>
      <w:r>
        <w:rPr>
          <w:rFonts w:hint="eastAsia" w:ascii="仿宋_GB2312" w:eastAsia="仿宋_GB2312"/>
          <w:sz w:val="28"/>
          <w:szCs w:val="28"/>
        </w:rPr>
        <w:t>元，占政府采购支出总额的</w:t>
      </w:r>
      <w:r>
        <w:rPr>
          <w:rFonts w:ascii="仿宋_GB2312" w:eastAsia="仿宋_GB2312"/>
          <w:sz w:val="28"/>
          <w:szCs w:val="28"/>
        </w:rPr>
        <w:t>37.6</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ascii="仿宋_GB2312" w:eastAsia="仿宋_GB2312"/>
          <w:sz w:val="32"/>
          <w:szCs w:val="32"/>
        </w:rPr>
      </w:pPr>
      <w:r>
        <w:rPr>
          <w:rFonts w:hint="eastAsia" w:ascii="仿宋_GB2312" w:eastAsia="仿宋_GB2312"/>
          <w:sz w:val="28"/>
          <w:szCs w:val="28"/>
        </w:rPr>
        <w:t>截至12月31日，北京市门头沟区人民政府城子街道办事处共有车辆3台；单位价值100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sz w:val="28"/>
          <w:szCs w:val="28"/>
        </w:rPr>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仿宋_GB2312" w:eastAsia="仿宋_GB2312"/>
          <w:sz w:val="28"/>
          <w:szCs w:val="28"/>
        </w:rPr>
      </w:pPr>
      <w:r>
        <w:rPr>
          <w:rFonts w:hint="eastAsia" w:ascii="仿宋_GB2312" w:eastAsia="仿宋_GB2312"/>
          <w:sz w:val="28"/>
          <w:szCs w:val="28"/>
        </w:rPr>
        <w:t>6</w:t>
      </w:r>
      <w:r>
        <w:rPr>
          <w:rFonts w:ascii="仿宋_GB2312" w:eastAsia="仿宋_GB2312"/>
          <w:sz w:val="28"/>
          <w:szCs w:val="28"/>
        </w:rPr>
        <w:t>.政府购买服务：</w:t>
      </w:r>
      <w:r>
        <w:rPr>
          <w:rFonts w:hint="eastAsia" w:ascii="仿宋_GB2312" w:eastAsia="仿宋_GB2312"/>
          <w:sz w:val="28"/>
          <w:szCs w:val="28"/>
        </w:rPr>
        <w:t>是指各级国家机关将属于自身职责范围且适合通过市场化方式提供的服务事项，按照政府采购方式和程序，交由符合条件的服务供应商承担，并根据服务数量和质量等因素向其支付费用的行为。</w:t>
      </w:r>
    </w:p>
    <w:p>
      <w:pPr>
        <w:keepNext w:val="0"/>
        <w:keepLines w:val="0"/>
        <w:pageBreakBefore w:val="0"/>
        <w:widowControl w:val="0"/>
        <w:kinsoku/>
        <w:wordWrap/>
        <w:overflowPunct/>
        <w:topLinePunct w:val="0"/>
        <w:autoSpaceDE/>
        <w:autoSpaceDN/>
        <w:bidi w:val="0"/>
        <w:adjustRightInd/>
        <w:snapToGrid/>
        <w:spacing w:line="240" w:lineRule="auto"/>
        <w:ind w:firstLine="552" w:firstLineChars="200"/>
        <w:textAlignment w:val="auto"/>
        <w:outlineLvl w:val="9"/>
        <w:rPr>
          <w:rFonts w:hint="eastAsia" w:ascii="仿宋_GB2312" w:hAnsi="仿宋_GB2312" w:eastAsia="仿宋_GB2312" w:cs="仿宋_GB2312"/>
          <w:b w:val="0"/>
          <w:bCs/>
          <w:sz w:val="28"/>
          <w:szCs w:val="28"/>
        </w:rPr>
      </w:pPr>
      <w:r>
        <w:rPr>
          <w:rFonts w:hint="eastAsia" w:ascii="仿宋_GB2312" w:eastAsia="仿宋_GB2312"/>
          <w:b w:val="0"/>
          <w:bCs/>
          <w:color w:val="000000"/>
          <w:spacing w:val="-2"/>
          <w:sz w:val="28"/>
          <w:szCs w:val="28"/>
        </w:rPr>
        <w:t>7.</w:t>
      </w:r>
      <w:bookmarkStart w:id="0" w:name="OLE_LINK1"/>
      <w:r>
        <w:rPr>
          <w:rFonts w:hint="eastAsia" w:ascii="仿宋_GB2312" w:hAnsi="仿宋_GB2312" w:eastAsia="仿宋_GB2312" w:cs="仿宋_GB2312"/>
          <w:b w:val="0"/>
          <w:bCs/>
          <w:color w:val="000000"/>
          <w:spacing w:val="-2"/>
          <w:sz w:val="28"/>
          <w:szCs w:val="28"/>
        </w:rPr>
        <w:t>一般公共服务支出（类）人大事务（款）行政运行（项）</w:t>
      </w:r>
      <w:bookmarkEnd w:id="0"/>
      <w:r>
        <w:rPr>
          <w:rFonts w:hint="eastAsia" w:ascii="仿宋_GB2312" w:hAnsi="仿宋_GB2312" w:eastAsia="仿宋_GB2312" w:cs="仿宋_GB2312"/>
          <w:b w:val="0"/>
          <w:bCs/>
          <w:color w:val="000000"/>
          <w:spacing w:val="-2"/>
          <w:sz w:val="28"/>
          <w:szCs w:val="28"/>
        </w:rPr>
        <w:t>：反映行政单位（包括实行公务员管理的事业单位）的基本支出</w:t>
      </w:r>
      <w:r>
        <w:rPr>
          <w:rFonts w:hint="eastAsia" w:ascii="仿宋_GB2312" w:hAnsi="仿宋_GB2312" w:eastAsia="仿宋_GB2312" w:cs="仿宋_GB2312"/>
          <w:b w:val="0"/>
          <w:bCs/>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i w:val="0"/>
          <w:caps w:val="0"/>
          <w:color w:val="06071F"/>
          <w:spacing w:val="0"/>
          <w:sz w:val="28"/>
          <w:szCs w:val="28"/>
          <w:shd w:val="clear" w:color="auto" w:fill="FDFDFE"/>
        </w:rPr>
      </w:pPr>
      <w:r>
        <w:rPr>
          <w:rFonts w:hint="eastAsia" w:ascii="仿宋_GB2312" w:hAnsi="仿宋_GB2312" w:eastAsia="仿宋_GB2312" w:cs="仿宋_GB2312"/>
          <w:b w:val="0"/>
          <w:bCs/>
          <w:sz w:val="28"/>
          <w:szCs w:val="28"/>
          <w:lang w:val="en-US" w:eastAsia="zh-CN"/>
        </w:rPr>
        <w:t>8.</w:t>
      </w:r>
      <w:r>
        <w:rPr>
          <w:rFonts w:hint="eastAsia" w:ascii="仿宋_GB2312" w:hAnsi="仿宋_GB2312" w:eastAsia="仿宋_GB2312" w:cs="仿宋_GB2312"/>
          <w:b w:val="0"/>
          <w:bCs/>
          <w:color w:val="000000"/>
          <w:spacing w:val="-2"/>
          <w:sz w:val="28"/>
          <w:szCs w:val="28"/>
        </w:rPr>
        <w:t>一般公共服务支出（类）人大事务（款）</w:t>
      </w:r>
      <w:r>
        <w:rPr>
          <w:rFonts w:hint="eastAsia" w:ascii="仿宋_GB2312" w:hAnsi="仿宋_GB2312" w:eastAsia="仿宋_GB2312" w:cs="仿宋_GB2312"/>
          <w:b w:val="0"/>
          <w:bCs/>
          <w:color w:val="000000"/>
          <w:spacing w:val="-2"/>
          <w:sz w:val="28"/>
          <w:szCs w:val="28"/>
          <w:lang w:eastAsia="zh-CN"/>
        </w:rPr>
        <w:t>事业</w:t>
      </w:r>
      <w:r>
        <w:rPr>
          <w:rFonts w:hint="eastAsia" w:ascii="仿宋_GB2312" w:hAnsi="仿宋_GB2312" w:eastAsia="仿宋_GB2312" w:cs="仿宋_GB2312"/>
          <w:b w:val="0"/>
          <w:bCs/>
          <w:color w:val="000000"/>
          <w:spacing w:val="-2"/>
          <w:sz w:val="28"/>
          <w:szCs w:val="28"/>
        </w:rPr>
        <w:t>运行（项）</w:t>
      </w:r>
      <w:r>
        <w:rPr>
          <w:rFonts w:hint="eastAsia" w:ascii="仿宋_GB2312" w:hAnsi="仿宋_GB2312" w:eastAsia="仿宋_GB2312" w:cs="仿宋_GB2312"/>
          <w:b w:val="0"/>
          <w:bCs/>
          <w:color w:val="000000"/>
          <w:spacing w:val="-2"/>
          <w:sz w:val="28"/>
          <w:szCs w:val="28"/>
          <w:lang w:eastAsia="zh-CN"/>
        </w:rPr>
        <w:t>：</w:t>
      </w:r>
      <w:r>
        <w:rPr>
          <w:rFonts w:hint="eastAsia" w:ascii="仿宋_GB2312" w:hAnsi="仿宋_GB2312" w:eastAsia="仿宋_GB2312" w:cs="仿宋_GB2312"/>
          <w:i w:val="0"/>
          <w:caps w:val="0"/>
          <w:color w:val="06071F"/>
          <w:spacing w:val="0"/>
          <w:sz w:val="28"/>
          <w:szCs w:val="28"/>
          <w:shd w:val="clear" w:color="auto" w:fill="FDFDFE"/>
        </w:rPr>
        <w:t>该科目用于核算事业单位的基本支出，涵盖人员经费和公用经费等。</w:t>
      </w:r>
    </w:p>
    <w:p>
      <w:pPr>
        <w:keepNext w:val="0"/>
        <w:keepLines w:val="0"/>
        <w:pageBreakBefore w:val="0"/>
        <w:widowControl w:val="0"/>
        <w:kinsoku/>
        <w:wordWrap/>
        <w:overflowPunct/>
        <w:topLinePunct w:val="0"/>
        <w:autoSpaceDE/>
        <w:autoSpaceDN/>
        <w:bidi w:val="0"/>
        <w:adjustRightInd/>
        <w:snapToGrid/>
        <w:ind w:firstLine="552" w:firstLineChars="200"/>
        <w:textAlignment w:val="auto"/>
        <w:rPr>
          <w:rFonts w:ascii="黑体" w:eastAsia="黑体"/>
          <w:sz w:val="28"/>
          <w:szCs w:val="28"/>
        </w:rPr>
      </w:pPr>
      <w:r>
        <w:rPr>
          <w:rFonts w:hint="eastAsia" w:ascii="仿宋_GB2312" w:hAnsi="仿宋_GB2312" w:eastAsia="仿宋_GB2312" w:cs="仿宋_GB2312"/>
          <w:b w:val="0"/>
          <w:bCs/>
          <w:color w:val="000000"/>
          <w:spacing w:val="-2"/>
          <w:sz w:val="28"/>
          <w:szCs w:val="28"/>
          <w:lang w:val="en-US" w:eastAsia="zh-CN"/>
        </w:rPr>
        <w:t>9.</w:t>
      </w:r>
      <w:r>
        <w:rPr>
          <w:rFonts w:hint="eastAsia" w:ascii="仿宋_GB2312" w:hAnsi="仿宋_GB2312" w:eastAsia="仿宋_GB2312" w:cs="仿宋_GB2312"/>
          <w:b w:val="0"/>
          <w:bCs/>
          <w:color w:val="000000"/>
          <w:spacing w:val="-2"/>
          <w:sz w:val="28"/>
          <w:szCs w:val="28"/>
        </w:rPr>
        <w:t>一般公共服务支出（类）人大事务（款）</w:t>
      </w:r>
      <w:r>
        <w:rPr>
          <w:rFonts w:hint="eastAsia" w:ascii="仿宋_GB2312" w:hAnsi="仿宋_GB2312" w:eastAsia="仿宋_GB2312" w:cs="仿宋_GB2312"/>
          <w:b w:val="0"/>
          <w:bCs/>
          <w:color w:val="000000"/>
          <w:spacing w:val="-2"/>
          <w:sz w:val="28"/>
          <w:szCs w:val="28"/>
          <w:lang w:eastAsia="zh-CN"/>
        </w:rPr>
        <w:t>一般行政管理事务</w:t>
      </w:r>
      <w:r>
        <w:rPr>
          <w:rFonts w:hint="eastAsia" w:ascii="仿宋_GB2312" w:hAnsi="仿宋_GB2312" w:eastAsia="仿宋_GB2312" w:cs="仿宋_GB2312"/>
          <w:b w:val="0"/>
          <w:bCs/>
          <w:color w:val="000000"/>
          <w:spacing w:val="-2"/>
          <w:sz w:val="28"/>
          <w:szCs w:val="28"/>
        </w:rPr>
        <w:t>（项）</w:t>
      </w:r>
      <w:r>
        <w:rPr>
          <w:rFonts w:hint="eastAsia" w:ascii="仿宋_GB2312" w:hAnsi="仿宋_GB2312" w:eastAsia="仿宋_GB2312" w:cs="仿宋_GB2312"/>
          <w:b w:val="0"/>
          <w:bCs/>
          <w:color w:val="000000"/>
          <w:spacing w:val="-2"/>
          <w:sz w:val="28"/>
          <w:szCs w:val="28"/>
          <w:lang w:eastAsia="zh-CN"/>
        </w:rPr>
        <w:t>：</w:t>
      </w:r>
      <w:r>
        <w:rPr>
          <w:rFonts w:hint="eastAsia" w:ascii="仿宋_GB2312" w:hAnsi="仿宋_GB2312" w:eastAsia="仿宋_GB2312" w:cs="仿宋_GB2312"/>
          <w:i w:val="0"/>
          <w:caps w:val="0"/>
          <w:color w:val="06071F"/>
          <w:spacing w:val="0"/>
          <w:sz w:val="28"/>
          <w:szCs w:val="28"/>
          <w:shd w:val="clear" w:color="auto" w:fill="FDFDFE"/>
        </w:rPr>
        <w:t>确保人大机关及事业单位能够正常开展工作，满足日常办公需求。</w:t>
      </w: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keepNext w:val="0"/>
        <w:keepLines w:val="0"/>
        <w:pageBreakBefore w:val="0"/>
        <w:widowControl w:val="0"/>
        <w:tabs>
          <w:tab w:val="center" w:pos="6979"/>
        </w:tabs>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eastAsia="仿宋_GB2312"/>
          <w:sz w:val="28"/>
          <w:szCs w:val="28"/>
          <w:lang w:val="en-US" w:eastAsia="zh-CN"/>
        </w:rPr>
      </w:pPr>
      <w:bookmarkStart w:id="1" w:name="_Toc268005755"/>
      <w:bookmarkStart w:id="2" w:name="_Toc268005761"/>
      <w:bookmarkStart w:id="3" w:name="_Toc263686375"/>
      <w:r>
        <w:rPr>
          <w:rFonts w:hint="eastAsia" w:ascii="仿宋_GB2312" w:eastAsia="仿宋_GB2312"/>
          <w:sz w:val="28"/>
          <w:szCs w:val="28"/>
        </w:rPr>
        <w:t>1.部门职责情况</w:t>
      </w:r>
      <w:r>
        <w:rPr>
          <w:rFonts w:hint="eastAsia" w:ascii="仿宋_GB2312" w:eastAsia="仿宋_GB2312"/>
          <w:sz w:val="28"/>
          <w:szCs w:val="28"/>
          <w:lang w:val="en-US" w:eastAsia="zh-CN"/>
        </w:rPr>
        <w:t>:</w:t>
      </w:r>
      <w:r>
        <w:rPr>
          <w:rFonts w:hint="eastAsia" w:ascii="仿宋_GB2312" w:hAnsi="仿宋" w:eastAsia="仿宋_GB2312"/>
          <w:sz w:val="28"/>
          <w:szCs w:val="28"/>
        </w:rPr>
        <w:t>北京市门头沟区人民政府城子街道办事处是区人民政府的派出机</w:t>
      </w:r>
      <w:r>
        <w:rPr>
          <w:rFonts w:hint="eastAsia" w:ascii="仿宋_GB2312" w:hAnsi="仿宋" w:eastAsia="仿宋_GB2312"/>
          <w:sz w:val="28"/>
          <w:szCs w:val="28"/>
          <w:lang w:eastAsia="zh-CN"/>
        </w:rPr>
        <w:t>关</w:t>
      </w:r>
      <w:bookmarkStart w:id="17" w:name="_GoBack"/>
      <w:bookmarkEnd w:id="17"/>
      <w:r>
        <w:rPr>
          <w:rFonts w:hint="eastAsia" w:ascii="仿宋_GB2312" w:hAnsi="仿宋" w:eastAsia="仿宋_GB2312"/>
          <w:sz w:val="28"/>
          <w:szCs w:val="28"/>
        </w:rPr>
        <w:t>，受区人民政府领导</w:t>
      </w:r>
      <w:r>
        <w:rPr>
          <w:rFonts w:hint="eastAsia" w:ascii="仿宋_GB2312" w:hAnsi="仿宋" w:eastAsia="仿宋_GB2312"/>
          <w:sz w:val="28"/>
          <w:szCs w:val="28"/>
          <w:lang w:val="en-US" w:eastAsia="zh-CN"/>
        </w:rPr>
        <w:t>,是连接政府与居民的重要桥梁</w:t>
      </w:r>
      <w:r>
        <w:rPr>
          <w:rFonts w:hint="eastAsia" w:ascii="仿宋_GB2312" w:hAnsi="仿宋" w:eastAsia="仿宋_GB2312"/>
          <w:sz w:val="28"/>
          <w:szCs w:val="28"/>
        </w:rPr>
        <w:t>。依照法律法规的规定，在本辖区内行使政府管理职能，对辖区内的地区性、社区性和群众性工作负总责，承担指定本辖区社区建设总体规划以及组织、指导和协调的职能</w:t>
      </w:r>
      <w:r>
        <w:rPr>
          <w:rFonts w:hint="eastAsia" w:ascii="仿宋_GB2312" w:hAnsi="仿宋" w:eastAsia="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eastAsia="仿宋_GB2312"/>
          <w:sz w:val="28"/>
          <w:szCs w:val="28"/>
          <w:lang w:val="en-US" w:eastAsia="zh-CN"/>
        </w:rPr>
      </w:pPr>
      <w:r>
        <w:rPr>
          <w:rFonts w:hint="eastAsia" w:ascii="仿宋_GB2312" w:eastAsia="仿宋_GB2312"/>
          <w:sz w:val="28"/>
          <w:szCs w:val="28"/>
        </w:rPr>
        <w:t>2.部门机构设置情况</w:t>
      </w:r>
      <w:r>
        <w:rPr>
          <w:rFonts w:hint="eastAsia" w:ascii="仿宋_GB2312" w:eastAsia="仿宋_GB2312"/>
          <w:sz w:val="28"/>
          <w:szCs w:val="28"/>
          <w:lang w:val="en-US" w:eastAsia="zh-CN"/>
        </w:rPr>
        <w:t>:</w:t>
      </w:r>
      <w:r>
        <w:rPr>
          <w:rFonts w:hint="eastAsia" w:ascii="仿宋_GB2312" w:eastAsia="仿宋_GB2312"/>
          <w:sz w:val="28"/>
          <w:szCs w:val="28"/>
        </w:rPr>
        <w:t>本部门共设</w:t>
      </w:r>
      <w:r>
        <w:rPr>
          <w:rFonts w:hint="eastAsia" w:ascii="仿宋_GB2312" w:eastAsia="仿宋_GB2312"/>
          <w:sz w:val="28"/>
          <w:szCs w:val="28"/>
          <w:lang w:val="en-US" w:eastAsia="zh-CN"/>
        </w:rPr>
        <w:t>8</w:t>
      </w:r>
      <w:r>
        <w:rPr>
          <w:rFonts w:hint="eastAsia" w:ascii="仿宋_GB2312" w:eastAsia="仿宋_GB2312"/>
          <w:sz w:val="28"/>
          <w:szCs w:val="28"/>
        </w:rPr>
        <w:t>个内设机构，</w:t>
      </w:r>
      <w:r>
        <w:rPr>
          <w:rFonts w:hint="eastAsia" w:ascii="仿宋_GB2312" w:eastAsia="仿宋_GB2312"/>
          <w:sz w:val="28"/>
          <w:szCs w:val="28"/>
          <w:lang w:eastAsia="zh-CN"/>
        </w:rPr>
        <w:t>分别为党群工作办公室、综合办公室、城市管理办公室、平安建设办公室、社区建设办公室、民生保障办公室、监察组、综合行政执法队，</w:t>
      </w:r>
      <w:r>
        <w:rPr>
          <w:rFonts w:hint="eastAsia" w:ascii="仿宋_GB2312" w:eastAsia="仿宋_GB2312"/>
          <w:sz w:val="28"/>
          <w:szCs w:val="28"/>
        </w:rPr>
        <w:t>下设</w:t>
      </w:r>
      <w:r>
        <w:rPr>
          <w:rFonts w:hint="eastAsia" w:ascii="仿宋_GB2312" w:eastAsia="仿宋_GB2312"/>
          <w:sz w:val="28"/>
          <w:szCs w:val="28"/>
          <w:lang w:val="en-US" w:eastAsia="zh-CN"/>
        </w:rPr>
        <w:t>3</w:t>
      </w:r>
      <w:r>
        <w:rPr>
          <w:rFonts w:hint="eastAsia" w:ascii="仿宋_GB2312" w:eastAsia="仿宋_GB2312"/>
          <w:sz w:val="28"/>
          <w:szCs w:val="28"/>
        </w:rPr>
        <w:t>个事业单位</w:t>
      </w:r>
      <w:r>
        <w:rPr>
          <w:rFonts w:hint="eastAsia" w:ascii="仿宋_GB2312" w:eastAsia="仿宋_GB2312"/>
          <w:sz w:val="28"/>
          <w:szCs w:val="28"/>
          <w:lang w:eastAsia="zh-CN"/>
        </w:rPr>
        <w:t>，分别是市民诉求处置中心、便民服务中心、党群活动中心。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rPr>
        <w:t>3.2025年主要工作任务</w:t>
      </w:r>
      <w:r>
        <w:rPr>
          <w:rFonts w:hint="eastAsia" w:ascii="仿宋_GB2312" w:eastAsia="仿宋_GB2312"/>
          <w:sz w:val="28"/>
          <w:szCs w:val="28"/>
          <w:lang w:eastAsia="zh-CN"/>
        </w:rPr>
        <w:t>：</w:t>
      </w:r>
    </w:p>
    <w:bookmarkEnd w:id="1"/>
    <w:p>
      <w:pPr>
        <w:pStyle w:val="6"/>
        <w:keepNext w:val="0"/>
        <w:keepLines w:val="0"/>
        <w:pageBreakBefore w:val="0"/>
        <w:widowControl/>
        <w:numPr>
          <w:ilvl w:val="0"/>
          <w:numId w:val="4"/>
        </w:numPr>
        <w:kinsoku/>
        <w:wordWrap/>
        <w:overflowPunct/>
        <w:topLinePunct w:val="0"/>
        <w:autoSpaceDE/>
        <w:autoSpaceDN/>
        <w:bidi w:val="0"/>
        <w:adjustRightInd/>
        <w:snapToGrid/>
        <w:spacing w:line="240" w:lineRule="auto"/>
        <w:ind w:firstLine="560" w:firstLineChars="200"/>
        <w:jc w:val="both"/>
        <w:textAlignment w:val="auto"/>
        <w:outlineLvl w:val="9"/>
        <w:rPr>
          <w:rFonts w:hint="eastAsia" w:ascii="仿宋_GB2312" w:hAnsi="仿宋_GB2312" w:eastAsia="仿宋_GB2312" w:cs="仿宋_GB2312"/>
          <w:b w:val="0"/>
          <w:bCs w:val="0"/>
          <w:color w:val="auto"/>
          <w:kern w:val="2"/>
          <w:sz w:val="28"/>
          <w:szCs w:val="28"/>
          <w:lang w:val="en-US" w:eastAsia="zh-CN" w:bidi="ar-SA"/>
        </w:rPr>
      </w:pPr>
      <w:bookmarkStart w:id="4" w:name="OLE_LINK3"/>
      <w:bookmarkStart w:id="5" w:name="_Toc268005759"/>
      <w:r>
        <w:rPr>
          <w:rFonts w:hint="eastAsia" w:ascii="仿宋_GB2312" w:hAnsi="仿宋_GB2312" w:eastAsia="仿宋_GB2312" w:cs="仿宋_GB2312"/>
          <w:b w:val="0"/>
          <w:bCs w:val="0"/>
          <w:color w:val="auto"/>
          <w:sz w:val="28"/>
          <w:szCs w:val="28"/>
          <w:lang w:val="en-US" w:eastAsia="zh-CN"/>
        </w:rPr>
        <w:t>党建引领固福地之根，以精细治理绘就安居图景。</w:t>
      </w:r>
      <w:r>
        <w:rPr>
          <w:rFonts w:hint="eastAsia" w:ascii="仿宋_GB2312" w:hAnsi="仿宋_GB2312" w:eastAsia="仿宋_GB2312" w:cs="仿宋_GB2312"/>
          <w:b w:val="0"/>
          <w:bCs w:val="0"/>
          <w:color w:val="auto"/>
          <w:kern w:val="2"/>
          <w:sz w:val="28"/>
          <w:szCs w:val="28"/>
          <w:lang w:val="en-US" w:eastAsia="zh-CN" w:bidi="ar-SA"/>
        </w:rPr>
        <w:t>一是深学思想铸魂把牢政治方向。围绕深入贯彻中央八项规定精神学习教育，建立领导带头示范学、多维赋能系统学、创新载体深入学“三维”学习体系，组织专题学习6次，举办读书班研讨2次；将意识形态工作纳入学习通报内容，分析研判意识形态工作5次，精准识别意识形态领域苗头性、倾向性问题，</w:t>
      </w:r>
      <w:r>
        <w:rPr>
          <w:rFonts w:hint="eastAsia" w:ascii="仿宋_GB2312" w:hAnsi="仿宋_GB2312" w:eastAsia="仿宋_GB2312" w:cs="仿宋_GB2312"/>
          <w:b w:val="0"/>
          <w:bCs w:val="0"/>
          <w:color w:val="auto"/>
          <w:kern w:val="2"/>
          <w:sz w:val="28"/>
          <w:szCs w:val="28"/>
          <w:highlight w:val="none"/>
          <w:lang w:val="en-US" w:eastAsia="zh-CN" w:bidi="ar-SA"/>
        </w:rPr>
        <w:t>切实维护意识形态安全。</w:t>
      </w:r>
      <w:r>
        <w:rPr>
          <w:rFonts w:hint="eastAsia" w:ascii="仿宋_GB2312" w:hAnsi="仿宋_GB2312" w:eastAsia="仿宋_GB2312" w:cs="仿宋_GB2312"/>
          <w:b w:val="0"/>
          <w:bCs w:val="0"/>
          <w:color w:val="auto"/>
          <w:kern w:val="2"/>
          <w:sz w:val="28"/>
          <w:szCs w:val="28"/>
          <w:lang w:val="en-US" w:eastAsia="zh-CN" w:bidi="ar-SA"/>
        </w:rPr>
        <w:t>二是精耕治理赋能筑牢安居根基。</w:t>
      </w:r>
      <w:bookmarkEnd w:id="4"/>
      <w:r>
        <w:rPr>
          <w:rFonts w:hint="eastAsia" w:ascii="仿宋_GB2312" w:hAnsi="仿宋_GB2312" w:eastAsia="仿宋_GB2312" w:cs="仿宋_GB2312"/>
          <w:b w:val="0"/>
          <w:bCs w:val="0"/>
          <w:color w:val="auto"/>
          <w:kern w:val="2"/>
          <w:sz w:val="28"/>
          <w:szCs w:val="28"/>
          <w:lang w:val="en-US" w:eastAsia="zh-CN" w:bidi="ar-SA"/>
        </w:rPr>
        <w:t>依托“三听三问”工作法，征集“三事”诉求，运用“三事分流”解决群众所需和急难愁盼。学习教育以来，解决公事7件，共事52件，家事43 件；对社区闲置资源进行提升改造，布建20处安居党群服务小站，聚焦四项核心功能，提供“5+X”特色项目，延伸拓展“8小时以外”为民服务；探索打造“城事聊聊吧”全龄议事品牌，推动全龄议事协商持续深化。三是靶向揭榜破题直击民生痛点。圆满完成机关第二批“揭榜”破难题·“墩苗”砺成长行动，对4个问题攻坚榜单和3个场景治理榜单精准破题，运用“三事分流”机制推进社区、物业的“揭榜挂帅”，激励物业企业、社区工作者、辖区“能人”等多元群体主动揭榜，推动房屋漏雨、电动自行车治等一系列“痛点”“难点”问题的解决，接诉即办管理类诉求量同比下降34.6%。启动第三批“揭榜赋能微改革·AI智引安居城行动”，以“AI+”半开放式榜单形式，推动基层工作提质减负增效。四是织密网格管理打造治理样板。构建统一“网格治理”一张图，优化调整住宅网格194个，道路网格105个，其他网格178个，实现管理全覆盖、责任无盲区；完成龙门三区、龙门六区、西七社区“微更新微治理”项目，市场街社区“乐龄幸福”、龙门四区“全龄友好邻里圈”幸福社区提质项目。五是夯实组织保障完善机制支撑。</w:t>
      </w:r>
      <w:r>
        <w:rPr>
          <w:rFonts w:hint="eastAsia" w:ascii="仿宋_GB2312" w:hAnsi="仿宋_GB2312" w:eastAsia="仿宋_GB2312" w:cs="仿宋_GB2312"/>
          <w:b w:val="0"/>
          <w:bCs w:val="0"/>
          <w:color w:val="auto"/>
          <w:sz w:val="28"/>
          <w:szCs w:val="28"/>
          <w:lang w:val="en-US" w:eastAsia="zh-CN"/>
        </w:rPr>
        <w:t>打好换届选举工作“提前量”，开展“两委”换届推演，动态研判选情形势，一对一动态管理，选优配强社区领导班子，确保平稳、有序、高质量完成社区“两委”换届工作；圆满完成全国1%人口抽样调查工和</w:t>
      </w:r>
      <w:r>
        <w:rPr>
          <w:rFonts w:hint="eastAsia" w:ascii="仿宋_GB2312" w:hAnsi="仿宋_GB2312" w:eastAsia="仿宋_GB2312" w:cs="仿宋_GB2312"/>
          <w:b w:val="0"/>
          <w:bCs w:val="0"/>
          <w:color w:val="auto"/>
          <w:kern w:val="2"/>
          <w:sz w:val="28"/>
          <w:szCs w:val="28"/>
          <w:lang w:val="en-US" w:eastAsia="zh-CN" w:bidi="ar-SA"/>
        </w:rPr>
        <w:t>信息化专项审计、主要领导</w:t>
      </w:r>
      <w:r>
        <w:rPr>
          <w:rFonts w:hint="eastAsia" w:ascii="仿宋_GB2312" w:hAnsi="仿宋_GB2312" w:eastAsia="仿宋_GB2312" w:cs="仿宋_GB2312"/>
          <w:b w:val="0"/>
          <w:bCs w:val="0"/>
          <w:color w:val="auto"/>
          <w:sz w:val="28"/>
          <w:szCs w:val="28"/>
          <w:lang w:val="en-US" w:eastAsia="zh-CN"/>
        </w:rPr>
        <w:t>经济责任</w:t>
      </w:r>
      <w:r>
        <w:rPr>
          <w:rFonts w:hint="eastAsia" w:ascii="仿宋_GB2312" w:hAnsi="仿宋_GB2312" w:eastAsia="仿宋_GB2312" w:cs="仿宋_GB2312"/>
          <w:b w:val="0"/>
          <w:bCs w:val="0"/>
          <w:color w:val="auto"/>
          <w:sz w:val="28"/>
          <w:szCs w:val="28"/>
        </w:rPr>
        <w:t>审计</w:t>
      </w:r>
      <w:r>
        <w:rPr>
          <w:rFonts w:hint="eastAsia" w:ascii="仿宋_GB2312" w:hAnsi="仿宋_GB2312" w:eastAsia="仿宋_GB2312" w:cs="仿宋_GB2312"/>
          <w:b w:val="0"/>
          <w:bCs w:val="0"/>
          <w:color w:val="auto"/>
          <w:sz w:val="28"/>
          <w:szCs w:val="28"/>
          <w:lang w:eastAsia="zh-CN"/>
        </w:rPr>
        <w:t>工作，健全内部控制</w:t>
      </w:r>
      <w:r>
        <w:rPr>
          <w:rFonts w:hint="eastAsia" w:ascii="仿宋_GB2312" w:hAnsi="仿宋_GB2312" w:eastAsia="仿宋_GB2312" w:cs="仿宋_GB2312"/>
          <w:b w:val="0"/>
          <w:bCs w:val="0"/>
          <w:color w:val="auto"/>
          <w:sz w:val="28"/>
          <w:szCs w:val="28"/>
          <w:lang w:val="en-US" w:eastAsia="zh-CN"/>
        </w:rPr>
        <w:t>和统计监督</w:t>
      </w:r>
      <w:r>
        <w:rPr>
          <w:rFonts w:hint="eastAsia" w:ascii="仿宋_GB2312" w:hAnsi="仿宋_GB2312" w:eastAsia="仿宋_GB2312" w:cs="仿宋_GB2312"/>
          <w:b w:val="0"/>
          <w:bCs w:val="0"/>
          <w:color w:val="auto"/>
          <w:sz w:val="28"/>
          <w:szCs w:val="28"/>
          <w:lang w:eastAsia="zh-CN"/>
        </w:rPr>
        <w:t>体系，筑牢管理“防火墙”。</w:t>
      </w:r>
    </w:p>
    <w:p>
      <w:pPr>
        <w:pStyle w:val="6"/>
        <w:keepNext w:val="0"/>
        <w:keepLines w:val="0"/>
        <w:pageBreakBefore w:val="0"/>
        <w:numPr>
          <w:ilvl w:val="0"/>
          <w:numId w:val="4"/>
        </w:numPr>
        <w:kinsoku/>
        <w:wordWrap/>
        <w:overflowPunct/>
        <w:topLinePunct w:val="0"/>
        <w:autoSpaceDE/>
        <w:autoSpaceDN/>
        <w:bidi w:val="0"/>
        <w:adjustRightInd/>
        <w:snapToGrid/>
        <w:spacing w:line="240" w:lineRule="auto"/>
        <w:ind w:left="0" w:leftChars="0" w:firstLine="560" w:firstLineChars="200"/>
        <w:jc w:val="both"/>
        <w:textAlignment w:val="auto"/>
        <w:rPr>
          <w:rFonts w:hint="eastAsia" w:ascii="仿宋_GB2312" w:hAnsi="仿宋_GB2312" w:eastAsia="仿宋_GB2312" w:cs="仿宋_GB2312"/>
          <w:b w:val="0"/>
          <w:bCs w:val="0"/>
          <w:color w:val="auto"/>
          <w:kern w:val="2"/>
          <w:sz w:val="28"/>
          <w:szCs w:val="28"/>
          <w:highlight w:val="none"/>
          <w:lang w:val="en-US" w:eastAsia="zh-CN" w:bidi="ar-SA"/>
        </w:rPr>
      </w:pPr>
      <w:bookmarkStart w:id="6" w:name="OLE_LINK2"/>
      <w:r>
        <w:rPr>
          <w:rFonts w:hint="eastAsia" w:ascii="仿宋_GB2312" w:hAnsi="仿宋_GB2312" w:eastAsia="仿宋_GB2312" w:cs="仿宋_GB2312"/>
          <w:b w:val="0"/>
          <w:bCs w:val="0"/>
          <w:color w:val="auto"/>
          <w:sz w:val="28"/>
          <w:szCs w:val="28"/>
          <w:lang w:val="en-US" w:eastAsia="zh-CN"/>
        </w:rPr>
        <w:t>品质提升筑福地之基，</w:t>
      </w:r>
      <w:r>
        <w:rPr>
          <w:rFonts w:hint="eastAsia" w:ascii="仿宋_GB2312" w:hAnsi="仿宋_GB2312" w:eastAsia="仿宋_GB2312" w:cs="仿宋_GB2312"/>
          <w:b w:val="0"/>
          <w:bCs w:val="0"/>
          <w:color w:val="auto"/>
          <w:kern w:val="2"/>
          <w:sz w:val="28"/>
          <w:szCs w:val="28"/>
          <w:lang w:val="en-US" w:eastAsia="zh-CN" w:bidi="ar-SA"/>
        </w:rPr>
        <w:t>以花园式街区建设擦亮精品城市名片。</w:t>
      </w:r>
      <w:r>
        <w:rPr>
          <w:rFonts w:hint="eastAsia" w:ascii="仿宋_GB2312" w:hAnsi="仿宋_GB2312" w:eastAsia="仿宋_GB2312" w:cs="仿宋_GB2312"/>
          <w:b w:val="0"/>
          <w:bCs w:val="0"/>
          <w:color w:val="auto"/>
          <w:sz w:val="28"/>
          <w:szCs w:val="28"/>
          <w:highlight w:val="none"/>
          <w:lang w:val="en-US" w:eastAsia="zh-CN"/>
        </w:rPr>
        <w:t>一是以规划为引领，绘就精品城市发展蓝图。</w:t>
      </w:r>
      <w:r>
        <w:rPr>
          <w:rStyle w:val="24"/>
          <w:rFonts w:hint="eastAsia" w:ascii="仿宋_GB2312" w:hAnsi="仿宋_GB2312" w:eastAsia="仿宋_GB2312" w:cs="仿宋_GB2312"/>
          <w:b w:val="0"/>
          <w:bCs w:val="0"/>
          <w:color w:val="auto"/>
          <w:kern w:val="0"/>
          <w:sz w:val="28"/>
          <w:szCs w:val="28"/>
          <w:highlight w:val="none"/>
        </w:rPr>
        <w:t>在</w:t>
      </w:r>
      <w:r>
        <w:rPr>
          <w:rFonts w:hint="eastAsia" w:ascii="仿宋_GB2312" w:hAnsi="仿宋_GB2312" w:eastAsia="仿宋_GB2312" w:cs="仿宋_GB2312"/>
          <w:b w:val="0"/>
          <w:bCs w:val="0"/>
          <w:color w:val="auto"/>
          <w:sz w:val="28"/>
          <w:szCs w:val="28"/>
          <w:highlight w:val="none"/>
          <w:lang w:val="en-US" w:eastAsia="zh-CN"/>
        </w:rPr>
        <w:t>和平街</w:t>
      </w:r>
      <w:r>
        <w:rPr>
          <w:rStyle w:val="24"/>
          <w:rFonts w:hint="eastAsia" w:ascii="仿宋_GB2312" w:hAnsi="仿宋_GB2312" w:eastAsia="仿宋_GB2312" w:cs="仿宋_GB2312"/>
          <w:b w:val="0"/>
          <w:bCs w:val="0"/>
          <w:color w:val="auto"/>
          <w:kern w:val="0"/>
          <w:sz w:val="28"/>
          <w:szCs w:val="28"/>
          <w:highlight w:val="none"/>
        </w:rPr>
        <w:t>内外圈建设成果的基础上，持续做好和平街周边绿地植被优化养护，投入1000万谋划推进服务人口提升项目、和平西街周边城市家具提升项目及广场社区社区背街小巷项目落地实施</w:t>
      </w:r>
      <w:r>
        <w:rPr>
          <w:rFonts w:hint="eastAsia" w:ascii="仿宋_GB2312" w:hAnsi="仿宋_GB2312" w:eastAsia="仿宋_GB2312" w:cs="仿宋_GB2312"/>
          <w:b w:val="0"/>
          <w:bCs w:val="0"/>
          <w:color w:val="auto"/>
          <w:sz w:val="28"/>
          <w:szCs w:val="28"/>
          <w:highlight w:val="none"/>
          <w:lang w:val="en-US" w:eastAsia="zh-CN"/>
        </w:rPr>
        <w:t>；持续推动龙门地区花园式街区建设，目前已完成项目情况踏勘和项目方案设计，通过</w:t>
      </w:r>
      <w:r>
        <w:rPr>
          <w:rStyle w:val="24"/>
          <w:rFonts w:hint="eastAsia" w:ascii="仿宋_GB2312" w:hAnsi="仿宋_GB2312" w:eastAsia="仿宋_GB2312" w:cs="仿宋_GB2312"/>
          <w:b w:val="0"/>
          <w:bCs w:val="0"/>
          <w:color w:val="auto"/>
          <w:kern w:val="0"/>
          <w:sz w:val="28"/>
          <w:szCs w:val="28"/>
          <w:highlight w:val="none"/>
        </w:rPr>
        <w:t>完善提升配套设施、建设多样的京西福地打卡点，打造街道级花园式示范街区。</w:t>
      </w:r>
      <w:r>
        <w:rPr>
          <w:rFonts w:hint="eastAsia" w:ascii="仿宋_GB2312" w:hAnsi="仿宋_GB2312" w:eastAsia="仿宋_GB2312" w:cs="仿宋_GB2312"/>
          <w:b w:val="0"/>
          <w:bCs w:val="0"/>
          <w:color w:val="auto"/>
          <w:sz w:val="28"/>
          <w:szCs w:val="28"/>
          <w:highlight w:val="none"/>
          <w:lang w:val="en-US" w:eastAsia="zh-CN"/>
        </w:rPr>
        <w:t>二是以项目为抓手，提升城市生活品质。聚焦居民所需所盼，高标准完成</w:t>
      </w:r>
      <w:r>
        <w:rPr>
          <w:rStyle w:val="24"/>
          <w:rFonts w:hint="eastAsia" w:ascii="仿宋_GB2312" w:hAnsi="仿宋_GB2312" w:eastAsia="仿宋_GB2312" w:cs="仿宋_GB2312"/>
          <w:b w:val="0"/>
          <w:bCs w:val="0"/>
          <w:color w:val="auto"/>
          <w:kern w:val="0"/>
          <w:sz w:val="28"/>
          <w:szCs w:val="28"/>
          <w:highlight w:val="none"/>
        </w:rPr>
        <w:t>东龙门沟沟底修缮项目、街道47栋老旧小区改造项目（三期）等12项惠民重点工程项目建设；</w:t>
      </w:r>
      <w:r>
        <w:rPr>
          <w:rFonts w:hint="eastAsia" w:ascii="仿宋_GB2312" w:hAnsi="仿宋_GB2312" w:eastAsia="仿宋_GB2312" w:cs="仿宋_GB2312"/>
          <w:b w:val="0"/>
          <w:bCs w:val="0"/>
          <w:color w:val="auto"/>
          <w:sz w:val="28"/>
          <w:szCs w:val="28"/>
          <w:highlight w:val="none"/>
          <w:lang w:val="en-US" w:eastAsia="zh-CN"/>
        </w:rPr>
        <w:t>稳步推进永定河沿线环境整治提升项目（二期），</w:t>
      </w:r>
      <w:r>
        <w:rPr>
          <w:rStyle w:val="24"/>
          <w:rFonts w:hint="eastAsia" w:ascii="仿宋_GB2312" w:hAnsi="仿宋_GB2312" w:eastAsia="仿宋_GB2312" w:cs="仿宋_GB2312"/>
          <w:b w:val="0"/>
          <w:bCs w:val="0"/>
          <w:color w:val="auto"/>
          <w:kern w:val="0"/>
          <w:sz w:val="28"/>
          <w:szCs w:val="28"/>
          <w:highlight w:val="none"/>
        </w:rPr>
        <w:t>大力实施老旧小区上下水改造工程，彻底解决</w:t>
      </w:r>
      <w:r>
        <w:rPr>
          <w:rStyle w:val="24"/>
          <w:rFonts w:hint="eastAsia" w:ascii="仿宋_GB2312" w:hAnsi="仿宋_GB2312" w:eastAsia="仿宋_GB2312" w:cs="仿宋_GB2312"/>
          <w:b w:val="0"/>
          <w:bCs w:val="0"/>
          <w:color w:val="auto"/>
          <w:kern w:val="0"/>
          <w:sz w:val="28"/>
          <w:szCs w:val="28"/>
          <w:highlight w:val="none"/>
          <w:lang w:val="en-US"/>
        </w:rPr>
        <w:t>7栋楼486</w:t>
      </w:r>
      <w:r>
        <w:rPr>
          <w:rStyle w:val="24"/>
          <w:rFonts w:hint="eastAsia" w:ascii="仿宋_GB2312" w:hAnsi="仿宋_GB2312" w:eastAsia="仿宋_GB2312" w:cs="仿宋_GB2312"/>
          <w:b w:val="0"/>
          <w:bCs w:val="0"/>
          <w:color w:val="auto"/>
          <w:kern w:val="0"/>
          <w:sz w:val="28"/>
          <w:szCs w:val="28"/>
          <w:highlight w:val="none"/>
        </w:rPr>
        <w:t>户内管线跑冒滴漏顽疾</w:t>
      </w:r>
      <w:r>
        <w:rPr>
          <w:rStyle w:val="24"/>
          <w:rFonts w:hint="eastAsia" w:ascii="仿宋_GB2312" w:hAnsi="仿宋_GB2312" w:eastAsia="仿宋_GB2312" w:cs="仿宋_GB2312"/>
          <w:b w:val="0"/>
          <w:bCs w:val="0"/>
          <w:color w:val="auto"/>
          <w:kern w:val="0"/>
          <w:sz w:val="28"/>
          <w:szCs w:val="28"/>
          <w:highlight w:val="none"/>
          <w:lang w:val="en-US"/>
        </w:rPr>
        <w:t>。</w:t>
      </w:r>
      <w:r>
        <w:rPr>
          <w:rFonts w:hint="eastAsia" w:ascii="仿宋_GB2312" w:hAnsi="仿宋_GB2312" w:eastAsia="仿宋_GB2312" w:cs="仿宋_GB2312"/>
          <w:b w:val="0"/>
          <w:bCs w:val="0"/>
          <w:color w:val="auto"/>
          <w:sz w:val="28"/>
          <w:szCs w:val="28"/>
          <w:highlight w:val="none"/>
          <w:lang w:val="en-US" w:eastAsia="zh-CN"/>
        </w:rPr>
        <w:t>三是以攻坚为突破，不断补齐基础设施短板。全力攻坚三家店地区基础设施薄弱难题，完成</w:t>
      </w:r>
      <w:r>
        <w:rPr>
          <w:rStyle w:val="24"/>
          <w:rFonts w:hint="eastAsia" w:ascii="仿宋_GB2312" w:hAnsi="仿宋_GB2312" w:eastAsia="仿宋_GB2312" w:cs="仿宋_GB2312"/>
          <w:b w:val="0"/>
          <w:bCs w:val="0"/>
          <w:color w:val="auto"/>
          <w:kern w:val="0"/>
          <w:sz w:val="28"/>
          <w:szCs w:val="28"/>
          <w:highlight w:val="none"/>
        </w:rPr>
        <w:t>西宁路社区积水点位治理项目、西宁路至华新建社区管线应急疏通修缮项目等应急项目，</w:t>
      </w:r>
      <w:r>
        <w:rPr>
          <w:rStyle w:val="24"/>
          <w:rFonts w:hint="eastAsia" w:ascii="仿宋_GB2312" w:hAnsi="仿宋_GB2312" w:eastAsia="仿宋_GB2312" w:cs="仿宋_GB2312"/>
          <w:b w:val="0"/>
          <w:bCs w:val="0"/>
          <w:color w:val="auto"/>
          <w:kern w:val="0"/>
          <w:sz w:val="28"/>
          <w:szCs w:val="28"/>
          <w:highlight w:val="none"/>
          <w:lang w:val="en-US"/>
        </w:rPr>
        <w:t>提升防汛减灾能力；</w:t>
      </w:r>
      <w:r>
        <w:rPr>
          <w:rStyle w:val="24"/>
          <w:rFonts w:hint="eastAsia" w:ascii="仿宋_GB2312" w:hAnsi="仿宋_GB2312" w:eastAsia="仿宋_GB2312" w:cs="仿宋_GB2312"/>
          <w:b w:val="0"/>
          <w:bCs w:val="0"/>
          <w:color w:val="auto"/>
          <w:kern w:val="0"/>
          <w:sz w:val="28"/>
          <w:szCs w:val="28"/>
          <w:highlight w:val="none"/>
        </w:rPr>
        <w:t>全力推进三家店地区</w:t>
      </w:r>
      <w:r>
        <w:rPr>
          <w:rStyle w:val="24"/>
          <w:rFonts w:hint="eastAsia" w:ascii="仿宋_GB2312" w:hAnsi="仿宋_GB2312" w:eastAsia="仿宋_GB2312" w:cs="仿宋_GB2312"/>
          <w:b w:val="0"/>
          <w:bCs w:val="0"/>
          <w:color w:val="auto"/>
          <w:kern w:val="0"/>
          <w:sz w:val="28"/>
          <w:szCs w:val="28"/>
          <w:highlight w:val="none"/>
          <w:lang w:val="en-US"/>
        </w:rPr>
        <w:t>1770</w:t>
      </w:r>
      <w:r>
        <w:rPr>
          <w:rStyle w:val="24"/>
          <w:rFonts w:hint="eastAsia" w:ascii="仿宋_GB2312" w:hAnsi="仿宋_GB2312" w:eastAsia="仿宋_GB2312" w:cs="仿宋_GB2312"/>
          <w:b w:val="0"/>
          <w:bCs w:val="0"/>
          <w:color w:val="auto"/>
          <w:kern w:val="0"/>
          <w:sz w:val="28"/>
          <w:szCs w:val="28"/>
          <w:highlight w:val="none"/>
        </w:rPr>
        <w:t>户煤改电和</w:t>
      </w:r>
      <w:r>
        <w:rPr>
          <w:rStyle w:val="24"/>
          <w:rFonts w:hint="eastAsia" w:ascii="仿宋_GB2312" w:hAnsi="仿宋_GB2312" w:eastAsia="仿宋_GB2312" w:cs="仿宋_GB2312"/>
          <w:b w:val="0"/>
          <w:bCs w:val="0"/>
          <w:color w:val="auto"/>
          <w:kern w:val="0"/>
          <w:sz w:val="28"/>
          <w:szCs w:val="28"/>
          <w:highlight w:val="none"/>
          <w:lang w:val="en-US"/>
        </w:rPr>
        <w:t>1874户燃气入户工程，目前煤改电</w:t>
      </w:r>
      <w:r>
        <w:rPr>
          <w:rStyle w:val="24"/>
          <w:rFonts w:hint="eastAsia" w:ascii="仿宋_GB2312" w:hAnsi="仿宋_GB2312" w:eastAsia="仿宋_GB2312" w:cs="仿宋_GB2312"/>
          <w:b w:val="0"/>
          <w:bCs w:val="0"/>
          <w:color w:val="auto"/>
          <w:kern w:val="0"/>
          <w:sz w:val="28"/>
          <w:szCs w:val="28"/>
          <w:highlight w:val="none"/>
        </w:rPr>
        <w:t>已全部完成，实现应装尽装。燃气入户正在进行主管线铺设工作，计划年内完成户内改造工作。</w:t>
      </w:r>
      <w:r>
        <w:rPr>
          <w:rFonts w:hint="eastAsia" w:ascii="仿宋_GB2312" w:hAnsi="仿宋_GB2312" w:eastAsia="仿宋_GB2312" w:cs="仿宋_GB2312"/>
          <w:b w:val="0"/>
          <w:bCs w:val="0"/>
          <w:color w:val="auto"/>
          <w:sz w:val="28"/>
          <w:szCs w:val="28"/>
          <w:highlight w:val="none"/>
          <w:lang w:val="en-US" w:eastAsia="zh-CN"/>
        </w:rPr>
        <w:t>四是以整治为路径，深化人居环境提升。持续开展环境整治，累计处理市区两级、自查自改等各类环境台账2000余处，组织两级河长巡河1612人次、3458公里，解决河道问题36处，完成5个小区可回收物体系试点民生实事项目，处置大气治理平台报警87次，目前空气质量及排名均优于去年同期。</w:t>
      </w:r>
      <w:r>
        <w:rPr>
          <w:rStyle w:val="24"/>
          <w:rFonts w:hint="eastAsia" w:ascii="仿宋_GB2312" w:hAnsi="仿宋_GB2312" w:eastAsia="仿宋_GB2312" w:cs="仿宋_GB2312"/>
          <w:b w:val="0"/>
          <w:bCs w:val="0"/>
          <w:color w:val="auto"/>
          <w:kern w:val="0"/>
          <w:sz w:val="28"/>
          <w:szCs w:val="28"/>
          <w:lang w:val="en-US" w:eastAsia="zh-CN"/>
        </w:rPr>
        <w:t>完成福康路等12条市政道路移交执法工作，对辖区交界地带开展联合执法10余次</w:t>
      </w:r>
      <w:r>
        <w:rPr>
          <w:rFonts w:hint="eastAsia" w:ascii="仿宋_GB2312" w:hAnsi="仿宋_GB2312" w:eastAsia="仿宋_GB2312" w:cs="仿宋_GB2312"/>
          <w:b w:val="0"/>
          <w:bCs w:val="0"/>
          <w:color w:val="auto"/>
          <w:sz w:val="28"/>
          <w:szCs w:val="28"/>
          <w:lang w:val="en-US" w:eastAsia="zh-CN"/>
        </w:rPr>
        <w:t>，聚焦游商聚集区、工地周边等关键点位实现摄像头7×24小时不间断自动巡护，有效扫除管理盲区。</w:t>
      </w:r>
    </w:p>
    <w:p>
      <w:pPr>
        <w:pStyle w:val="6"/>
        <w:keepNext w:val="0"/>
        <w:keepLines w:val="0"/>
        <w:pageBreakBefore w:val="0"/>
        <w:numPr>
          <w:ilvl w:val="0"/>
          <w:numId w:val="0"/>
        </w:numPr>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lang w:val="en-US" w:eastAsia="zh-CN" w:bidi="ar-SA"/>
        </w:rPr>
        <w:t>（三）厚植文化底蕴·为文化之福聚福—以精神滋养凝聚共建合力。</w:t>
      </w:r>
      <w:bookmarkStart w:id="7" w:name="OLE_LINK4"/>
      <w:r>
        <w:rPr>
          <w:rFonts w:hint="eastAsia" w:ascii="仿宋_GB2312" w:hAnsi="仿宋_GB2312" w:eastAsia="仿宋_GB2312" w:cs="仿宋_GB2312"/>
          <w:b w:val="0"/>
          <w:bCs w:val="0"/>
          <w:color w:val="auto"/>
          <w:kern w:val="2"/>
          <w:sz w:val="28"/>
          <w:szCs w:val="28"/>
          <w:lang w:val="en-US" w:eastAsia="zh-CN" w:bidi="ar-SA"/>
        </w:rPr>
        <w:t>一是点亮街巷精神新地标。</w:t>
      </w:r>
      <w:r>
        <w:rPr>
          <w:rFonts w:hint="eastAsia" w:ascii="仿宋_GB2312" w:hAnsi="仿宋_GB2312" w:eastAsia="仿宋_GB2312" w:cs="仿宋_GB2312"/>
          <w:b w:val="0"/>
          <w:bCs w:val="0"/>
          <w:color w:val="auto"/>
          <w:kern w:val="2"/>
          <w:sz w:val="28"/>
          <w:szCs w:val="28"/>
          <w:highlight w:val="none"/>
          <w:lang w:val="en-US" w:eastAsia="zh-CN" w:bidi="ar-SA"/>
        </w:rPr>
        <w:t>完成龙门新区7个老旧电箱艺术改造，在健康街绘制年代主题壁画，匠心打造“时光走廊”文化景观带，让老旧小区变身“露天美术馆”。以橱窗之景，传城子魅力，精心打造“忆峥嵘岁月 追小‘城’梦想”文化宣传长廊，按照“一月一主题”原则，定期更新橱窗内容，截至目前累计制作主题板报27块、专题展览9期。二是凝聚共建文明向心力。实施“比学赶超”擂台赛系统台账精细化清单管理，</w:t>
      </w:r>
      <w:bookmarkStart w:id="8" w:name="OLE_LINK10"/>
      <w:r>
        <w:rPr>
          <w:rFonts w:hint="eastAsia" w:ascii="仿宋_GB2312" w:hAnsi="仿宋_GB2312" w:eastAsia="仿宋_GB2312" w:cs="仿宋_GB2312"/>
          <w:b w:val="0"/>
          <w:bCs w:val="0"/>
          <w:color w:val="auto"/>
          <w:kern w:val="2"/>
          <w:sz w:val="28"/>
          <w:szCs w:val="28"/>
          <w:highlight w:val="none"/>
          <w:lang w:val="en-US" w:eastAsia="zh-CN" w:bidi="ar-SA"/>
        </w:rPr>
        <w:t>全年共产生台账</w:t>
      </w:r>
      <w:r>
        <w:rPr>
          <w:rFonts w:hint="eastAsia" w:ascii="仿宋_GB2312" w:hAnsi="仿宋_GB2312" w:eastAsia="仿宋_GB2312" w:cs="仿宋_GB2312"/>
          <w:b w:val="0"/>
          <w:bCs w:val="0"/>
          <w:color w:val="auto"/>
          <w:sz w:val="28"/>
          <w:szCs w:val="28"/>
          <w:highlight w:val="none"/>
          <w:lang w:val="en-US" w:eastAsia="zh-CN"/>
        </w:rPr>
        <w:t>7974</w:t>
      </w:r>
      <w:r>
        <w:rPr>
          <w:rFonts w:hint="eastAsia" w:ascii="仿宋_GB2312" w:hAnsi="仿宋_GB2312" w:eastAsia="仿宋_GB2312" w:cs="仿宋_GB2312"/>
          <w:b w:val="0"/>
          <w:bCs w:val="0"/>
          <w:color w:val="auto"/>
          <w:kern w:val="2"/>
          <w:sz w:val="28"/>
          <w:szCs w:val="28"/>
          <w:highlight w:val="none"/>
          <w:lang w:val="en-US" w:eastAsia="zh-CN" w:bidi="ar-SA"/>
        </w:rPr>
        <w:t>个，综合整改率达</w:t>
      </w:r>
      <w:r>
        <w:rPr>
          <w:rFonts w:hint="eastAsia" w:ascii="仿宋_GB2312" w:hAnsi="仿宋_GB2312" w:eastAsia="仿宋_GB2312" w:cs="仿宋_GB2312"/>
          <w:b w:val="0"/>
          <w:bCs w:val="0"/>
          <w:color w:val="auto"/>
          <w:sz w:val="28"/>
          <w:szCs w:val="28"/>
          <w:highlight w:val="none"/>
          <w:lang w:val="en-US" w:eastAsia="zh-CN"/>
        </w:rPr>
        <w:t>93.8</w:t>
      </w:r>
      <w:r>
        <w:rPr>
          <w:rFonts w:hint="eastAsia" w:ascii="仿宋_GB2312" w:hAnsi="仿宋_GB2312" w:eastAsia="仿宋_GB2312" w:cs="仿宋_GB2312"/>
          <w:b w:val="0"/>
          <w:bCs w:val="0"/>
          <w:color w:val="auto"/>
          <w:kern w:val="2"/>
          <w:sz w:val="28"/>
          <w:szCs w:val="28"/>
          <w:highlight w:val="none"/>
          <w:lang w:val="en-US" w:eastAsia="zh-CN" w:bidi="ar-SA"/>
        </w:rPr>
        <w:t>%。</w:t>
      </w:r>
      <w:r>
        <w:rPr>
          <w:rFonts w:hint="eastAsia" w:ascii="仿宋_GB2312" w:hAnsi="仿宋_GB2312" w:eastAsia="仿宋_GB2312" w:cs="仿宋_GB2312"/>
          <w:b w:val="0"/>
          <w:bCs w:val="0"/>
          <w:color w:val="auto"/>
          <w:sz w:val="28"/>
          <w:szCs w:val="28"/>
        </w:rPr>
        <w:t>开展“领航星期五”系列志愿服务活动3</w:t>
      </w:r>
      <w:r>
        <w:rPr>
          <w:rFonts w:hint="eastAsia" w:ascii="仿宋_GB2312" w:hAnsi="仿宋_GB2312" w:eastAsia="仿宋_GB2312" w:cs="仿宋_GB2312"/>
          <w:b w:val="0"/>
          <w:bCs w:val="0"/>
          <w:color w:val="auto"/>
          <w:sz w:val="28"/>
          <w:szCs w:val="28"/>
          <w:lang w:val="en-US" w:eastAsia="zh-CN"/>
        </w:rPr>
        <w:t>7</w:t>
      </w:r>
      <w:r>
        <w:rPr>
          <w:rFonts w:hint="eastAsia" w:ascii="仿宋_GB2312" w:hAnsi="仿宋_GB2312" w:eastAsia="仿宋_GB2312" w:cs="仿宋_GB2312"/>
          <w:b w:val="0"/>
          <w:bCs w:val="0"/>
          <w:color w:val="auto"/>
          <w:sz w:val="28"/>
          <w:szCs w:val="28"/>
        </w:rPr>
        <w:t>次，刊发《城子街道精神文明建设工作快报》3</w:t>
      </w:r>
      <w:r>
        <w:rPr>
          <w:rFonts w:hint="eastAsia" w:ascii="仿宋_GB2312" w:hAnsi="仿宋_GB2312" w:eastAsia="仿宋_GB2312" w:cs="仿宋_GB2312"/>
          <w:b w:val="0"/>
          <w:bCs w:val="0"/>
          <w:color w:val="auto"/>
          <w:sz w:val="28"/>
          <w:szCs w:val="28"/>
          <w:lang w:val="en-US" w:eastAsia="zh-CN"/>
        </w:rPr>
        <w:t>5</w:t>
      </w:r>
      <w:r>
        <w:rPr>
          <w:rFonts w:hint="eastAsia" w:ascii="仿宋_GB2312" w:hAnsi="仿宋_GB2312" w:eastAsia="仿宋_GB2312" w:cs="仿宋_GB2312"/>
          <w:b w:val="0"/>
          <w:bCs w:val="0"/>
          <w:color w:val="auto"/>
          <w:sz w:val="28"/>
          <w:szCs w:val="28"/>
        </w:rPr>
        <w:t>期</w:t>
      </w:r>
      <w:r>
        <w:rPr>
          <w:rFonts w:hint="eastAsia" w:ascii="仿宋_GB2312" w:hAnsi="仿宋_GB2312" w:eastAsia="仿宋_GB2312" w:cs="仿宋_GB2312"/>
          <w:b w:val="0"/>
          <w:bCs w:val="0"/>
          <w:color w:val="auto"/>
          <w:sz w:val="28"/>
          <w:szCs w:val="28"/>
          <w:lang w:eastAsia="zh-CN"/>
        </w:rPr>
        <w:t>，</w:t>
      </w:r>
      <w:r>
        <w:rPr>
          <w:rFonts w:hint="eastAsia" w:ascii="仿宋_GB2312" w:hAnsi="仿宋_GB2312" w:eastAsia="仿宋_GB2312" w:cs="仿宋_GB2312"/>
          <w:b w:val="0"/>
          <w:bCs w:val="0"/>
          <w:color w:val="auto"/>
          <w:sz w:val="28"/>
          <w:szCs w:val="28"/>
        </w:rPr>
        <w:t>开展</w:t>
      </w:r>
      <w:r>
        <w:rPr>
          <w:rFonts w:hint="eastAsia" w:ascii="仿宋_GB2312" w:hAnsi="仿宋_GB2312" w:eastAsia="仿宋_GB2312" w:cs="仿宋_GB2312"/>
          <w:b w:val="0"/>
          <w:bCs w:val="0"/>
          <w:color w:val="auto"/>
          <w:sz w:val="28"/>
          <w:szCs w:val="28"/>
          <w:lang w:eastAsia="zh-CN"/>
        </w:rPr>
        <w:t>新时代文明实践</w:t>
      </w:r>
      <w:r>
        <w:rPr>
          <w:rFonts w:hint="eastAsia" w:ascii="仿宋_GB2312" w:hAnsi="仿宋_GB2312" w:eastAsia="仿宋_GB2312" w:cs="仿宋_GB2312"/>
          <w:b w:val="0"/>
          <w:bCs w:val="0"/>
          <w:color w:val="auto"/>
          <w:sz w:val="28"/>
          <w:szCs w:val="28"/>
        </w:rPr>
        <w:t>主题推动日</w:t>
      </w:r>
      <w:r>
        <w:rPr>
          <w:rFonts w:hint="eastAsia" w:ascii="仿宋_GB2312" w:hAnsi="仿宋_GB2312" w:eastAsia="仿宋_GB2312" w:cs="仿宋_GB2312"/>
          <w:b w:val="0"/>
          <w:bCs w:val="0"/>
          <w:color w:val="auto"/>
          <w:sz w:val="28"/>
          <w:szCs w:val="28"/>
          <w:lang w:eastAsia="zh-CN"/>
        </w:rPr>
        <w:t>活动</w:t>
      </w:r>
      <w:r>
        <w:rPr>
          <w:rFonts w:hint="eastAsia" w:ascii="仿宋_GB2312" w:hAnsi="仿宋_GB2312" w:eastAsia="仿宋_GB2312" w:cs="仿宋_GB2312"/>
          <w:b w:val="0"/>
          <w:bCs w:val="0"/>
          <w:color w:val="auto"/>
          <w:sz w:val="28"/>
          <w:szCs w:val="28"/>
          <w:lang w:val="en-US" w:eastAsia="zh-CN"/>
        </w:rPr>
        <w:t>167</w:t>
      </w:r>
      <w:r>
        <w:rPr>
          <w:rFonts w:hint="eastAsia" w:ascii="仿宋_GB2312" w:hAnsi="仿宋_GB2312" w:eastAsia="仿宋_GB2312" w:cs="仿宋_GB2312"/>
          <w:b w:val="0"/>
          <w:bCs w:val="0"/>
          <w:color w:val="auto"/>
          <w:sz w:val="28"/>
          <w:szCs w:val="28"/>
        </w:rPr>
        <w:t>场</w:t>
      </w:r>
      <w:r>
        <w:rPr>
          <w:rFonts w:hint="eastAsia" w:ascii="仿宋_GB2312" w:hAnsi="仿宋_GB2312" w:eastAsia="仿宋_GB2312" w:cs="仿宋_GB2312"/>
          <w:b w:val="0"/>
          <w:bCs w:val="0"/>
          <w:color w:val="auto"/>
          <w:sz w:val="28"/>
          <w:szCs w:val="28"/>
          <w:lang w:eastAsia="zh-CN"/>
        </w:rPr>
        <w:t>，</w:t>
      </w:r>
      <w:r>
        <w:rPr>
          <w:rFonts w:hint="eastAsia" w:ascii="仿宋_GB2312" w:hAnsi="仿宋_GB2312" w:eastAsia="仿宋_GB2312" w:cs="仿宋_GB2312"/>
          <w:b w:val="0"/>
          <w:bCs w:val="0"/>
          <w:color w:val="auto"/>
          <w:sz w:val="28"/>
          <w:szCs w:val="28"/>
        </w:rPr>
        <w:t>与32家共建单位开展结对活动</w:t>
      </w:r>
      <w:r>
        <w:rPr>
          <w:rFonts w:hint="eastAsia" w:ascii="仿宋_GB2312" w:hAnsi="仿宋_GB2312" w:eastAsia="仿宋_GB2312" w:cs="仿宋_GB2312"/>
          <w:b w:val="0"/>
          <w:bCs w:val="0"/>
          <w:color w:val="auto"/>
          <w:sz w:val="28"/>
          <w:szCs w:val="28"/>
          <w:lang w:val="en-US" w:eastAsia="zh-CN"/>
        </w:rPr>
        <w:t>57</w:t>
      </w:r>
      <w:r>
        <w:rPr>
          <w:rFonts w:hint="eastAsia" w:ascii="仿宋_GB2312" w:hAnsi="仿宋_GB2312" w:eastAsia="仿宋_GB2312" w:cs="仿宋_GB2312"/>
          <w:b w:val="0"/>
          <w:bCs w:val="0"/>
          <w:color w:val="auto"/>
          <w:sz w:val="28"/>
          <w:szCs w:val="28"/>
        </w:rPr>
        <w:t>场</w:t>
      </w:r>
      <w:bookmarkEnd w:id="8"/>
      <w:r>
        <w:rPr>
          <w:rFonts w:hint="eastAsia" w:ascii="仿宋_GB2312" w:hAnsi="仿宋_GB2312" w:eastAsia="仿宋_GB2312" w:cs="仿宋_GB2312"/>
          <w:b w:val="0"/>
          <w:bCs w:val="0"/>
          <w:color w:val="auto"/>
          <w:sz w:val="28"/>
          <w:szCs w:val="28"/>
          <w:lang w:eastAsia="zh-CN"/>
        </w:rPr>
        <w:t>。三是</w:t>
      </w:r>
      <w:r>
        <w:rPr>
          <w:rFonts w:hint="eastAsia" w:ascii="仿宋_GB2312" w:hAnsi="仿宋_GB2312" w:eastAsia="仿宋_GB2312" w:cs="仿宋_GB2312"/>
          <w:b w:val="0"/>
          <w:bCs w:val="0"/>
          <w:color w:val="auto"/>
          <w:sz w:val="28"/>
          <w:szCs w:val="28"/>
          <w:lang w:val="en-US" w:eastAsia="zh-CN"/>
        </w:rPr>
        <w:t>提升文化品牌引领力。以“京西福地·文影寻秋·遇见城子”秋日创作征集活动为抓手，做好优秀作品的评选、展陈与多渠道宣传推广。</w:t>
      </w:r>
      <w:r>
        <w:rPr>
          <w:rFonts w:hint="eastAsia" w:ascii="仿宋_GB2312" w:hAnsi="仿宋_GB2312" w:eastAsia="仿宋_GB2312" w:cs="仿宋_GB2312"/>
          <w:b w:val="0"/>
          <w:bCs w:val="0"/>
          <w:color w:val="auto"/>
          <w:kern w:val="2"/>
          <w:sz w:val="28"/>
          <w:szCs w:val="28"/>
          <w:lang w:val="en-US" w:eastAsia="zh-CN" w:bidi="ar-SA"/>
        </w:rPr>
        <w:t>四是创享公共文化服务网。</w:t>
      </w:r>
      <w:bookmarkEnd w:id="6"/>
      <w:bookmarkEnd w:id="7"/>
      <w:r>
        <w:rPr>
          <w:rFonts w:hint="eastAsia" w:ascii="仿宋_GB2312" w:hAnsi="仿宋_GB2312" w:eastAsia="仿宋_GB2312" w:cs="仿宋_GB2312"/>
          <w:b w:val="0"/>
          <w:bCs w:val="0"/>
          <w:color w:val="auto"/>
          <w:kern w:val="2"/>
          <w:sz w:val="28"/>
          <w:szCs w:val="28"/>
          <w:lang w:val="en-US" w:eastAsia="zh-CN" w:bidi="ar-SA"/>
        </w:rPr>
        <w:t>聚焦公共文化服务体系示范区创建，为社区协调配送图书11000册，实现电影放映10个点位全覆盖，</w:t>
      </w:r>
      <w:r>
        <w:rPr>
          <w:rFonts w:hint="eastAsia" w:ascii="仿宋_GB2312" w:hAnsi="仿宋_GB2312" w:eastAsia="仿宋_GB2312" w:cs="仿宋_GB2312"/>
          <w:b w:val="0"/>
          <w:bCs w:val="0"/>
          <w:color w:val="auto"/>
          <w:kern w:val="2"/>
          <w:sz w:val="28"/>
          <w:szCs w:val="28"/>
          <w:highlight w:val="none"/>
          <w:lang w:val="en-US" w:eastAsia="zh-CN" w:bidi="ar-SA"/>
        </w:rPr>
        <w:t>全年</w:t>
      </w:r>
      <w:r>
        <w:rPr>
          <w:rFonts w:hint="eastAsia" w:ascii="仿宋_GB2312" w:hAnsi="仿宋_GB2312" w:eastAsia="仿宋_GB2312" w:cs="仿宋_GB2312"/>
          <w:b w:val="0"/>
          <w:bCs w:val="0"/>
          <w:color w:val="auto"/>
          <w:kern w:val="2"/>
          <w:sz w:val="28"/>
          <w:szCs w:val="28"/>
          <w:lang w:val="en-US" w:eastAsia="zh-CN" w:bidi="ar-SA"/>
        </w:rPr>
        <w:t>累计开展文化惠民活动116场，培训讲座300班次，文艺演出47场，惠及居民1.4万余人次。培育群众文</w:t>
      </w:r>
      <w:r>
        <w:rPr>
          <w:rFonts w:hint="eastAsia" w:ascii="仿宋_GB2312" w:hAnsi="仿宋_GB2312" w:eastAsia="仿宋_GB2312" w:cs="仿宋_GB2312"/>
          <w:b w:val="0"/>
          <w:bCs w:val="0"/>
          <w:color w:val="auto"/>
          <w:sz w:val="28"/>
          <w:szCs w:val="28"/>
          <w:highlight w:val="none"/>
          <w:lang w:val="en-US" w:eastAsia="zh-CN"/>
        </w:rPr>
        <w:t>艺团队8支，城子街道艺术团在区级比赛中荣获一等奖。</w:t>
      </w:r>
    </w:p>
    <w:p>
      <w:pPr>
        <w:pStyle w:val="2"/>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kern w:val="2"/>
          <w:sz w:val="28"/>
          <w:szCs w:val="28"/>
          <w:lang w:val="en-US" w:eastAsia="zh-CN" w:bidi="ar-SA"/>
        </w:rPr>
        <w:t>（四）</w:t>
      </w:r>
      <w:bookmarkStart w:id="9" w:name="OLE_LINK12"/>
      <w:bookmarkStart w:id="10" w:name="OLE_LINK5"/>
      <w:bookmarkStart w:id="11" w:name="OLE_LINK15"/>
      <w:r>
        <w:rPr>
          <w:rFonts w:hint="eastAsia" w:ascii="仿宋_GB2312" w:hAnsi="仿宋_GB2312" w:eastAsia="仿宋_GB2312" w:cs="仿宋_GB2312"/>
          <w:b w:val="0"/>
          <w:bCs w:val="0"/>
          <w:color w:val="auto"/>
          <w:sz w:val="28"/>
          <w:szCs w:val="28"/>
          <w:lang w:val="en-US" w:eastAsia="zh-CN"/>
        </w:rPr>
        <w:t>文化聚力厚福地之韵，以精神滋养凝聚共建合力。</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b w:val="0"/>
          <w:bCs w:val="0"/>
          <w:color w:val="auto"/>
          <w:kern w:val="2"/>
          <w:sz w:val="28"/>
          <w:szCs w:val="28"/>
          <w:highlight w:val="yellow"/>
          <w:lang w:val="en-US" w:eastAsia="zh-CN" w:bidi="ar-SA"/>
        </w:rPr>
      </w:pPr>
      <w:r>
        <w:rPr>
          <w:rFonts w:hint="eastAsia" w:ascii="仿宋_GB2312" w:hAnsi="仿宋_GB2312" w:eastAsia="仿宋_GB2312" w:cs="仿宋_GB2312"/>
          <w:b w:val="0"/>
          <w:bCs w:val="0"/>
          <w:color w:val="auto"/>
          <w:kern w:val="2"/>
          <w:sz w:val="28"/>
          <w:szCs w:val="28"/>
          <w:lang w:val="en-US" w:eastAsia="zh-CN" w:bidi="ar-SA"/>
        </w:rPr>
        <w:t>一是养老服务深耕细作。积极打造城子街道“1+6+N”养老服务体系，依托京铁祥园、兴合家园小区移交的养老设施用房，大力推进街道级养老服务中心建设。利用好龙门三区B9南闲置用房，积极推动打造龙门新区地区高品质养老服务驿站。7家老年餐桌顺利运营，服务覆盖辖区1.5余万老年人。为13户低保低收入家庭老年人申请居家适老化改造，为辖区独居、空巢、失能等老人提供探访关爱服务累计610余人次。统筹161.52万元社区党组织服务群众经费与社区公益金，精心策划助老服务项目260余项。二是</w:t>
      </w:r>
      <w:bookmarkEnd w:id="9"/>
      <w:bookmarkEnd w:id="10"/>
      <w:r>
        <w:rPr>
          <w:rFonts w:hint="eastAsia" w:ascii="仿宋_GB2312" w:hAnsi="仿宋_GB2312" w:eastAsia="仿宋_GB2312" w:cs="仿宋_GB2312"/>
          <w:b w:val="0"/>
          <w:bCs w:val="0"/>
          <w:color w:val="auto"/>
          <w:kern w:val="2"/>
          <w:sz w:val="28"/>
          <w:szCs w:val="28"/>
          <w:lang w:val="en-US" w:eastAsia="zh-CN" w:bidi="ar-SA"/>
        </w:rPr>
        <w:t>民生保障扎实有力。精准落实惠民政策，</w:t>
      </w:r>
      <w:bookmarkStart w:id="12" w:name="OLE_LINK13"/>
      <w:r>
        <w:rPr>
          <w:rFonts w:hint="eastAsia" w:ascii="仿宋_GB2312" w:hAnsi="仿宋_GB2312" w:eastAsia="仿宋_GB2312" w:cs="仿宋_GB2312"/>
          <w:b w:val="0"/>
          <w:bCs w:val="0"/>
          <w:color w:val="auto"/>
          <w:kern w:val="2"/>
          <w:sz w:val="28"/>
          <w:szCs w:val="28"/>
          <w:lang w:val="en-US" w:eastAsia="zh-CN" w:bidi="ar-SA"/>
        </w:rPr>
        <w:t>截至目前累计发放严重精神障碍看护补贴、残疾人保险补贴、低保金等各类保障资金800余万元。依托职康站、温馨家园开展33场助残活动，惠及620人次。</w:t>
      </w:r>
      <w:bookmarkEnd w:id="12"/>
      <w:bookmarkStart w:id="13" w:name="OLE_LINK14"/>
      <w:r>
        <w:rPr>
          <w:rFonts w:hint="eastAsia" w:ascii="仿宋_GB2312" w:hAnsi="仿宋_GB2312" w:eastAsia="仿宋_GB2312" w:cs="仿宋_GB2312"/>
          <w:b w:val="0"/>
          <w:bCs w:val="0"/>
          <w:color w:val="auto"/>
          <w:kern w:val="2"/>
          <w:sz w:val="28"/>
          <w:szCs w:val="28"/>
          <w:lang w:val="en-US" w:eastAsia="zh-CN" w:bidi="ar-SA"/>
        </w:rPr>
        <w:t>扎实落实育儿补贴政策，审核通过269件。组织开展招聘会5场，参加人数271人次，超额完成城镇登记失业人员就业率全年任务。高效解决122件农民工欠薪诉求，追讨工资230.76万元，切实维护了群众的合法权益。</w:t>
      </w:r>
      <w:bookmarkEnd w:id="13"/>
      <w:r>
        <w:rPr>
          <w:rFonts w:hint="eastAsia" w:ascii="仿宋_GB2312" w:hAnsi="仿宋_GB2312" w:eastAsia="仿宋_GB2312" w:cs="仿宋_GB2312"/>
          <w:b w:val="0"/>
          <w:bCs w:val="0"/>
          <w:color w:val="auto"/>
          <w:kern w:val="2"/>
          <w:sz w:val="28"/>
          <w:szCs w:val="28"/>
          <w:lang w:val="en-US" w:eastAsia="zh-CN" w:bidi="ar-SA"/>
        </w:rPr>
        <w:t>三是接诉即办平稳向好。</w:t>
      </w:r>
      <w:bookmarkStart w:id="14" w:name="OLE_LINK16"/>
      <w:r>
        <w:rPr>
          <w:rFonts w:hint="eastAsia" w:ascii="仿宋_GB2312" w:hAnsi="仿宋_GB2312" w:eastAsia="仿宋_GB2312" w:cs="仿宋_GB2312"/>
          <w:b w:val="0"/>
          <w:bCs w:val="0"/>
          <w:color w:val="auto"/>
          <w:kern w:val="2"/>
          <w:sz w:val="28"/>
          <w:szCs w:val="28"/>
          <w:lang w:val="en-US" w:eastAsia="zh-CN" w:bidi="ar-SA"/>
        </w:rPr>
        <w:t>全年街道承办热线诉求5606件，同比下降5.8%。</w:t>
      </w:r>
      <w:r>
        <w:rPr>
          <w:rFonts w:hint="eastAsia" w:ascii="仿宋_GB2312" w:hAnsi="仿宋_GB2312" w:eastAsia="仿宋_GB2312" w:cs="仿宋_GB2312"/>
          <w:b w:val="0"/>
          <w:bCs w:val="0"/>
          <w:color w:val="auto"/>
          <w:kern w:val="2"/>
          <w:sz w:val="28"/>
          <w:szCs w:val="28"/>
          <w:highlight w:val="none"/>
          <w:lang w:val="en-US" w:eastAsia="zh-CN" w:bidi="ar-SA"/>
        </w:rPr>
        <w:t>全年市级响应率达100%，解决率、满意率均为上升趋势，综合成绩98.38分，同比提升1.98分，获市级优秀评价8次、良好4次，区级综合评价为3次优秀、9次良好。</w:t>
      </w:r>
      <w:bookmarkEnd w:id="14"/>
      <w:r>
        <w:rPr>
          <w:rFonts w:hint="eastAsia" w:ascii="仿宋_GB2312" w:hAnsi="仿宋_GB2312" w:eastAsia="仿宋_GB2312" w:cs="仿宋_GB2312"/>
          <w:b w:val="0"/>
          <w:bCs w:val="0"/>
          <w:color w:val="auto"/>
          <w:kern w:val="2"/>
          <w:sz w:val="28"/>
          <w:szCs w:val="28"/>
          <w:lang w:val="en-US" w:eastAsia="zh-CN" w:bidi="ar-SA"/>
        </w:rPr>
        <w:t>选树基层治理典型案例</w:t>
      </w:r>
      <w:r>
        <w:rPr>
          <w:rFonts w:hint="eastAsia" w:ascii="仿宋_GB2312" w:hAnsi="仿宋_GB2312" w:eastAsia="仿宋_GB2312" w:cs="仿宋_GB2312"/>
          <w:b w:val="0"/>
          <w:bCs w:val="0"/>
          <w:color w:val="auto"/>
          <w:kern w:val="2"/>
          <w:sz w:val="28"/>
          <w:szCs w:val="28"/>
          <w:rtl w:val="0"/>
          <w:lang w:val="en-US" w:eastAsia="zh-CN" w:bidi="ar-SA"/>
        </w:rPr>
        <w:t>七棵树西街社区《“黑水”还清记》、西宁路社区《破解50年老楼的积水困局》分别在北京电视台播出，提供了可复制可推广破题路径。利用身边事资金实施修剪树木、应急疏通管道、维修地面等40个项目，小切口解决民生大问题。</w:t>
      </w:r>
      <w:bookmarkEnd w:id="11"/>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both"/>
        <w:textAlignment w:val="auto"/>
        <w:outlineLvl w:val="9"/>
        <w:rPr>
          <w:rFonts w:hint="eastAsia" w:ascii="仿宋_GB2312" w:hAnsi="仿宋_GB2312" w:eastAsia="仿宋_GB2312" w:cs="仿宋_GB2312"/>
          <w:b w:val="0"/>
          <w:bCs w:val="0"/>
          <w:color w:val="auto"/>
          <w:kern w:val="0"/>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（五）</w:t>
      </w:r>
      <w:bookmarkStart w:id="15" w:name="OLE_LINK9"/>
      <w:r>
        <w:rPr>
          <w:rFonts w:hint="eastAsia" w:ascii="仿宋_GB2312" w:hAnsi="仿宋_GB2312" w:eastAsia="仿宋_GB2312" w:cs="仿宋_GB2312"/>
          <w:b w:val="0"/>
          <w:bCs w:val="0"/>
          <w:color w:val="auto"/>
          <w:sz w:val="28"/>
          <w:szCs w:val="28"/>
          <w:lang w:val="en-US" w:eastAsia="zh-CN"/>
        </w:rPr>
        <w:t>安全护航保福地之</w:t>
      </w:r>
      <w:bookmarkEnd w:id="15"/>
      <w:r>
        <w:rPr>
          <w:rFonts w:hint="eastAsia" w:ascii="仿宋_GB2312" w:hAnsi="仿宋_GB2312" w:eastAsia="仿宋_GB2312" w:cs="仿宋_GB2312"/>
          <w:b w:val="0"/>
          <w:bCs w:val="0"/>
          <w:color w:val="auto"/>
          <w:sz w:val="28"/>
          <w:szCs w:val="28"/>
          <w:lang w:val="en-US" w:eastAsia="zh-CN"/>
        </w:rPr>
        <w:t>稳，以机制创新筑牢平安底线。</w:t>
      </w:r>
      <w:r>
        <w:rPr>
          <w:rFonts w:hint="eastAsia" w:ascii="仿宋_GB2312" w:hAnsi="仿宋_GB2312" w:eastAsia="仿宋_GB2312" w:cs="仿宋_GB2312"/>
          <w:b w:val="0"/>
          <w:bCs w:val="0"/>
          <w:color w:val="auto"/>
          <w:kern w:val="2"/>
          <w:sz w:val="28"/>
          <w:szCs w:val="28"/>
          <w:lang w:val="en-US" w:eastAsia="zh-CN" w:bidi="ar-SA"/>
        </w:rPr>
        <w:t>一是创新机制压实安全责任链。</w:t>
      </w:r>
      <w:r>
        <w:rPr>
          <w:rFonts w:hint="eastAsia" w:ascii="仿宋_GB2312" w:hAnsi="仿宋_GB2312" w:eastAsia="仿宋_GB2312" w:cs="仿宋_GB2312"/>
          <w:b w:val="0"/>
          <w:bCs w:val="0"/>
          <w:color w:val="auto"/>
          <w:kern w:val="0"/>
          <w:sz w:val="28"/>
          <w:szCs w:val="28"/>
          <w:lang w:val="en-US" w:eastAsia="zh-CN" w:bidi="ar-SA"/>
        </w:rPr>
        <w:t>推出城子“三管三必须”检查清单机制和职责指引，获得区领导的肯定并向全区推广学习。安全基础不断夯实，累计开展安全生产检查千余次，实现隐患动态清零。深刻汲取“1·11”火灾事故教训，开展社区安全隐患“大起底”工作和三家店夜查机制，</w:t>
      </w:r>
      <w:r>
        <w:rPr>
          <w:rFonts w:hint="eastAsia" w:ascii="仿宋_GB2312" w:hAnsi="仿宋_GB2312" w:eastAsia="仿宋_GB2312" w:cs="仿宋_GB2312"/>
          <w:b w:val="0"/>
          <w:bCs w:val="0"/>
          <w:color w:val="auto"/>
          <w:kern w:val="2"/>
          <w:sz w:val="28"/>
          <w:szCs w:val="28"/>
          <w:lang w:val="en-US" w:eastAsia="zh-CN" w:bidi="ar-SA"/>
        </w:rPr>
        <w:t>聚焦户内消防隐患、用电用气安全等突出问题，开展拉网式排查和入户宣传，筑牢辖区安全防线</w:t>
      </w:r>
      <w:r>
        <w:rPr>
          <w:rFonts w:hint="eastAsia" w:ascii="仿宋_GB2312" w:hAnsi="仿宋_GB2312" w:eastAsia="仿宋_GB2312" w:cs="仿宋_GB2312"/>
          <w:b w:val="0"/>
          <w:bCs w:val="0"/>
          <w:color w:val="auto"/>
          <w:kern w:val="0"/>
          <w:sz w:val="28"/>
          <w:szCs w:val="28"/>
          <w:lang w:val="en-US" w:eastAsia="zh-CN" w:bidi="ar-SA"/>
        </w:rPr>
        <w:t>。为重点人群购买382套防火四件套，超额完成区防火委的任务指标。二是强化防控织密平安防护网。顺利化解1名区级重点人李凤英下账撤管工作。坚持源头治理，</w:t>
      </w:r>
      <w:bookmarkStart w:id="16" w:name="OLE_LINK11"/>
      <w:r>
        <w:rPr>
          <w:rFonts w:hint="eastAsia" w:ascii="仿宋_GB2312" w:hAnsi="仿宋_GB2312" w:eastAsia="仿宋_GB2312" w:cs="仿宋_GB2312"/>
          <w:b w:val="0"/>
          <w:bCs w:val="0"/>
          <w:color w:val="auto"/>
          <w:kern w:val="0"/>
          <w:sz w:val="28"/>
          <w:szCs w:val="28"/>
          <w:lang w:val="en-US" w:eastAsia="zh-CN" w:bidi="ar-SA"/>
        </w:rPr>
        <w:t>开展矛盾纠纷排查12轮次238件，高效化解信访案件16件，</w:t>
      </w:r>
      <w:bookmarkEnd w:id="16"/>
      <w:r>
        <w:rPr>
          <w:rFonts w:hint="eastAsia" w:ascii="仿宋_GB2312" w:hAnsi="仿宋_GB2312" w:eastAsia="仿宋_GB2312" w:cs="仿宋_GB2312"/>
          <w:b w:val="0"/>
          <w:bCs w:val="0"/>
          <w:color w:val="auto"/>
          <w:kern w:val="0"/>
          <w:sz w:val="28"/>
          <w:szCs w:val="28"/>
          <w:lang w:val="en-US" w:eastAsia="zh-CN" w:bidi="ar-SA"/>
        </w:rPr>
        <w:t>信访工作及时受理率、按期答复率、化解率、满意率均达100%。累计发动治安志愿者70000余人次，圆满完成全国“两会”、“9.3”阅兵、国庆中秋“两节”等社会面防控任务，社会秩序平稳向好。三是精准防汛筑牢生命安全线。2025年防汛工作以汛前的万全准备、汛中的火速行动，坚决扛牢政治责任，强化应急处置，利用“网格+防汛”工作机制，全力落实各项防汛措施，较好地完成了平稳度汛任务。街道撰写《城子街道构建“网格+防汛”体系全力筑牢汛期安全防线》在《中国减灾杂志》进行了刊登。</w:t>
      </w:r>
      <w:r>
        <w:rPr>
          <w:rFonts w:hint="eastAsia" w:ascii="仿宋_GB2312" w:hAnsi="仿宋_GB2312" w:eastAsia="仿宋_GB2312" w:cs="仿宋_GB2312"/>
          <w:b w:val="0"/>
          <w:bCs w:val="0"/>
          <w:color w:val="auto"/>
          <w:kern w:val="2"/>
          <w:sz w:val="28"/>
          <w:szCs w:val="28"/>
          <w:highlight w:val="none"/>
          <w:lang w:val="en-US" w:eastAsia="zh-CN" w:bidi="ar-SA"/>
        </w:rPr>
        <w:t>四是深化宣传夯实平安硬支撑。</w:t>
      </w:r>
      <w:r>
        <w:rPr>
          <w:rFonts w:hint="eastAsia" w:ascii="仿宋_GB2312" w:hAnsi="仿宋_GB2312" w:eastAsia="仿宋_GB2312" w:cs="仿宋_GB2312"/>
          <w:b w:val="0"/>
          <w:bCs w:val="0"/>
          <w:color w:val="auto"/>
          <w:kern w:val="0"/>
          <w:sz w:val="28"/>
          <w:szCs w:val="28"/>
          <w:lang w:val="en-US" w:eastAsia="zh-CN" w:bidi="ar-SA"/>
        </w:rPr>
        <w:t>充分利用铁路沿线“疏整促”项目，投入300余万元提升铁路沿线周边环境，完善基础设施，提升辖区安全韧性水平。深化打造“安全周周谈”、“小城说法”宣教品牌建设，累计开展讲座80场次，普法“大讲堂”2次、“小课堂”12次，刊发专刊2期，宣传各类安全科普小视频100余部，覆盖群众10万余人次，实现安全无死角、宣传全覆盖。</w:t>
      </w:r>
    </w:p>
    <w:p>
      <w:pPr>
        <w:spacing w:line="520" w:lineRule="exact"/>
        <w:ind w:firstLine="640"/>
        <w:rPr>
          <w:rFonts w:ascii="仿宋_GB2312" w:eastAsia="仿宋_GB2312"/>
          <w:sz w:val="28"/>
          <w:szCs w:val="28"/>
        </w:rPr>
      </w:pPr>
      <w:r>
        <w:rPr>
          <w:rFonts w:hint="eastAsia" w:ascii="仿宋_GB2312" w:eastAsia="仿宋_GB2312"/>
          <w:sz w:val="28"/>
          <w:szCs w:val="28"/>
        </w:rPr>
        <w:t>4.部门</w:t>
      </w:r>
      <w:bookmarkEnd w:id="5"/>
      <w:r>
        <w:rPr>
          <w:rFonts w:hint="eastAsia" w:ascii="仿宋_GB2312" w:eastAsia="仿宋_GB2312"/>
          <w:sz w:val="28"/>
          <w:szCs w:val="28"/>
        </w:rPr>
        <w:t>整体绩效目标设立情况</w:t>
      </w:r>
    </w:p>
    <w:tbl>
      <w:tblPr>
        <w:tblStyle w:val="17"/>
        <w:tblW w:w="8296" w:type="dxa"/>
        <w:jc w:val="center"/>
        <w:tblInd w:w="0" w:type="dxa"/>
        <w:tblLayout w:type="fixed"/>
        <w:tblCellMar>
          <w:top w:w="0" w:type="dxa"/>
          <w:left w:w="108" w:type="dxa"/>
          <w:bottom w:w="0" w:type="dxa"/>
          <w:right w:w="108" w:type="dxa"/>
        </w:tblCellMar>
      </w:tblPr>
      <w:tblGrid>
        <w:gridCol w:w="777"/>
        <w:gridCol w:w="1914"/>
        <w:gridCol w:w="1415"/>
        <w:gridCol w:w="1133"/>
        <w:gridCol w:w="1419"/>
        <w:gridCol w:w="1638"/>
      </w:tblGrid>
      <w:tr>
        <w:tblPrEx>
          <w:tblLayout w:type="fixed"/>
          <w:tblCellMar>
            <w:top w:w="0" w:type="dxa"/>
            <w:left w:w="108" w:type="dxa"/>
            <w:bottom w:w="0" w:type="dxa"/>
            <w:right w:w="108" w:type="dxa"/>
          </w:tblCellMar>
        </w:tblPrEx>
        <w:trPr>
          <w:trHeight w:val="593" w:hRule="atLeast"/>
          <w:jc w:val="center"/>
        </w:trPr>
        <w:tc>
          <w:tcPr>
            <w:tcW w:w="777"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序号</w:t>
            </w:r>
          </w:p>
        </w:tc>
        <w:tc>
          <w:tcPr>
            <w:tcW w:w="1914"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三级指标</w:t>
            </w:r>
          </w:p>
        </w:tc>
        <w:tc>
          <w:tcPr>
            <w:tcW w:w="1415"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指标性质</w:t>
            </w:r>
          </w:p>
        </w:tc>
        <w:tc>
          <w:tcPr>
            <w:tcW w:w="1133"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指标值</w:t>
            </w:r>
          </w:p>
        </w:tc>
        <w:tc>
          <w:tcPr>
            <w:tcW w:w="1419" w:type="dxa"/>
            <w:tcBorders>
              <w:top w:val="single" w:color="auto" w:sz="4" w:space="0"/>
              <w:left w:val="nil"/>
              <w:bottom w:val="single" w:color="auto" w:sz="4" w:space="0"/>
              <w:right w:val="single" w:color="auto" w:sz="4" w:space="0"/>
            </w:tcBorders>
            <w:vAlign w:val="center"/>
          </w:tcPr>
          <w:p>
            <w:pPr>
              <w:spacing w:line="520" w:lineRule="exact"/>
              <w:ind w:firstLine="240" w:firstLineChars="100"/>
              <w:jc w:val="center"/>
              <w:rPr>
                <w:rFonts w:ascii="仿宋_GB2312" w:eastAsia="仿宋_GB2312"/>
                <w:sz w:val="28"/>
                <w:szCs w:val="28"/>
              </w:rPr>
            </w:pPr>
            <w:r>
              <w:rPr>
                <w:rFonts w:hint="eastAsia" w:ascii="仿宋_GB2312" w:hAnsi="仿宋_GB2312" w:eastAsia="仿宋_GB2312" w:cs="仿宋_GB2312"/>
                <w:sz w:val="24"/>
                <w:szCs w:val="24"/>
              </w:rPr>
              <w:t>度量单位</w:t>
            </w:r>
          </w:p>
        </w:tc>
        <w:tc>
          <w:tcPr>
            <w:tcW w:w="1638" w:type="dxa"/>
            <w:tcBorders>
              <w:top w:val="single" w:color="auto" w:sz="4" w:space="0"/>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指标权重</w:t>
            </w:r>
          </w:p>
        </w:tc>
      </w:tr>
      <w:tr>
        <w:tblPrEx>
          <w:tblLayout w:type="fixed"/>
          <w:tblCellMar>
            <w:top w:w="0" w:type="dxa"/>
            <w:left w:w="108" w:type="dxa"/>
            <w:bottom w:w="0" w:type="dxa"/>
            <w:right w:w="108" w:type="dxa"/>
          </w:tblCellMar>
        </w:tblPrEx>
        <w:trPr>
          <w:trHeight w:val="275" w:hRule="atLeast"/>
          <w:jc w:val="center"/>
        </w:trPr>
        <w:tc>
          <w:tcPr>
            <w:tcW w:w="777"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1</w:t>
            </w:r>
          </w:p>
        </w:tc>
        <w:tc>
          <w:tcPr>
            <w:tcW w:w="1914"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资金使用管理标准</w:t>
            </w:r>
          </w:p>
        </w:tc>
        <w:tc>
          <w:tcPr>
            <w:tcW w:w="1415"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定性</w:t>
            </w:r>
          </w:p>
        </w:tc>
        <w:tc>
          <w:tcPr>
            <w:tcW w:w="1133"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符合要求</w:t>
            </w:r>
          </w:p>
        </w:tc>
        <w:tc>
          <w:tcPr>
            <w:tcW w:w="1419"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val="en-US" w:eastAsia="zh-CN"/>
              </w:rPr>
              <w:t>%</w:t>
            </w:r>
          </w:p>
        </w:tc>
        <w:tc>
          <w:tcPr>
            <w:tcW w:w="1638"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val="en-US" w:eastAsia="zh-CN"/>
              </w:rPr>
              <w:t>20</w:t>
            </w:r>
          </w:p>
        </w:tc>
      </w:tr>
      <w:tr>
        <w:tblPrEx>
          <w:tblLayout w:type="fixed"/>
          <w:tblCellMar>
            <w:top w:w="0" w:type="dxa"/>
            <w:left w:w="108" w:type="dxa"/>
            <w:bottom w:w="0" w:type="dxa"/>
            <w:right w:w="108" w:type="dxa"/>
          </w:tblCellMar>
        </w:tblPrEx>
        <w:trPr>
          <w:trHeight w:val="275" w:hRule="atLeast"/>
          <w:jc w:val="center"/>
        </w:trPr>
        <w:tc>
          <w:tcPr>
            <w:tcW w:w="777"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2</w:t>
            </w:r>
          </w:p>
        </w:tc>
        <w:tc>
          <w:tcPr>
            <w:tcW w:w="1914"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资金使用时限</w:t>
            </w:r>
          </w:p>
        </w:tc>
        <w:tc>
          <w:tcPr>
            <w:tcW w:w="1415"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定量</w:t>
            </w:r>
          </w:p>
        </w:tc>
        <w:tc>
          <w:tcPr>
            <w:tcW w:w="1133"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val="en-US" w:eastAsia="zh-CN"/>
              </w:rPr>
              <w:t>1</w:t>
            </w:r>
          </w:p>
        </w:tc>
        <w:tc>
          <w:tcPr>
            <w:tcW w:w="1419"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val="en-US" w:eastAsia="zh-CN"/>
              </w:rPr>
              <w:t>年</w:t>
            </w:r>
          </w:p>
        </w:tc>
        <w:tc>
          <w:tcPr>
            <w:tcW w:w="1638" w:type="dxa"/>
            <w:tcBorders>
              <w:top w:val="nil"/>
              <w:left w:val="nil"/>
              <w:bottom w:val="single" w:color="auto" w:sz="4" w:space="0"/>
              <w:right w:val="single" w:color="auto" w:sz="4" w:space="0"/>
            </w:tcBorders>
            <w:vAlign w:val="center"/>
          </w:tcPr>
          <w:p>
            <w:pPr>
              <w:spacing w:line="520" w:lineRule="exact"/>
              <w:ind w:firstLine="640" w:firstLineChars="0"/>
              <w:jc w:val="both"/>
              <w:rPr>
                <w:rFonts w:ascii="仿宋_GB2312" w:eastAsia="仿宋_GB2312"/>
                <w:sz w:val="28"/>
                <w:szCs w:val="28"/>
              </w:rPr>
            </w:pPr>
            <w:r>
              <w:rPr>
                <w:rFonts w:hint="eastAsia" w:ascii="仿宋_GB2312" w:hAnsi="仿宋_GB2312" w:eastAsia="仿宋_GB2312" w:cs="仿宋_GB2312"/>
                <w:sz w:val="24"/>
                <w:szCs w:val="24"/>
                <w:lang w:val="en-US" w:eastAsia="zh-CN"/>
              </w:rPr>
              <w:t>20</w:t>
            </w:r>
          </w:p>
        </w:tc>
      </w:tr>
      <w:tr>
        <w:tblPrEx>
          <w:tblLayout w:type="fixed"/>
          <w:tblCellMar>
            <w:top w:w="0" w:type="dxa"/>
            <w:left w:w="108" w:type="dxa"/>
            <w:bottom w:w="0" w:type="dxa"/>
            <w:right w:w="108" w:type="dxa"/>
          </w:tblCellMar>
        </w:tblPrEx>
        <w:trPr>
          <w:trHeight w:val="275" w:hRule="atLeast"/>
          <w:jc w:val="center"/>
        </w:trPr>
        <w:tc>
          <w:tcPr>
            <w:tcW w:w="777"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rPr>
              <w:t>3</w:t>
            </w:r>
          </w:p>
        </w:tc>
        <w:tc>
          <w:tcPr>
            <w:tcW w:w="1914"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项目成本控制</w:t>
            </w:r>
          </w:p>
        </w:tc>
        <w:tc>
          <w:tcPr>
            <w:tcW w:w="1415"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定量</w:t>
            </w:r>
          </w:p>
        </w:tc>
        <w:tc>
          <w:tcPr>
            <w:tcW w:w="1133"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lang w:val="en-US"/>
              </w:rPr>
            </w:pPr>
            <w:r>
              <w:rPr>
                <w:rFonts w:hint="eastAsia" w:ascii="仿宋_GB2312" w:eastAsia="仿宋_GB2312"/>
                <w:color w:val="000000"/>
                <w:sz w:val="28"/>
                <w:szCs w:val="28"/>
                <w:lang w:val="en-US" w:eastAsia="zh-CN"/>
              </w:rPr>
              <w:t>11948.54</w:t>
            </w:r>
          </w:p>
        </w:tc>
        <w:tc>
          <w:tcPr>
            <w:tcW w:w="1419"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val="en-US" w:eastAsia="zh-CN"/>
              </w:rPr>
              <w:t>万元</w:t>
            </w:r>
          </w:p>
        </w:tc>
        <w:tc>
          <w:tcPr>
            <w:tcW w:w="1638" w:type="dxa"/>
            <w:tcBorders>
              <w:top w:val="nil"/>
              <w:left w:val="nil"/>
              <w:bottom w:val="single" w:color="auto" w:sz="4" w:space="0"/>
              <w:right w:val="single" w:color="auto" w:sz="4" w:space="0"/>
            </w:tcBorders>
            <w:vAlign w:val="center"/>
          </w:tcPr>
          <w:p>
            <w:pPr>
              <w:spacing w:line="520" w:lineRule="exact"/>
              <w:ind w:firstLine="640" w:firstLineChars="0"/>
              <w:jc w:val="both"/>
              <w:rPr>
                <w:rFonts w:ascii="仿宋_GB2312" w:eastAsia="仿宋_GB2312"/>
                <w:sz w:val="28"/>
                <w:szCs w:val="28"/>
              </w:rPr>
            </w:pPr>
            <w:r>
              <w:rPr>
                <w:rFonts w:hint="eastAsia" w:ascii="仿宋_GB2312" w:hAnsi="仿宋_GB2312" w:eastAsia="仿宋_GB2312" w:cs="仿宋_GB2312"/>
                <w:sz w:val="24"/>
                <w:szCs w:val="24"/>
                <w:lang w:val="en-US" w:eastAsia="zh-CN"/>
              </w:rPr>
              <w:t>10</w:t>
            </w:r>
          </w:p>
        </w:tc>
      </w:tr>
      <w:tr>
        <w:tblPrEx>
          <w:tblLayout w:type="fixed"/>
          <w:tblCellMar>
            <w:top w:w="0" w:type="dxa"/>
            <w:left w:w="108" w:type="dxa"/>
            <w:bottom w:w="0" w:type="dxa"/>
            <w:right w:w="108" w:type="dxa"/>
          </w:tblCellMar>
        </w:tblPrEx>
        <w:trPr>
          <w:trHeight w:val="275" w:hRule="atLeast"/>
          <w:jc w:val="center"/>
        </w:trPr>
        <w:tc>
          <w:tcPr>
            <w:tcW w:w="777" w:type="dxa"/>
            <w:tcBorders>
              <w:top w:val="nil"/>
              <w:left w:val="single" w:color="auto" w:sz="4" w:space="0"/>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val="en-US" w:eastAsia="zh-CN"/>
              </w:rPr>
              <w:t>4</w:t>
            </w:r>
          </w:p>
        </w:tc>
        <w:tc>
          <w:tcPr>
            <w:tcW w:w="1914"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社会效益</w:t>
            </w:r>
          </w:p>
        </w:tc>
        <w:tc>
          <w:tcPr>
            <w:tcW w:w="1415"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定性</w:t>
            </w:r>
          </w:p>
        </w:tc>
        <w:tc>
          <w:tcPr>
            <w:tcW w:w="1133"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eastAsia="zh-CN"/>
              </w:rPr>
              <w:t>保障辖区内各项工作得到提升</w:t>
            </w:r>
          </w:p>
        </w:tc>
        <w:tc>
          <w:tcPr>
            <w:tcW w:w="1419" w:type="dxa"/>
            <w:tcBorders>
              <w:top w:val="nil"/>
              <w:left w:val="nil"/>
              <w:bottom w:val="single" w:color="auto" w:sz="4" w:space="0"/>
              <w:right w:val="single" w:color="auto" w:sz="4" w:space="0"/>
            </w:tcBorders>
            <w:vAlign w:val="center"/>
          </w:tcPr>
          <w:p>
            <w:pPr>
              <w:spacing w:line="520" w:lineRule="exact"/>
              <w:jc w:val="center"/>
              <w:rPr>
                <w:rFonts w:ascii="仿宋_GB2312" w:eastAsia="仿宋_GB2312"/>
                <w:sz w:val="28"/>
                <w:szCs w:val="28"/>
              </w:rPr>
            </w:pPr>
            <w:r>
              <w:rPr>
                <w:rFonts w:hint="eastAsia" w:ascii="仿宋_GB2312" w:hAnsi="仿宋_GB2312" w:eastAsia="仿宋_GB2312" w:cs="仿宋_GB2312"/>
                <w:sz w:val="24"/>
                <w:szCs w:val="24"/>
                <w:lang w:val="en-US" w:eastAsia="zh-CN"/>
              </w:rPr>
              <w:t>%</w:t>
            </w:r>
          </w:p>
        </w:tc>
        <w:tc>
          <w:tcPr>
            <w:tcW w:w="1638" w:type="dxa"/>
            <w:tcBorders>
              <w:top w:val="nil"/>
              <w:left w:val="nil"/>
              <w:bottom w:val="single" w:color="auto" w:sz="4" w:space="0"/>
              <w:right w:val="single" w:color="auto" w:sz="4" w:space="0"/>
            </w:tcBorders>
            <w:vAlign w:val="center"/>
          </w:tcPr>
          <w:p>
            <w:pPr>
              <w:spacing w:line="520" w:lineRule="exact"/>
              <w:ind w:firstLine="640" w:firstLineChars="0"/>
              <w:jc w:val="both"/>
              <w:rPr>
                <w:rFonts w:ascii="仿宋_GB2312" w:eastAsia="仿宋_GB2312"/>
                <w:sz w:val="28"/>
                <w:szCs w:val="28"/>
              </w:rPr>
            </w:pPr>
            <w:r>
              <w:rPr>
                <w:rFonts w:hint="eastAsia" w:ascii="仿宋_GB2312" w:hAnsi="仿宋_GB2312" w:eastAsia="仿宋_GB2312" w:cs="仿宋_GB2312"/>
                <w:sz w:val="24"/>
                <w:szCs w:val="24"/>
                <w:lang w:val="en-US" w:eastAsia="zh-CN"/>
              </w:rPr>
              <w:t>30</w:t>
            </w:r>
          </w:p>
        </w:tc>
      </w:tr>
    </w:tbl>
    <w:p>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2"/>
      <w:r>
        <w:rPr>
          <w:rFonts w:hint="eastAsia" w:ascii="仿宋_GB2312"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hint="eastAsia" w:ascii="仿宋_GB2312" w:eastAsia="仿宋_GB2312"/>
          <w:sz w:val="28"/>
          <w:szCs w:val="28"/>
        </w:rPr>
      </w:pPr>
      <w:r>
        <w:rPr>
          <w:rFonts w:hint="eastAsia" w:ascii="仿宋_GB2312" w:eastAsia="仿宋_GB2312"/>
          <w:sz w:val="28"/>
          <w:szCs w:val="28"/>
        </w:rPr>
        <w:t>2025年全年预算数119,485,436.20元，其中，基本支出预算数31,370,570.51元，项目支出预算数88,114,865.69元。全年支出119,485,436.20元，其中，基本支出31,370,570.51元，项目支出88,114,865.69元。预算执行率为</w:t>
      </w:r>
      <w:r>
        <w:rPr>
          <w:rFonts w:hint="eastAsia" w:ascii="仿宋_GB2312" w:eastAsia="仿宋_GB2312"/>
          <w:sz w:val="28"/>
          <w:szCs w:val="28"/>
          <w:lang w:val="en-US" w:eastAsia="zh-CN"/>
        </w:rPr>
        <w:t>100</w:t>
      </w:r>
      <w:r>
        <w:rPr>
          <w:rFonts w:hint="eastAsia" w:ascii="仿宋_GB2312" w:eastAsia="仿宋_GB2312"/>
          <w:sz w:val="28"/>
          <w:szCs w:val="28"/>
        </w:rPr>
        <w:t xml:space="preserve">%。(与决算数据保持一致)                                  </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hint="eastAsia" w:ascii="仿宋_GB2312" w:eastAsia="仿宋_GB2312"/>
          <w:sz w:val="28"/>
          <w:szCs w:val="28"/>
        </w:rPr>
      </w:pPr>
      <w:r>
        <w:rPr>
          <w:rFonts w:hint="eastAsia" w:ascii="仿宋_GB2312" w:eastAsia="仿宋_GB2312"/>
          <w:sz w:val="28"/>
          <w:szCs w:val="28"/>
        </w:rPr>
        <w:t>2025年年末结转结余资金总额为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元，全年支出预算数为119,485,436.20元，资金结转结余率为</w:t>
      </w:r>
      <w:r>
        <w:rPr>
          <w:rFonts w:hint="eastAsia" w:ascii="仿宋_GB2312" w:eastAsia="仿宋_GB2312"/>
          <w:sz w:val="28"/>
          <w:szCs w:val="28"/>
          <w:lang w:val="en-US" w:eastAsia="zh-CN"/>
        </w:rPr>
        <w:t>0</w:t>
      </w:r>
      <w:r>
        <w:rPr>
          <w:rFonts w:hint="eastAsia" w:ascii="仿宋_GB2312" w:eastAsia="仿宋_GB2312"/>
          <w:sz w:val="28"/>
          <w:szCs w:val="28"/>
        </w:rPr>
        <w:t>%；2024年年末结转结余资金总额为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元，全年支出预算数为132,999,264.46元，资金结转结余率为</w:t>
      </w:r>
      <w:r>
        <w:rPr>
          <w:rFonts w:hint="eastAsia" w:ascii="仿宋_GB2312" w:eastAsia="仿宋_GB2312"/>
          <w:sz w:val="28"/>
          <w:szCs w:val="28"/>
          <w:lang w:val="en-US" w:eastAsia="zh-CN"/>
        </w:rPr>
        <w:t>0</w:t>
      </w:r>
      <w:r>
        <w:rPr>
          <w:rFonts w:hint="eastAsia" w:ascii="仿宋_GB2312" w:eastAsia="仿宋_GB2312"/>
          <w:sz w:val="28"/>
          <w:szCs w:val="28"/>
        </w:rPr>
        <w:t>%；</w:t>
      </w:r>
      <w:r>
        <w:rPr>
          <w:rFonts w:ascii="仿宋_GB2312" w:eastAsia="仿宋_GB2312"/>
          <w:sz w:val="28"/>
          <w:szCs w:val="28"/>
        </w:rPr>
        <w:t>202</w:t>
      </w:r>
      <w:r>
        <w:rPr>
          <w:rFonts w:hint="eastAsia" w:ascii="仿宋_GB2312" w:eastAsia="仿宋_GB2312"/>
          <w:sz w:val="28"/>
          <w:szCs w:val="28"/>
        </w:rPr>
        <w:t>5年度部门结转结余率较上一年</w:t>
      </w:r>
      <w:r>
        <w:rPr>
          <w:rFonts w:hint="eastAsia" w:ascii="仿宋_GB2312" w:eastAsia="仿宋_GB2312"/>
          <w:sz w:val="28"/>
          <w:szCs w:val="28"/>
          <w:lang w:eastAsia="zh-CN"/>
        </w:rPr>
        <w:t>相同</w:t>
      </w:r>
      <w:r>
        <w:rPr>
          <w:rFonts w:hint="eastAsia" w:ascii="仿宋_GB2312" w:eastAsia="仿宋_GB2312"/>
          <w:sz w:val="28"/>
          <w:szCs w:val="28"/>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1.产出完成情况分析</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（1）产出数量</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20个社区</w:t>
      </w:r>
    </w:p>
    <w:p>
      <w:pPr>
        <w:keepNext w:val="0"/>
        <w:keepLines w:val="0"/>
        <w:pageBreakBefore w:val="0"/>
        <w:widowControl w:val="0"/>
        <w:numPr>
          <w:ilvl w:val="0"/>
          <w:numId w:val="5"/>
        </w:numPr>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产出质量</w:t>
      </w:r>
      <w:r>
        <w:rPr>
          <w:rFonts w:hint="eastAsia" w:ascii="仿宋_GB2312" w:hAnsi="仿宋_GB2312" w:eastAsia="仿宋_GB2312" w:cs="仿宋_GB2312"/>
          <w:sz w:val="28"/>
          <w:szCs w:val="28"/>
          <w:lang w:eastAsia="zh-CN"/>
        </w:rPr>
        <w:t>：</w:t>
      </w:r>
    </w:p>
    <w:tbl>
      <w:tblPr>
        <w:tblStyle w:val="17"/>
        <w:tblW w:w="8130" w:type="dxa"/>
        <w:jc w:val="center"/>
        <w:tblInd w:w="581" w:type="dxa"/>
        <w:tblLayout w:type="fixed"/>
        <w:tblCellMar>
          <w:top w:w="0" w:type="dxa"/>
          <w:left w:w="108" w:type="dxa"/>
          <w:bottom w:w="0" w:type="dxa"/>
          <w:right w:w="108" w:type="dxa"/>
        </w:tblCellMar>
      </w:tblPr>
      <w:tblGrid>
        <w:gridCol w:w="943"/>
        <w:gridCol w:w="1946"/>
        <w:gridCol w:w="1946"/>
        <w:gridCol w:w="1946"/>
        <w:gridCol w:w="1349"/>
      </w:tblGrid>
      <w:tr>
        <w:tblPrEx>
          <w:tblLayout w:type="fixed"/>
          <w:tblCellMar>
            <w:top w:w="0" w:type="dxa"/>
            <w:left w:w="108" w:type="dxa"/>
            <w:bottom w:w="0" w:type="dxa"/>
            <w:right w:w="108" w:type="dxa"/>
          </w:tblCellMar>
        </w:tblPrEx>
        <w:trPr>
          <w:trHeight w:val="510" w:hRule="atLeast"/>
          <w:jc w:val="center"/>
        </w:trPr>
        <w:tc>
          <w:tcPr>
            <w:tcW w:w="9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序号</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三级指标</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计划值</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完成值</w:t>
            </w:r>
          </w:p>
        </w:tc>
        <w:tc>
          <w:tcPr>
            <w:tcW w:w="134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偏差原因</w:t>
            </w:r>
          </w:p>
        </w:tc>
      </w:tr>
      <w:tr>
        <w:tblPrEx>
          <w:tblLayout w:type="fixed"/>
          <w:tblCellMar>
            <w:top w:w="0" w:type="dxa"/>
            <w:left w:w="108" w:type="dxa"/>
            <w:bottom w:w="0" w:type="dxa"/>
            <w:right w:w="108" w:type="dxa"/>
          </w:tblCellMar>
        </w:tblPrEx>
        <w:trPr>
          <w:trHeight w:val="337" w:hRule="atLeast"/>
          <w:jc w:val="center"/>
        </w:trPr>
        <w:tc>
          <w:tcPr>
            <w:tcW w:w="943"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1</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党群工作</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eastAsia="zh-CN"/>
              </w:rPr>
              <w:t>完成任务</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349"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无</w:t>
            </w:r>
          </w:p>
        </w:tc>
      </w:tr>
      <w:tr>
        <w:tblPrEx>
          <w:tblLayout w:type="fixed"/>
          <w:tblCellMar>
            <w:top w:w="0" w:type="dxa"/>
            <w:left w:w="108" w:type="dxa"/>
            <w:bottom w:w="0" w:type="dxa"/>
            <w:right w:w="108" w:type="dxa"/>
          </w:tblCellMar>
        </w:tblPrEx>
        <w:trPr>
          <w:trHeight w:val="510" w:hRule="atLeast"/>
          <w:jc w:val="center"/>
        </w:trPr>
        <w:tc>
          <w:tcPr>
            <w:tcW w:w="943"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平安建设</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349"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无</w:t>
            </w:r>
          </w:p>
        </w:tc>
      </w:tr>
      <w:tr>
        <w:tblPrEx>
          <w:tblLayout w:type="fixed"/>
          <w:tblCellMar>
            <w:top w:w="0" w:type="dxa"/>
            <w:left w:w="108" w:type="dxa"/>
            <w:bottom w:w="0" w:type="dxa"/>
            <w:right w:w="108" w:type="dxa"/>
          </w:tblCellMar>
        </w:tblPrEx>
        <w:trPr>
          <w:trHeight w:val="510" w:hRule="atLeast"/>
          <w:jc w:val="center"/>
        </w:trPr>
        <w:tc>
          <w:tcPr>
            <w:tcW w:w="943"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3</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城市管理</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349"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无</w:t>
            </w:r>
          </w:p>
        </w:tc>
      </w:tr>
      <w:tr>
        <w:tblPrEx>
          <w:tblLayout w:type="fixed"/>
          <w:tblCellMar>
            <w:top w:w="0" w:type="dxa"/>
            <w:left w:w="108" w:type="dxa"/>
            <w:bottom w:w="0" w:type="dxa"/>
            <w:right w:w="108" w:type="dxa"/>
          </w:tblCellMar>
        </w:tblPrEx>
        <w:trPr>
          <w:trHeight w:val="510" w:hRule="atLeast"/>
          <w:jc w:val="center"/>
        </w:trPr>
        <w:tc>
          <w:tcPr>
            <w:tcW w:w="943"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lang w:eastAsia="zh-CN"/>
              </w:rPr>
            </w:pPr>
            <w:r>
              <w:rPr>
                <w:rFonts w:hint="eastAsia" w:ascii="仿宋_GB2312" w:hAnsi="仿宋_GB2312" w:eastAsia="仿宋_GB2312" w:cs="仿宋_GB2312"/>
                <w:sz w:val="18"/>
                <w:szCs w:val="18"/>
                <w:lang w:val="en-US" w:eastAsia="zh-CN"/>
              </w:rPr>
              <w:t>4</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社区建设</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946"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349"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无</w:t>
            </w:r>
          </w:p>
        </w:tc>
      </w:tr>
      <w:tr>
        <w:tblPrEx>
          <w:tblLayout w:type="fixed"/>
          <w:tblCellMar>
            <w:top w:w="0" w:type="dxa"/>
            <w:left w:w="108" w:type="dxa"/>
            <w:bottom w:w="0" w:type="dxa"/>
            <w:right w:w="108" w:type="dxa"/>
          </w:tblCellMar>
        </w:tblPrEx>
        <w:trPr>
          <w:trHeight w:val="510" w:hRule="atLeast"/>
          <w:jc w:val="center"/>
        </w:trPr>
        <w:tc>
          <w:tcPr>
            <w:tcW w:w="9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5</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民生保障</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34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无</w:t>
            </w:r>
          </w:p>
        </w:tc>
      </w:tr>
      <w:tr>
        <w:tblPrEx>
          <w:tblLayout w:type="fixed"/>
          <w:tblCellMar>
            <w:top w:w="0" w:type="dxa"/>
            <w:left w:w="108" w:type="dxa"/>
            <w:bottom w:w="0" w:type="dxa"/>
            <w:right w:w="108" w:type="dxa"/>
          </w:tblCellMar>
        </w:tblPrEx>
        <w:trPr>
          <w:trHeight w:val="510" w:hRule="atLeast"/>
          <w:jc w:val="center"/>
        </w:trPr>
        <w:tc>
          <w:tcPr>
            <w:tcW w:w="9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lang w:val="en-US" w:eastAsia="zh-CN"/>
              </w:rPr>
            </w:pPr>
            <w:r>
              <w:rPr>
                <w:rFonts w:hint="eastAsia" w:ascii="仿宋_GB2312" w:hAnsi="仿宋_GB2312" w:eastAsia="仿宋_GB2312" w:cs="仿宋_GB2312"/>
                <w:sz w:val="18"/>
                <w:szCs w:val="18"/>
                <w:lang w:val="en-US" w:eastAsia="zh-CN"/>
              </w:rPr>
              <w:t>6</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综合保障</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946"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完成任务</w:t>
            </w:r>
          </w:p>
        </w:tc>
        <w:tc>
          <w:tcPr>
            <w:tcW w:w="1349"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center"/>
              <w:textAlignment w:val="auto"/>
              <w:outlineLvl w:val="9"/>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eastAsia="zh-CN"/>
              </w:rPr>
              <w:t>无</w:t>
            </w:r>
          </w:p>
        </w:tc>
      </w:tr>
    </w:tbl>
    <w:p>
      <w:pPr>
        <w:keepNext w:val="0"/>
        <w:keepLines w:val="0"/>
        <w:pageBreakBefore w:val="0"/>
        <w:widowControl w:val="0"/>
        <w:numPr>
          <w:ilvl w:val="0"/>
          <w:numId w:val="5"/>
        </w:numPr>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产出进度</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各项事业按照年初制定的工作计划，按期保质保量完成了阶段性工作任务，综合考评成绩优秀。</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（4）产出成本</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年的各项预算支出控制在了</w:t>
      </w:r>
      <w:r>
        <w:rPr>
          <w:rFonts w:hint="eastAsia" w:ascii="仿宋_GB2312" w:hAnsi="仿宋_GB2312" w:eastAsia="仿宋_GB2312" w:cs="仿宋_GB2312"/>
          <w:sz w:val="28"/>
          <w:szCs w:val="28"/>
          <w:lang w:eastAsia="zh-CN"/>
        </w:rPr>
        <w:t>财政批复的预算数</w:t>
      </w:r>
      <w:r>
        <w:rPr>
          <w:rFonts w:hint="eastAsia" w:ascii="仿宋_GB2312" w:hAnsi="仿宋_GB2312" w:eastAsia="仿宋_GB2312" w:cs="仿宋_GB2312"/>
          <w:sz w:val="28"/>
          <w:szCs w:val="28"/>
        </w:rPr>
        <w:t>之内</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2.效果实现情况分析</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（1）经济效益</w:t>
      </w:r>
      <w:r>
        <w:rPr>
          <w:rFonts w:hint="eastAsia" w:ascii="仿宋_GB2312" w:hAnsi="仿宋_GB2312" w:eastAsia="仿宋_GB2312" w:cs="仿宋_GB2312"/>
          <w:sz w:val="28"/>
          <w:szCs w:val="28"/>
          <w:lang w:eastAsia="zh-CN"/>
        </w:rPr>
        <w:t>：不涉及</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（2）社会效益</w:t>
      </w:r>
      <w:r>
        <w:rPr>
          <w:rFonts w:hint="eastAsia" w:ascii="仿宋_GB2312" w:hAnsi="仿宋_GB2312" w:eastAsia="仿宋_GB2312" w:cs="仿宋_GB2312"/>
          <w:sz w:val="28"/>
          <w:szCs w:val="28"/>
          <w:lang w:eastAsia="zh-CN"/>
        </w:rPr>
        <w:t>：实现了辖区人民的幸福感</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（3）环境效益</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人居环境得到较大幅度的提升</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（4）可持续影响</w:t>
      </w:r>
      <w:r>
        <w:rPr>
          <w:rFonts w:hint="eastAsia" w:ascii="仿宋_GB2312" w:hAnsi="仿宋_GB2312" w:eastAsia="仿宋_GB2312" w:cs="仿宋_GB2312"/>
          <w:sz w:val="28"/>
          <w:szCs w:val="28"/>
          <w:lang w:eastAsia="zh-CN"/>
        </w:rPr>
        <w:t>：可持续影响达到了</w:t>
      </w:r>
      <w:r>
        <w:rPr>
          <w:rFonts w:hint="eastAsia" w:ascii="仿宋_GB2312" w:hAnsi="仿宋_GB2312" w:eastAsia="仿宋_GB2312" w:cs="仿宋_GB2312"/>
          <w:sz w:val="28"/>
          <w:szCs w:val="28"/>
          <w:lang w:val="en-US" w:eastAsia="zh-CN"/>
        </w:rPr>
        <w:t>1年以上</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（5）服务对象满意度</w:t>
      </w:r>
      <w:r>
        <w:rPr>
          <w:rFonts w:hint="eastAsia" w:ascii="仿宋_GB2312" w:hAnsi="仿宋_GB2312" w:eastAsia="仿宋_GB2312" w:cs="仿宋_GB2312"/>
          <w:sz w:val="28"/>
          <w:szCs w:val="28"/>
          <w:lang w:eastAsia="zh-CN"/>
        </w:rPr>
        <w:t>：群众满意度</w:t>
      </w:r>
      <w:r>
        <w:rPr>
          <w:rFonts w:hint="eastAsia" w:ascii="仿宋_GB2312" w:hAnsi="仿宋_GB2312" w:eastAsia="仿宋_GB2312" w:cs="仿宋_GB2312"/>
          <w:sz w:val="28"/>
          <w:szCs w:val="28"/>
        </w:rPr>
        <w:t>大幅度的提升</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eastAsia="仿宋_GB2312"/>
          <w:sz w:val="28"/>
          <w:szCs w:val="28"/>
        </w:rPr>
      </w:pPr>
      <w:r>
        <w:rPr>
          <w:rFonts w:hint="eastAsia" w:ascii="仿宋_GB2312" w:eastAsia="仿宋_GB2312"/>
          <w:sz w:val="28"/>
          <w:szCs w:val="28"/>
        </w:rPr>
        <w:t>1.财务管理</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eastAsia="仿宋_GB2312"/>
          <w:sz w:val="28"/>
          <w:szCs w:val="28"/>
          <w:lang w:val="en-US" w:eastAsia="zh-CN"/>
        </w:rPr>
      </w:pPr>
      <w:r>
        <w:rPr>
          <w:rFonts w:hint="eastAsia" w:ascii="仿宋_GB2312" w:hAnsi="仿宋_GB2312" w:eastAsia="仿宋_GB2312" w:cs="仿宋_GB2312"/>
          <w:sz w:val="28"/>
          <w:szCs w:val="28"/>
        </w:rPr>
        <w:t>我单位通过制定《城子街道办事处财务管理办法》等相关制度办法、严格按照内控制度，加强财政财务管理，保障资金安全高效运行，防范财务风险。为保证资金的合理使用和正常运行，严格执行各项财务制度。凡是数额较大的开支严格执行单位审批制度，无先开支后报告的现象。财务收支凭证，能做到手续齐全，内容完整，字迹清楚，规定明确，把好开支关。各种专项、专用资金能做到专款专用，没有挪用和互相混用，坐收坐支现金现象。能顺利完成全年的预、决算工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资产管理</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综合办公室为固定资产实物的归口管理部门，设置街道固定资产管理员，负责机关各科室及所属事业单位固定资产实物管理工作。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建立健全固定资产实物总账系统（固定资产动态系统），对固定资产进行分类，实行“一物一卡一码”编号，并在物品明显位置上贴码；定期与财务账以及各科室实物明细账核对。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审核、编制、汇总固定资产的年度购置计划和经费预算；负责购置固定资产的验收入库与实物库管理工作。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组织各科室固定资产领用、内部转移、交回的审核、审批，根据审批办理领用、内部转移、交回手续，并登记固定资产总账。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组织固定资产清查登记、统计报告等工作。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提出固定资产的处置申请及方案；组织实施单位固定资产具体的实物处置。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负责指导</w:t>
      </w:r>
      <w:r>
        <w:rPr>
          <w:rFonts w:hint="eastAsia" w:ascii="仿宋_GB2312" w:hAnsi="仿宋_GB2312" w:eastAsia="仿宋_GB2312" w:cs="仿宋_GB2312"/>
          <w:sz w:val="28"/>
          <w:szCs w:val="28"/>
          <w:lang w:eastAsia="zh-CN"/>
        </w:rPr>
        <w:t>社区办公室</w:t>
      </w:r>
      <w:r>
        <w:rPr>
          <w:rFonts w:hint="eastAsia" w:ascii="仿宋_GB2312" w:hAnsi="仿宋_GB2312" w:eastAsia="仿宋_GB2312" w:cs="仿宋_GB2312"/>
          <w:sz w:val="28"/>
          <w:szCs w:val="28"/>
        </w:rPr>
        <w:t xml:space="preserve">对社区固定资产管理工作。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综合办财务负责固定资产财务账的统一核算及管理工作。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登记固定资产财务账，并定期与实物账核对。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审核固定资产年度购置计划及购置预算。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审核、报批固定资产处置方案。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负责组织实施区财政局等部门部署的有关固定资产清查登记、统计报告、考核评价及其他工作。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社区办公室</w:t>
      </w:r>
      <w:r>
        <w:rPr>
          <w:rFonts w:hint="eastAsia" w:ascii="仿宋_GB2312" w:hAnsi="仿宋_GB2312" w:eastAsia="仿宋_GB2312" w:cs="仿宋_GB2312"/>
          <w:sz w:val="28"/>
          <w:szCs w:val="28"/>
        </w:rPr>
        <w:t xml:space="preserve">设置固定资产管理员，按照街道固定资产统一管理要求，负责社区固定资产实物管理工作。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各科室、所属事业单位及社区（以下简称“科室”）设置科室固定资产管理员，负责本科室占有、使用固定资产的管理。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负责建立科室固定资产明细账，及时登记固定资产变动，保障账实相符和资产安全完整。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负责办理科室固定资产领用，与其他科室间固定资产转移工作。</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负责本科室闲置或待报废固定资产的交回工作。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负责科室固定资产日常维护、保养及报修等管理。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负责年末对科室固定资产进行清点，将清点结果报街道固定资产管理员备案；参与街道年度固定资产清查工作。 </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eastAsia="宋体"/>
          <w:sz w:val="28"/>
          <w:szCs w:val="28"/>
          <w:lang w:val="en-US" w:eastAsia="zh-CN"/>
        </w:rPr>
      </w:pPr>
      <w:r>
        <w:rPr>
          <w:rFonts w:hint="eastAsia" w:ascii="仿宋_GB2312" w:hAnsi="仿宋_GB2312" w:eastAsia="仿宋_GB2312" w:cs="仿宋_GB2312"/>
          <w:sz w:val="28"/>
          <w:szCs w:val="28"/>
        </w:rPr>
        <w:t>科室人员发生变动时，要及时收回其占用的固定资产，并报街道固定资产管理员进行登记。</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eastAsia="仿宋_GB2312"/>
          <w:sz w:val="28"/>
          <w:szCs w:val="28"/>
        </w:rPr>
      </w:pPr>
      <w:r>
        <w:rPr>
          <w:rFonts w:hint="eastAsia" w:ascii="仿宋_GB2312" w:eastAsia="仿宋_GB2312"/>
          <w:sz w:val="28"/>
          <w:szCs w:val="28"/>
        </w:rPr>
        <w:t>3.绩效管理</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eastAsia="仿宋_GB2312"/>
          <w:sz w:val="28"/>
          <w:szCs w:val="28"/>
        </w:rPr>
      </w:pPr>
      <w:r>
        <w:rPr>
          <w:rFonts w:hint="eastAsia" w:ascii="仿宋_GB2312" w:eastAsia="仿宋_GB2312"/>
          <w:sz w:val="28"/>
          <w:szCs w:val="28"/>
        </w:rPr>
        <w:t>（1）预算绩效管理制度情况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预算编制：预算编制的内容包括收入预算、支出预算和政府采购预算。预算编制工作实行科室申报、财务审核汇总、会议研究决定、区财政局审查、</w:t>
      </w:r>
      <w:r>
        <w:rPr>
          <w:rFonts w:hint="eastAsia" w:ascii="仿宋_GB2312" w:hAnsi="仿宋_GB2312" w:eastAsia="仿宋_GB2312" w:cs="仿宋_GB2312"/>
          <w:sz w:val="28"/>
          <w:szCs w:val="28"/>
          <w:lang w:eastAsia="zh-CN"/>
        </w:rPr>
        <w:t>区</w:t>
      </w:r>
      <w:r>
        <w:rPr>
          <w:rFonts w:hint="eastAsia" w:ascii="仿宋_GB2312" w:hAnsi="仿宋_GB2312" w:eastAsia="仿宋_GB2312" w:cs="仿宋_GB2312"/>
          <w:sz w:val="28"/>
          <w:szCs w:val="28"/>
        </w:rPr>
        <w:t>人民代表大会批准、预算批复下达等六个工作步骤进行。</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预算执行：各科室必须严格按照</w:t>
      </w:r>
      <w:r>
        <w:rPr>
          <w:rFonts w:hint="eastAsia" w:ascii="仿宋_GB2312" w:hAnsi="仿宋_GB2312" w:eastAsia="仿宋_GB2312" w:cs="仿宋_GB2312"/>
          <w:sz w:val="28"/>
          <w:szCs w:val="28"/>
          <w:lang w:eastAsia="zh-CN"/>
        </w:rPr>
        <w:t>区财政</w:t>
      </w:r>
      <w:r>
        <w:rPr>
          <w:rFonts w:hint="eastAsia" w:ascii="仿宋_GB2312" w:hAnsi="仿宋_GB2312" w:eastAsia="仿宋_GB2312" w:cs="仿宋_GB2312"/>
          <w:sz w:val="28"/>
          <w:szCs w:val="28"/>
        </w:rPr>
        <w:t>批复和下达的预算执行。预算执行过程中，各科室应严格执行预算和财经制度，不得擅自扩大支出范围、提高开支标准，必须严格按照预算规定的支出用途使用资金；财务应当加强对预算资金的管理。财政收入预算执行由财政科归口负责，各科室配合；财政账户利息收入按要求上缴区财政。财政支出预算执行，实行分类管理制度。财政支出严格按照内控制度中预算执行的申请审批程序进行审批。</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预算调剂和调整：预算支出应当按照预算科目执行，严禁不同预算科目或者项目间的预算资金的调剂。确需调剂使用的，履行集体决策后，严格按照内控制度程序办理。</w:t>
      </w:r>
    </w:p>
    <w:p>
      <w:pPr>
        <w:pStyle w:val="2"/>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hAnsi="仿宋_GB2312" w:eastAsia="仿宋_GB2312" w:cs="仿宋_GB2312"/>
          <w:sz w:val="28"/>
          <w:szCs w:val="28"/>
        </w:rPr>
        <w:t>预算公开范围、途径、时限：根据《门头沟区财政局编制部门预算的通知》，我单位严格按照预算管理制度执行。根据财政局预算公开的要求，我单位于202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年2月，通过在门头沟政府网站对202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年部门预算进行了公开，公开内容包括：202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年北京市门头沟区人民政府城子街道办事处部门预算公开报表，202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年北京市门头沟区人民政府城子街道办事处部门预算公开说明</w:t>
      </w:r>
      <w:r>
        <w:rPr>
          <w:rFonts w:hint="eastAsia" w:ascii="仿宋_GB2312" w:hAnsi="仿宋_GB2312" w:eastAsia="仿宋_GB2312" w:cs="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仿宋_GB2312" w:eastAsia="仿宋_GB2312"/>
          <w:sz w:val="28"/>
          <w:szCs w:val="28"/>
        </w:rPr>
      </w:pPr>
      <w:r>
        <w:rPr>
          <w:rFonts w:hint="eastAsia" w:ascii="仿宋_GB2312" w:eastAsia="仿宋_GB2312"/>
          <w:sz w:val="28"/>
          <w:szCs w:val="28"/>
        </w:rPr>
        <w:t>（2）绩效目标管理情况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年本部门及所属单位部门预算项目</w:t>
      </w:r>
      <w:r>
        <w:rPr>
          <w:rFonts w:hint="eastAsia" w:ascii="仿宋_GB2312" w:eastAsia="仿宋_GB2312"/>
          <w:sz w:val="28"/>
          <w:szCs w:val="28"/>
          <w:lang w:val="en-US" w:eastAsia="zh-CN"/>
        </w:rPr>
        <w:t>76</w:t>
      </w:r>
      <w:r>
        <w:rPr>
          <w:rFonts w:hint="eastAsia" w:ascii="仿宋_GB2312" w:eastAsia="仿宋_GB2312"/>
          <w:sz w:val="28"/>
          <w:szCs w:val="28"/>
        </w:rPr>
        <w:t>个，部门预算公开绩效目标的预算项目</w:t>
      </w:r>
      <w:r>
        <w:rPr>
          <w:rFonts w:hint="eastAsia" w:ascii="仿宋_GB2312" w:eastAsia="仿宋_GB2312"/>
          <w:sz w:val="28"/>
          <w:szCs w:val="28"/>
          <w:lang w:val="en-US" w:eastAsia="zh-CN"/>
        </w:rPr>
        <w:t>32</w:t>
      </w:r>
      <w:r>
        <w:rPr>
          <w:rFonts w:hint="eastAsia" w:ascii="仿宋_GB2312" w:eastAsia="仿宋_GB2312"/>
          <w:sz w:val="28"/>
          <w:szCs w:val="28"/>
        </w:rPr>
        <w:t>个，占本部门全部预算项目的</w:t>
      </w:r>
      <w:r>
        <w:rPr>
          <w:rFonts w:hint="eastAsia" w:ascii="仿宋_GB2312" w:eastAsia="仿宋_GB2312"/>
          <w:sz w:val="28"/>
          <w:szCs w:val="28"/>
          <w:lang w:val="en-US" w:eastAsia="zh-CN"/>
        </w:rPr>
        <w:t>42.1</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_GB2312" w:eastAsia="仿宋_GB2312"/>
          <w:sz w:val="28"/>
          <w:szCs w:val="28"/>
        </w:rPr>
      </w:pPr>
      <w:r>
        <w:rPr>
          <w:rFonts w:hint="eastAsia" w:ascii="仿宋_GB2312" w:eastAsia="仿宋_GB2312"/>
          <w:sz w:val="28"/>
          <w:szCs w:val="28"/>
        </w:rPr>
        <w:t>（3）绩效自评情况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ascii="仿宋_GB2312" w:eastAsia="仿宋_GB2312"/>
          <w:sz w:val="28"/>
          <w:szCs w:val="28"/>
        </w:rPr>
      </w:pP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年对本部门及所属单位202</w:t>
      </w:r>
      <w:r>
        <w:rPr>
          <w:rFonts w:hint="eastAsia" w:ascii="仿宋_GB2312" w:eastAsia="仿宋_GB2312"/>
          <w:sz w:val="28"/>
          <w:szCs w:val="28"/>
          <w:lang w:val="en-US" w:eastAsia="zh-CN"/>
        </w:rPr>
        <w:t>4</w:t>
      </w:r>
      <w:r>
        <w:rPr>
          <w:rFonts w:hint="eastAsia" w:ascii="仿宋_GB2312" w:eastAsia="仿宋_GB2312"/>
          <w:sz w:val="28"/>
          <w:szCs w:val="28"/>
        </w:rPr>
        <w:t>年项目支出实施了绩效自评，评价项目</w:t>
      </w:r>
      <w:r>
        <w:rPr>
          <w:rFonts w:hint="eastAsia" w:ascii="仿宋_GB2312" w:eastAsia="仿宋_GB2312"/>
          <w:sz w:val="28"/>
          <w:szCs w:val="28"/>
          <w:lang w:val="en-US" w:eastAsia="zh-CN"/>
        </w:rPr>
        <w:t>76</w:t>
      </w:r>
      <w:r>
        <w:rPr>
          <w:rFonts w:hint="eastAsia" w:ascii="仿宋_GB2312" w:eastAsia="仿宋_GB2312"/>
          <w:sz w:val="28"/>
          <w:szCs w:val="28"/>
        </w:rPr>
        <w:t>个，涉及金额</w:t>
      </w:r>
      <w:r>
        <w:rPr>
          <w:rFonts w:hint="eastAsia" w:ascii="仿宋_GB2312" w:eastAsia="仿宋_GB2312"/>
          <w:sz w:val="28"/>
          <w:szCs w:val="28"/>
          <w:lang w:val="en-US" w:eastAsia="zh-CN"/>
        </w:rPr>
        <w:t>8361.93</w:t>
      </w:r>
      <w:r>
        <w:rPr>
          <w:rFonts w:hint="eastAsia" w:ascii="仿宋_GB2312" w:eastAsia="仿宋_GB2312"/>
          <w:sz w:val="28"/>
          <w:szCs w:val="28"/>
        </w:rPr>
        <w:t>万元。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bookmarkEnd w:id="3"/>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ascii="仿宋_GB2312" w:eastAsia="仿宋_GB2312"/>
          <w:sz w:val="28"/>
          <w:szCs w:val="28"/>
        </w:rPr>
      </w:pPr>
      <w:r>
        <w:rPr>
          <w:rFonts w:hint="eastAsia" w:ascii="仿宋_GB2312" w:eastAsia="仿宋_GB2312"/>
          <w:sz w:val="28"/>
          <w:szCs w:val="28"/>
        </w:rPr>
        <w:t>1.评价得分情况</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ascii="仿宋_GB2312" w:eastAsia="仿宋_GB2312"/>
          <w:sz w:val="28"/>
          <w:szCs w:val="28"/>
        </w:rPr>
      </w:pPr>
      <w:r>
        <w:rPr>
          <w:rFonts w:hint="eastAsia" w:ascii="仿宋_GB2312" w:eastAsia="仿宋_GB2312"/>
          <w:sz w:val="28"/>
          <w:szCs w:val="28"/>
        </w:rPr>
        <w:t>绩效自评总分：</w:t>
      </w:r>
      <w:r>
        <w:rPr>
          <w:rFonts w:hint="eastAsia" w:ascii="仿宋_GB2312" w:eastAsia="仿宋_GB2312"/>
          <w:sz w:val="28"/>
          <w:szCs w:val="28"/>
          <w:lang w:val="en-US" w:eastAsia="zh-CN"/>
        </w:rPr>
        <w:t>99</w:t>
      </w:r>
      <w:r>
        <w:rPr>
          <w:rFonts w:hint="eastAsia" w:ascii="仿宋_GB2312" w:eastAsia="仿宋_GB2312"/>
          <w:sz w:val="28"/>
          <w:szCs w:val="28"/>
        </w:rPr>
        <w:t>分</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hint="eastAsia" w:ascii="仿宋_GB2312" w:eastAsia="仿宋_GB2312"/>
          <w:sz w:val="28"/>
          <w:szCs w:val="28"/>
          <w:lang w:eastAsia="zh-CN"/>
        </w:rPr>
      </w:pPr>
      <w:r>
        <w:rPr>
          <w:rFonts w:hint="eastAsia" w:ascii="仿宋_GB2312" w:eastAsia="仿宋_GB2312"/>
          <w:sz w:val="28"/>
          <w:szCs w:val="28"/>
        </w:rPr>
        <w:t>绩效自评等级：</w:t>
      </w:r>
      <w:r>
        <w:rPr>
          <w:rFonts w:hint="eastAsia" w:ascii="仿宋_GB2312" w:eastAsia="仿宋_GB2312"/>
          <w:sz w:val="28"/>
          <w:szCs w:val="28"/>
          <w:lang w:eastAsia="zh-CN"/>
        </w:rPr>
        <w:t>优秀</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ascii="仿宋_GB2312" w:eastAsia="仿宋_GB2312"/>
          <w:sz w:val="28"/>
          <w:szCs w:val="28"/>
        </w:rPr>
      </w:pPr>
      <w:r>
        <w:rPr>
          <w:rFonts w:hint="eastAsia" w:ascii="仿宋_GB2312" w:eastAsia="仿宋_GB2312"/>
          <w:sz w:val="28"/>
          <w:szCs w:val="28"/>
        </w:rPr>
        <w:t>2.存在的问题及原因分析</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hint="eastAsia" w:ascii="仿宋_GB2312" w:eastAsia="仿宋_GB2312"/>
          <w:sz w:val="28"/>
          <w:szCs w:val="28"/>
          <w:lang w:eastAsia="zh-CN"/>
        </w:rPr>
      </w:pPr>
      <w:r>
        <w:rPr>
          <w:rFonts w:hint="eastAsia" w:ascii="仿宋_GB2312" w:eastAsia="仿宋_GB2312"/>
          <w:sz w:val="28"/>
          <w:szCs w:val="28"/>
          <w:lang w:eastAsia="zh-CN"/>
        </w:rPr>
        <w:t>无。</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ascii="仿宋_GB2312" w:eastAsia="仿宋_GB2312"/>
          <w:sz w:val="28"/>
          <w:szCs w:val="28"/>
        </w:rPr>
      </w:pPr>
      <w:r>
        <w:rPr>
          <w:rFonts w:hint="eastAsia" w:ascii="仿宋_GB2312" w:eastAsia="仿宋_GB2312"/>
          <w:sz w:val="28"/>
          <w:szCs w:val="28"/>
        </w:rPr>
        <w:t>3.改进措施</w:t>
      </w:r>
    </w:p>
    <w:p>
      <w:pPr>
        <w:keepNext w:val="0"/>
        <w:keepLines w:val="0"/>
        <w:pageBreakBefore w:val="0"/>
        <w:widowControl w:val="0"/>
        <w:kinsoku/>
        <w:wordWrap/>
        <w:overflowPunct/>
        <w:topLinePunct w:val="0"/>
        <w:autoSpaceDE/>
        <w:autoSpaceDN/>
        <w:bidi w:val="0"/>
        <w:adjustRightInd/>
        <w:snapToGrid/>
        <w:spacing w:line="240" w:lineRule="auto"/>
        <w:ind w:firstLine="1134"/>
        <w:textAlignment w:val="auto"/>
        <w:outlineLvl w:val="9"/>
        <w:rPr>
          <w:rFonts w:hint="eastAsia" w:ascii="仿宋_GB2312" w:eastAsia="仿宋_GB2312"/>
          <w:sz w:val="28"/>
          <w:szCs w:val="28"/>
          <w:lang w:eastAsia="zh-CN"/>
        </w:rPr>
      </w:pPr>
      <w:r>
        <w:rPr>
          <w:rFonts w:hint="eastAsia" w:ascii="仿宋_GB2312" w:eastAsia="仿宋_GB2312"/>
          <w:sz w:val="28"/>
          <w:szCs w:val="28"/>
          <w:lang w:eastAsia="zh-CN"/>
        </w:rPr>
        <w:t>无。</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ascii="仿宋_GB2312" w:eastAsia="仿宋_GB2312"/>
          <w:sz w:val="28"/>
          <w:szCs w:val="28"/>
          <w:highlight w:val="none"/>
        </w:rPr>
      </w:pPr>
      <w:r>
        <w:rPr>
          <w:rFonts w:hint="eastAsia" w:ascii="仿宋_GB2312" w:eastAsia="仿宋_GB2312"/>
          <w:sz w:val="28"/>
          <w:szCs w:val="28"/>
          <w:highlight w:val="none"/>
        </w:rPr>
        <w:t>2025年度区财政批复项目支出</w:t>
      </w:r>
      <w:r>
        <w:rPr>
          <w:rFonts w:ascii="仿宋_GB2312" w:eastAsia="仿宋_GB2312"/>
          <w:sz w:val="28"/>
          <w:szCs w:val="28"/>
          <w:highlight w:val="none"/>
        </w:rPr>
        <w:t>预算项目</w:t>
      </w:r>
      <w:r>
        <w:rPr>
          <w:rFonts w:hint="eastAsia" w:ascii="仿宋_GB2312" w:eastAsia="仿宋_GB2312"/>
          <w:sz w:val="28"/>
          <w:szCs w:val="28"/>
          <w:highlight w:val="none"/>
          <w:lang w:val="en-US" w:eastAsia="zh-CN"/>
        </w:rPr>
        <w:t>79</w:t>
      </w:r>
      <w:r>
        <w:rPr>
          <w:rFonts w:hint="eastAsia" w:ascii="仿宋_GB2312" w:eastAsia="仿宋_GB2312"/>
          <w:sz w:val="28"/>
          <w:szCs w:val="28"/>
          <w:highlight w:val="none"/>
        </w:rPr>
        <w:t>个，涉及金额</w:t>
      </w:r>
      <w:r>
        <w:rPr>
          <w:rFonts w:hint="eastAsia" w:ascii="仿宋_GB2312" w:eastAsia="仿宋_GB2312"/>
          <w:sz w:val="28"/>
          <w:szCs w:val="28"/>
          <w:highlight w:val="none"/>
          <w:lang w:val="en-US" w:eastAsia="zh-CN"/>
        </w:rPr>
        <w:t>89,148,678.65</w:t>
      </w:r>
      <w:r>
        <w:rPr>
          <w:rFonts w:hint="eastAsia" w:ascii="仿宋_GB2312" w:eastAsia="仿宋_GB2312"/>
          <w:sz w:val="28"/>
          <w:szCs w:val="28"/>
          <w:highlight w:val="none"/>
        </w:rPr>
        <w:t>元。本次</w:t>
      </w:r>
      <w:r>
        <w:rPr>
          <w:rFonts w:ascii="仿宋_GB2312" w:eastAsia="仿宋_GB2312"/>
          <w:sz w:val="28"/>
          <w:szCs w:val="28"/>
          <w:highlight w:val="none"/>
        </w:rPr>
        <w:t>实施</w:t>
      </w:r>
      <w:r>
        <w:rPr>
          <w:rFonts w:hint="eastAsia" w:ascii="仿宋_GB2312" w:eastAsia="仿宋_GB2312"/>
          <w:sz w:val="28"/>
          <w:szCs w:val="28"/>
          <w:highlight w:val="none"/>
        </w:rPr>
        <w:t>绩效自评项目</w:t>
      </w:r>
      <w:r>
        <w:rPr>
          <w:rFonts w:hint="eastAsia" w:ascii="仿宋_GB2312" w:eastAsia="仿宋_GB2312"/>
          <w:sz w:val="28"/>
          <w:szCs w:val="28"/>
          <w:highlight w:val="none"/>
          <w:lang w:val="en-US" w:eastAsia="zh-CN"/>
        </w:rPr>
        <w:t>76</w:t>
      </w:r>
      <w:r>
        <w:rPr>
          <w:rFonts w:hint="eastAsia" w:ascii="仿宋_GB2312" w:eastAsia="仿宋_GB2312"/>
          <w:sz w:val="28"/>
          <w:szCs w:val="28"/>
          <w:highlight w:val="none"/>
        </w:rPr>
        <w:t>个，涉及金额</w:t>
      </w:r>
      <w:r>
        <w:rPr>
          <w:rFonts w:hint="eastAsia" w:ascii="仿宋_GB2312" w:eastAsia="仿宋_GB2312"/>
          <w:sz w:val="28"/>
          <w:szCs w:val="28"/>
          <w:highlight w:val="none"/>
          <w:lang w:val="en-US" w:eastAsia="zh-CN"/>
        </w:rPr>
        <w:t>83,841,338.65</w:t>
      </w:r>
      <w:r>
        <w:rPr>
          <w:rFonts w:hint="eastAsia" w:ascii="仿宋_GB2312" w:eastAsia="仿宋_GB2312"/>
          <w:sz w:val="28"/>
          <w:szCs w:val="28"/>
          <w:highlight w:val="none"/>
        </w:rPr>
        <w:t>元。评价得分在90分（含90分）以上的</w:t>
      </w:r>
      <w:r>
        <w:rPr>
          <w:rFonts w:hint="eastAsia" w:ascii="仿宋_GB2312" w:eastAsia="仿宋_GB2312"/>
          <w:sz w:val="28"/>
          <w:szCs w:val="28"/>
          <w:highlight w:val="none"/>
          <w:lang w:val="en-US" w:eastAsia="zh-CN"/>
        </w:rPr>
        <w:t>76</w:t>
      </w:r>
      <w:r>
        <w:rPr>
          <w:rFonts w:hint="eastAsia" w:ascii="仿宋_GB2312" w:eastAsia="仿宋_GB2312"/>
          <w:sz w:val="28"/>
          <w:szCs w:val="28"/>
          <w:highlight w:val="none"/>
        </w:rPr>
        <w:t>个，评价得分在80-90分（含80分）的</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个，评价得分在60-80分（含60分）的</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个，评价得分在60分以下的</w:t>
      </w:r>
      <w:r>
        <w:rPr>
          <w:rFonts w:hint="eastAsia" w:ascii="仿宋_GB2312" w:eastAsia="仿宋_GB2312"/>
          <w:sz w:val="28"/>
          <w:szCs w:val="28"/>
          <w:highlight w:val="none"/>
          <w:lang w:val="en-US" w:eastAsia="zh-CN"/>
        </w:rPr>
        <w:t>0</w:t>
      </w:r>
      <w:r>
        <w:rPr>
          <w:rFonts w:hint="eastAsia" w:ascii="仿宋_GB2312" w:eastAsia="仿宋_GB2312"/>
          <w:sz w:val="28"/>
          <w:szCs w:val="28"/>
          <w:highlight w:val="none"/>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0"/>
        <w:rPr>
          <w:rFonts w:hint="eastAsia" w:ascii="仿宋_GB2312" w:hAnsi="Calibri" w:eastAsia="仿宋_GB2312"/>
          <w:sz w:val="28"/>
          <w:szCs w:val="28"/>
        </w:rPr>
      </w:pPr>
      <w:r>
        <w:rPr>
          <w:rFonts w:hint="eastAsia" w:ascii="仿宋_GB2312" w:eastAsia="仿宋_GB2312"/>
          <w:sz w:val="28"/>
          <w:szCs w:val="28"/>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0"/>
        <w:rPr>
          <w:rFonts w:hint="eastAsia" w:ascii="仿宋_GB2312" w:hAnsi="Calibri" w:eastAsia="仿宋_GB2312"/>
          <w:sz w:val="28"/>
          <w:szCs w:val="28"/>
        </w:rPr>
      </w:pPr>
      <w:r>
        <w:rPr>
          <w:rFonts w:hint="eastAsia" w:ascii="仿宋_GB2312" w:eastAsia="仿宋_GB2312"/>
          <w:sz w:val="28"/>
          <w:szCs w:val="28"/>
        </w:rPr>
        <w:t>请参考《关于开展2025年度项目支出绩效自评工作的通知》（门财绩效[2026]72号）</w:t>
      </w:r>
      <w:r>
        <w:rPr>
          <w:rFonts w:hint="eastAsia" w:ascii="仿宋_GB2312" w:eastAsia="仿宋_GB2312"/>
          <w:b/>
          <w:sz w:val="28"/>
          <w:szCs w:val="28"/>
        </w:rPr>
        <w:t>及决算公开培训要求</w:t>
      </w:r>
      <w:r>
        <w:rPr>
          <w:rFonts w:hint="eastAsia" w:ascii="仿宋_GB2312" w:eastAsia="仿宋_GB2312"/>
          <w:sz w:val="28"/>
          <w:szCs w:val="28"/>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附件：1.重点支出项目绩效自评报告</w:t>
      </w:r>
    </w:p>
    <w:p>
      <w:pPr>
        <w:keepNext w:val="0"/>
        <w:keepLines w:val="0"/>
        <w:pageBreakBefore w:val="0"/>
        <w:widowControl w:val="0"/>
        <w:kinsoku/>
        <w:wordWrap/>
        <w:overflowPunct/>
        <w:topLinePunct w:val="0"/>
        <w:autoSpaceDE/>
        <w:autoSpaceDN/>
        <w:bidi w:val="0"/>
        <w:adjustRightInd/>
        <w:snapToGrid/>
        <w:spacing w:line="240" w:lineRule="auto"/>
        <w:ind w:firstLine="1400" w:firstLineChars="500"/>
        <w:textAlignment w:val="auto"/>
        <w:outlineLvl w:val="9"/>
        <w:rPr>
          <w:rFonts w:hint="eastAsia" w:ascii="仿宋_GB2312" w:eastAsia="仿宋_GB2312"/>
          <w:sz w:val="28"/>
          <w:szCs w:val="28"/>
        </w:rPr>
      </w:pPr>
      <w:r>
        <w:rPr>
          <w:rFonts w:hint="eastAsia" w:ascii="仿宋_GB2312" w:eastAsia="仿宋_GB2312"/>
          <w:sz w:val="28"/>
          <w:szCs w:val="28"/>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6"/>
      </w:rPr>
    </w:pPr>
    <w:r>
      <w:fldChar w:fldCharType="begin"/>
    </w:r>
    <w:r>
      <w:rPr>
        <w:rStyle w:val="16"/>
      </w:rPr>
      <w:instrText xml:space="preserve">PAGE  </w:instrText>
    </w:r>
    <w:r>
      <w:fldChar w:fldCharType="separate"/>
    </w:r>
    <w:r>
      <w:rPr>
        <w:rStyle w:val="16"/>
      </w:rPr>
      <w:t>3</w:t>
    </w:r>
    <w: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6"/>
      </w:rPr>
    </w:pPr>
    <w:r>
      <w:fldChar w:fldCharType="begin"/>
    </w:r>
    <w:r>
      <w:rPr>
        <w:rStyle w:val="16"/>
      </w:rPr>
      <w:instrText xml:space="preserve">PAGE  </w:instrText>
    </w:r>
    <w:r>
      <w:fldChar w:fldCharType="separate"/>
    </w:r>
    <w:r>
      <w:rPr>
        <w:rStyle w:val="16"/>
      </w:rPr>
      <w:t>16</w:t>
    </w:r>
    <w:r>
      <w:fldChar w:fldCharType="end"/>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6"/>
      </w:rPr>
    </w:pPr>
    <w:r>
      <w:fldChar w:fldCharType="begin"/>
    </w:r>
    <w:r>
      <w:rPr>
        <w:rStyle w:val="16"/>
      </w:rPr>
      <w:instrText xml:space="preserve">PAGE  </w:instrText>
    </w:r>
    <w:r>
      <w:fldChar w:fldCharType="separate"/>
    </w:r>
    <w:r>
      <w:rPr>
        <w:rStyle w:val="16"/>
      </w:rPr>
      <w:t>15</w:t>
    </w:r>
    <w:r>
      <w:fldChar w:fldCharType="end"/>
    </w: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3D84CF"/>
    <w:multiLevelType w:val="singleLevel"/>
    <w:tmpl w:val="B33D84CF"/>
    <w:lvl w:ilvl="0" w:tentative="0">
      <w:start w:val="1"/>
      <w:numFmt w:val="chineseCounting"/>
      <w:suff w:val="nothing"/>
      <w:lvlText w:val="（%1）"/>
      <w:lvlJc w:val="left"/>
      <w:rPr>
        <w:rFonts w:hint="eastAsia"/>
      </w:rPr>
    </w:lvl>
  </w:abstractNum>
  <w:abstractNum w:abstractNumId="1">
    <w:nsid w:val="C479D63C"/>
    <w:multiLevelType w:val="singleLevel"/>
    <w:tmpl w:val="C479D63C"/>
    <w:lvl w:ilvl="0" w:tentative="0">
      <w:start w:val="1"/>
      <w:numFmt w:val="decimal"/>
      <w:lvlText w:val="%1."/>
      <w:lvlJc w:val="left"/>
      <w:pPr>
        <w:tabs>
          <w:tab w:val="left" w:pos="312"/>
        </w:tabs>
      </w:pPr>
    </w:lvl>
  </w:abstractNum>
  <w:abstractNum w:abstractNumId="2">
    <w:nsid w:val="DE94DBBA"/>
    <w:multiLevelType w:val="singleLevel"/>
    <w:tmpl w:val="DE94DBBA"/>
    <w:lvl w:ilvl="0" w:tentative="0">
      <w:start w:val="3"/>
      <w:numFmt w:val="decimal"/>
      <w:suff w:val="nothing"/>
      <w:lvlText w:val="%1、"/>
      <w:lvlJc w:val="left"/>
    </w:lvl>
  </w:abstractNum>
  <w:abstractNum w:abstractNumId="3">
    <w:nsid w:val="18DC9148"/>
    <w:multiLevelType w:val="singleLevel"/>
    <w:tmpl w:val="18DC9148"/>
    <w:lvl w:ilvl="0" w:tentative="0">
      <w:start w:val="2"/>
      <w:numFmt w:val="decimal"/>
      <w:suff w:val="nothing"/>
      <w:lvlText w:val="（%1）"/>
      <w:lvlJc w:val="left"/>
    </w:lvl>
  </w:abstractNum>
  <w:abstractNum w:abstractNumId="4">
    <w:nsid w:val="5B21FB1D"/>
    <w:multiLevelType w:val="singleLevel"/>
    <w:tmpl w:val="5B21FB1D"/>
    <w:lvl w:ilvl="0" w:tentative="0">
      <w:start w:val="2"/>
      <w:numFmt w:val="decimal"/>
      <w:suff w:val="nothing"/>
      <w:lvlText w:val="%1、"/>
      <w:lvlJc w:val="left"/>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571F1C"/>
    <w:rsid w:val="01960463"/>
    <w:rsid w:val="026A33B9"/>
    <w:rsid w:val="02B0552E"/>
    <w:rsid w:val="02F120AB"/>
    <w:rsid w:val="032B5196"/>
    <w:rsid w:val="04C3537C"/>
    <w:rsid w:val="05BD11A2"/>
    <w:rsid w:val="0703463B"/>
    <w:rsid w:val="079004AC"/>
    <w:rsid w:val="0BA148CA"/>
    <w:rsid w:val="0C1165C4"/>
    <w:rsid w:val="0D6D544B"/>
    <w:rsid w:val="0DD136FE"/>
    <w:rsid w:val="0F4802C3"/>
    <w:rsid w:val="0F8E2C57"/>
    <w:rsid w:val="1059665E"/>
    <w:rsid w:val="10AC13BA"/>
    <w:rsid w:val="11980797"/>
    <w:rsid w:val="13454573"/>
    <w:rsid w:val="13A96390"/>
    <w:rsid w:val="13AB357E"/>
    <w:rsid w:val="145A6C1B"/>
    <w:rsid w:val="146921B3"/>
    <w:rsid w:val="14B73493"/>
    <w:rsid w:val="167A2FF9"/>
    <w:rsid w:val="17815098"/>
    <w:rsid w:val="17E05399"/>
    <w:rsid w:val="184F2D4C"/>
    <w:rsid w:val="18581C69"/>
    <w:rsid w:val="186D28E5"/>
    <w:rsid w:val="1A3B5FA8"/>
    <w:rsid w:val="1AEC0734"/>
    <w:rsid w:val="1C203C3A"/>
    <w:rsid w:val="1C7E450C"/>
    <w:rsid w:val="1D132B32"/>
    <w:rsid w:val="1D4B22B8"/>
    <w:rsid w:val="1D50531B"/>
    <w:rsid w:val="1DEF20B0"/>
    <w:rsid w:val="1F1F1E2F"/>
    <w:rsid w:val="20933362"/>
    <w:rsid w:val="214243FA"/>
    <w:rsid w:val="21AD613C"/>
    <w:rsid w:val="22467189"/>
    <w:rsid w:val="23DE7749"/>
    <w:rsid w:val="257A14F5"/>
    <w:rsid w:val="25E653E3"/>
    <w:rsid w:val="264B3576"/>
    <w:rsid w:val="268247BC"/>
    <w:rsid w:val="27196C26"/>
    <w:rsid w:val="27376FAA"/>
    <w:rsid w:val="282336CB"/>
    <w:rsid w:val="29AC2546"/>
    <w:rsid w:val="29EF086F"/>
    <w:rsid w:val="2A014A0F"/>
    <w:rsid w:val="2EFFE297"/>
    <w:rsid w:val="301437CA"/>
    <w:rsid w:val="32791381"/>
    <w:rsid w:val="336767DA"/>
    <w:rsid w:val="34040444"/>
    <w:rsid w:val="349D1F0A"/>
    <w:rsid w:val="34DD0473"/>
    <w:rsid w:val="34DD46C6"/>
    <w:rsid w:val="35D20BD1"/>
    <w:rsid w:val="363314A3"/>
    <w:rsid w:val="3880360D"/>
    <w:rsid w:val="389171C4"/>
    <w:rsid w:val="3B492381"/>
    <w:rsid w:val="3C181CA7"/>
    <w:rsid w:val="3C684897"/>
    <w:rsid w:val="3ED41A42"/>
    <w:rsid w:val="400039CD"/>
    <w:rsid w:val="40AC5322"/>
    <w:rsid w:val="41C6204F"/>
    <w:rsid w:val="433E495C"/>
    <w:rsid w:val="44A6255C"/>
    <w:rsid w:val="46BA1ED6"/>
    <w:rsid w:val="47286D64"/>
    <w:rsid w:val="48007DD8"/>
    <w:rsid w:val="48660C4F"/>
    <w:rsid w:val="48752444"/>
    <w:rsid w:val="489F2FD7"/>
    <w:rsid w:val="48A03AF3"/>
    <w:rsid w:val="48BC4C49"/>
    <w:rsid w:val="49065886"/>
    <w:rsid w:val="49C57DFA"/>
    <w:rsid w:val="4AC27CB3"/>
    <w:rsid w:val="4BF72BEF"/>
    <w:rsid w:val="4ECF79FC"/>
    <w:rsid w:val="4F99616E"/>
    <w:rsid w:val="4FA90297"/>
    <w:rsid w:val="4FC41A43"/>
    <w:rsid w:val="51391FC3"/>
    <w:rsid w:val="51801B7F"/>
    <w:rsid w:val="51DB3C59"/>
    <w:rsid w:val="52D253CF"/>
    <w:rsid w:val="539C3B43"/>
    <w:rsid w:val="53A6417E"/>
    <w:rsid w:val="550C0952"/>
    <w:rsid w:val="55762E42"/>
    <w:rsid w:val="56CD6C65"/>
    <w:rsid w:val="57A7B272"/>
    <w:rsid w:val="58470068"/>
    <w:rsid w:val="58747CAC"/>
    <w:rsid w:val="58892541"/>
    <w:rsid w:val="5A1720F9"/>
    <w:rsid w:val="5A6E3132"/>
    <w:rsid w:val="5B9530F1"/>
    <w:rsid w:val="5B9C37C2"/>
    <w:rsid w:val="5BA7C654"/>
    <w:rsid w:val="5D8E4DBC"/>
    <w:rsid w:val="5DC1360E"/>
    <w:rsid w:val="5FB2452F"/>
    <w:rsid w:val="60A54109"/>
    <w:rsid w:val="60BF0363"/>
    <w:rsid w:val="61D01CDF"/>
    <w:rsid w:val="6226321C"/>
    <w:rsid w:val="64C0607C"/>
    <w:rsid w:val="65756C86"/>
    <w:rsid w:val="674D385B"/>
    <w:rsid w:val="676F09E1"/>
    <w:rsid w:val="691230FE"/>
    <w:rsid w:val="6B12112A"/>
    <w:rsid w:val="6B172496"/>
    <w:rsid w:val="6C09731C"/>
    <w:rsid w:val="6F7C1B34"/>
    <w:rsid w:val="6F9122B3"/>
    <w:rsid w:val="712655EB"/>
    <w:rsid w:val="71793A80"/>
    <w:rsid w:val="7357290B"/>
    <w:rsid w:val="75E645F2"/>
    <w:rsid w:val="77FC79B7"/>
    <w:rsid w:val="784B01B4"/>
    <w:rsid w:val="79080E60"/>
    <w:rsid w:val="798524E4"/>
    <w:rsid w:val="7A7F1C49"/>
    <w:rsid w:val="7B5B7AE6"/>
    <w:rsid w:val="7B7B6628"/>
    <w:rsid w:val="7BA7071E"/>
    <w:rsid w:val="7BDF6DA8"/>
    <w:rsid w:val="7BDF7589"/>
    <w:rsid w:val="7C7EDC1A"/>
    <w:rsid w:val="7CCED98D"/>
    <w:rsid w:val="7D08410F"/>
    <w:rsid w:val="7D2759BE"/>
    <w:rsid w:val="7D421C98"/>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4"/>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4">
    <w:name w:val="Default Paragraph Font"/>
    <w:semiHidden/>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next w:val="1"/>
    <w:qFormat/>
    <w:uiPriority w:val="0"/>
    <w:rPr>
      <w:rFonts w:ascii="宋体" w:hAnsi="宋体" w:eastAsia="宋体" w:cs="Times New Roman"/>
      <w:szCs w:val="22"/>
    </w:rPr>
  </w:style>
  <w:style w:type="paragraph" w:styleId="4">
    <w:name w:val="Normal Indent"/>
    <w:basedOn w:val="1"/>
    <w:qFormat/>
    <w:uiPriority w:val="0"/>
    <w:pPr>
      <w:ind w:firstLine="200" w:firstLineChars="200"/>
    </w:pPr>
  </w:style>
  <w:style w:type="paragraph" w:styleId="5">
    <w:name w:val="Body Text"/>
    <w:basedOn w:val="1"/>
    <w:next w:val="6"/>
    <w:unhideWhenUsed/>
    <w:qFormat/>
    <w:uiPriority w:val="1"/>
    <w:pPr>
      <w:spacing w:beforeLines="0" w:afterLines="0"/>
    </w:pPr>
    <w:rPr>
      <w:rFonts w:hint="eastAsia"/>
      <w:sz w:val="32"/>
    </w:rPr>
  </w:style>
  <w:style w:type="paragraph" w:customStyle="1" w:styleId="6">
    <w:name w:val="toc 11"/>
    <w:next w:val="1"/>
    <w:unhideWhenUsed/>
    <w:qFormat/>
    <w:uiPriority w:val="0"/>
    <w:pPr>
      <w:wordWrap w:val="0"/>
      <w:jc w:val="both"/>
    </w:pPr>
    <w:rPr>
      <w:rFonts w:hint="default" w:ascii="Times New Roman" w:hAnsi="Times New Roman" w:eastAsia="宋体" w:cs="Times New Roman"/>
      <w:sz w:val="21"/>
      <w:lang w:val="en-US" w:eastAsia="zh-CN"/>
    </w:rPr>
  </w:style>
  <w:style w:type="paragraph" w:styleId="7">
    <w:name w:val="Body Text Indent"/>
    <w:basedOn w:val="1"/>
    <w:qFormat/>
    <w:uiPriority w:val="0"/>
    <w:pPr>
      <w:ind w:firstLine="645"/>
    </w:pPr>
    <w:rPr>
      <w:rFonts w:ascii="仿宋_GB2312" w:hAnsi="Calibri" w:eastAsia="仿宋_GB2312"/>
      <w:sz w:val="32"/>
      <w:szCs w:val="32"/>
    </w:rPr>
  </w:style>
  <w:style w:type="paragraph" w:styleId="8">
    <w:name w:val="Block Text"/>
    <w:basedOn w:val="1"/>
    <w:qFormat/>
    <w:uiPriority w:val="0"/>
    <w:pPr>
      <w:spacing w:after="120"/>
      <w:ind w:left="1440" w:leftChars="700" w:right="1440" w:rightChars="700"/>
    </w:pPr>
  </w:style>
  <w:style w:type="paragraph" w:styleId="9">
    <w:name w:val="Date"/>
    <w:basedOn w:val="1"/>
    <w:next w:val="1"/>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link w:val="18"/>
    <w:qFormat/>
    <w:uiPriority w:val="0"/>
    <w:pPr>
      <w:tabs>
        <w:tab w:val="center" w:pos="4153"/>
        <w:tab w:val="right" w:pos="8306"/>
      </w:tabs>
      <w:snapToGrid w:val="0"/>
      <w:jc w:val="left"/>
    </w:pPr>
    <w:rPr>
      <w:sz w:val="18"/>
      <w:szCs w:val="18"/>
    </w:rPr>
  </w:style>
  <w:style w:type="paragraph" w:styleId="12">
    <w:name w:val="header"/>
    <w:basedOn w:val="1"/>
    <w:link w:val="19"/>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3">
    <w:name w:val="Normal (Web)"/>
    <w:basedOn w:val="1"/>
    <w:unhideWhenUsed/>
    <w:qFormat/>
    <w:uiPriority w:val="0"/>
    <w:pPr>
      <w:spacing w:before="100" w:beforeAutospacing="1" w:after="100" w:afterAutospacing="1"/>
      <w:ind w:right="238"/>
      <w:jc w:val="left"/>
    </w:pPr>
    <w:rPr>
      <w:b/>
      <w:kern w:val="0"/>
      <w:sz w:val="24"/>
      <w:szCs w:val="20"/>
    </w:rPr>
  </w:style>
  <w:style w:type="character" w:styleId="15">
    <w:name w:val="Strong"/>
    <w:qFormat/>
    <w:uiPriority w:val="0"/>
    <w:rPr>
      <w:b/>
    </w:rPr>
  </w:style>
  <w:style w:type="character" w:styleId="16">
    <w:name w:val="page number"/>
    <w:qFormat/>
    <w:uiPriority w:val="0"/>
  </w:style>
  <w:style w:type="character" w:customStyle="1" w:styleId="18">
    <w:name w:val="页脚 Char"/>
    <w:link w:val="11"/>
    <w:qFormat/>
    <w:uiPriority w:val="0"/>
    <w:rPr>
      <w:rFonts w:eastAsia="宋体"/>
      <w:kern w:val="2"/>
      <w:sz w:val="18"/>
      <w:szCs w:val="18"/>
      <w:lang w:val="en-US" w:eastAsia="zh-CN" w:bidi="ar-SA"/>
    </w:rPr>
  </w:style>
  <w:style w:type="character" w:customStyle="1" w:styleId="19">
    <w:name w:val="页眉 Char"/>
    <w:link w:val="12"/>
    <w:qFormat/>
    <w:uiPriority w:val="0"/>
    <w:rPr>
      <w:rFonts w:ascii="Calibri" w:hAnsi="Calibri" w:eastAsia="宋体"/>
      <w:kern w:val="2"/>
      <w:sz w:val="18"/>
      <w:szCs w:val="18"/>
      <w:lang w:val="en-US" w:eastAsia="zh-CN" w:bidi="ar-SA"/>
    </w:rPr>
  </w:style>
  <w:style w:type="paragraph" w:customStyle="1" w:styleId="20">
    <w:name w:val="Char Char Char Char Char Char Char"/>
    <w:basedOn w:val="1"/>
    <w:qFormat/>
    <w:uiPriority w:val="0"/>
    <w:rPr>
      <w:rFonts w:ascii="Tahoma" w:hAnsi="Tahoma"/>
      <w:sz w:val="24"/>
      <w:szCs w:val="20"/>
    </w:rPr>
  </w:style>
  <w:style w:type="paragraph" w:customStyle="1" w:styleId="21">
    <w:name w:val="Char1 Char Char Char"/>
    <w:basedOn w:val="1"/>
    <w:qFormat/>
    <w:uiPriority w:val="0"/>
    <w:pPr>
      <w:widowControl/>
      <w:spacing w:after="160" w:line="240" w:lineRule="exact"/>
      <w:jc w:val="left"/>
    </w:pPr>
    <w:rPr>
      <w:szCs w:val="20"/>
    </w:rPr>
  </w:style>
  <w:style w:type="paragraph" w:customStyle="1" w:styleId="22">
    <w:name w:val="Char"/>
    <w:basedOn w:val="1"/>
    <w:qFormat/>
    <w:uiPriority w:val="0"/>
    <w:rPr>
      <w:rFonts w:ascii="Tahoma" w:hAnsi="Tahoma"/>
      <w:sz w:val="24"/>
      <w:szCs w:val="20"/>
    </w:rPr>
  </w:style>
  <w:style w:type="paragraph" w:customStyle="1" w:styleId="23">
    <w:name w:val="Char Char3 Char Char"/>
    <w:basedOn w:val="1"/>
    <w:qFormat/>
    <w:uiPriority w:val="0"/>
    <w:rPr>
      <w:szCs w:val="21"/>
    </w:rPr>
  </w:style>
  <w:style w:type="character" w:customStyle="1" w:styleId="24">
    <w:name w:val="NormalCharacter"/>
    <w:link w:val="1"/>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11948.54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3137.06</c:v>
                </c:pt>
                <c:pt idx="1">
                  <c:v>8811.49</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20</TotalTime>
  <ScaleCrop>false</ScaleCrop>
  <LinksUpToDate>false</LinksUpToDate>
  <CharactersWithSpaces>6191</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gxc</cp:lastModifiedBy>
  <cp:lastPrinted>2026-08-26T06:48:32Z</cp:lastPrinted>
  <dcterms:modified xsi:type="dcterms:W3CDTF">2026-08-26T06:49:58Z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