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9CDCC">
      <w:pPr>
        <w:jc w:val="center"/>
        <w:rPr>
          <w:rFonts w:ascii="仿宋_GB2312" w:eastAsia="仿宋_GB2312"/>
          <w:b/>
          <w:sz w:val="32"/>
          <w:szCs w:val="32"/>
        </w:rPr>
      </w:pPr>
    </w:p>
    <w:p w14:paraId="582351CF">
      <w:pPr>
        <w:jc w:val="center"/>
        <w:rPr>
          <w:rFonts w:ascii="黑体" w:eastAsia="黑体"/>
          <w:sz w:val="72"/>
          <w:szCs w:val="72"/>
        </w:rPr>
      </w:pPr>
    </w:p>
    <w:p w14:paraId="2F417BBF">
      <w:pPr>
        <w:jc w:val="center"/>
        <w:rPr>
          <w:rFonts w:ascii="黑体" w:eastAsia="黑体"/>
          <w:sz w:val="72"/>
          <w:szCs w:val="72"/>
        </w:rPr>
      </w:pPr>
    </w:p>
    <w:p w14:paraId="553961D7">
      <w:pPr>
        <w:jc w:val="center"/>
        <w:rPr>
          <w:rFonts w:ascii="黑体" w:eastAsia="黑体"/>
          <w:sz w:val="72"/>
          <w:szCs w:val="72"/>
        </w:rPr>
      </w:pPr>
    </w:p>
    <w:p w14:paraId="77B7EE3E">
      <w:pPr>
        <w:jc w:val="center"/>
        <w:rPr>
          <w:rFonts w:ascii="黑体" w:eastAsia="黑体"/>
          <w:sz w:val="72"/>
          <w:szCs w:val="72"/>
        </w:rPr>
      </w:pPr>
    </w:p>
    <w:p w14:paraId="0254C0E9">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7614FD5E">
      <w:pPr>
        <w:jc w:val="center"/>
        <w:rPr>
          <w:rFonts w:ascii="黑体" w:eastAsia="黑体"/>
          <w:sz w:val="52"/>
          <w:szCs w:val="52"/>
        </w:rPr>
      </w:pPr>
    </w:p>
    <w:p w14:paraId="1E5289BA">
      <w:pPr>
        <w:jc w:val="center"/>
        <w:rPr>
          <w:rFonts w:ascii="黑体" w:eastAsia="黑体"/>
          <w:sz w:val="52"/>
          <w:szCs w:val="52"/>
        </w:rPr>
      </w:pPr>
    </w:p>
    <w:p w14:paraId="122A446D">
      <w:pPr>
        <w:jc w:val="center"/>
        <w:rPr>
          <w:rFonts w:ascii="黑体" w:eastAsia="黑体"/>
          <w:sz w:val="52"/>
          <w:szCs w:val="52"/>
        </w:rPr>
      </w:pPr>
    </w:p>
    <w:p w14:paraId="36444A5E">
      <w:pPr>
        <w:jc w:val="center"/>
        <w:rPr>
          <w:rFonts w:ascii="黑体" w:eastAsia="黑体"/>
          <w:sz w:val="52"/>
          <w:szCs w:val="52"/>
        </w:rPr>
      </w:pPr>
    </w:p>
    <w:p w14:paraId="3ACEE7EB">
      <w:pPr>
        <w:jc w:val="center"/>
        <w:rPr>
          <w:rFonts w:ascii="黑体" w:eastAsia="黑体"/>
          <w:sz w:val="32"/>
          <w:szCs w:val="32"/>
        </w:rPr>
      </w:pPr>
    </w:p>
    <w:p w14:paraId="360F08FB">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3169D3C5">
      <w:pPr>
        <w:spacing w:line="500" w:lineRule="exact"/>
        <w:ind w:firstLine="645"/>
        <w:jc w:val="center"/>
        <w:rPr>
          <w:rFonts w:ascii="宋体" w:hAnsi="宋体" w:cs="宋体"/>
          <w:b/>
          <w:bCs/>
          <w:kern w:val="0"/>
          <w:sz w:val="36"/>
          <w:szCs w:val="36"/>
        </w:rPr>
      </w:pPr>
    </w:p>
    <w:p w14:paraId="50DF2F61">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357A0401">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0EC38118">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0947AC2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1BE66B4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3A85A655">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0AB8E16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42C6B46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0441BFD8">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5C55C965">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5561A14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69D22CC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70E28936">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44C59A32">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5B4069AD">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3D58792D">
      <w:pPr>
        <w:tabs>
          <w:tab w:val="center" w:pos="6979"/>
        </w:tabs>
        <w:spacing w:before="156" w:beforeLines="50" w:after="156" w:afterLines="50"/>
        <w:jc w:val="center"/>
        <w:rPr>
          <w:rFonts w:ascii="宋体" w:hAnsi="宋体" w:cs="宋体"/>
          <w:b/>
          <w:bCs/>
          <w:spacing w:val="40"/>
          <w:kern w:val="0"/>
          <w:sz w:val="32"/>
          <w:szCs w:val="32"/>
        </w:rPr>
      </w:pPr>
    </w:p>
    <w:p w14:paraId="3B23D3C0">
      <w:pPr>
        <w:tabs>
          <w:tab w:val="center" w:pos="6979"/>
        </w:tabs>
        <w:spacing w:before="156" w:beforeLines="50" w:after="156" w:afterLines="50"/>
        <w:jc w:val="center"/>
        <w:rPr>
          <w:rFonts w:ascii="宋体" w:hAnsi="宋体" w:cs="宋体"/>
          <w:b/>
          <w:bCs/>
          <w:spacing w:val="40"/>
          <w:kern w:val="0"/>
          <w:sz w:val="32"/>
          <w:szCs w:val="32"/>
        </w:rPr>
      </w:pPr>
    </w:p>
    <w:p w14:paraId="1936CBF5">
      <w:pPr>
        <w:tabs>
          <w:tab w:val="center" w:pos="6979"/>
        </w:tabs>
        <w:spacing w:before="156" w:beforeLines="50" w:after="156" w:afterLines="50"/>
        <w:jc w:val="center"/>
        <w:rPr>
          <w:rFonts w:ascii="宋体" w:hAnsi="宋体" w:cs="宋体"/>
          <w:b/>
          <w:bCs/>
          <w:spacing w:val="40"/>
          <w:kern w:val="0"/>
          <w:sz w:val="32"/>
          <w:szCs w:val="32"/>
        </w:rPr>
      </w:pPr>
    </w:p>
    <w:p w14:paraId="586B7C5B">
      <w:pPr>
        <w:tabs>
          <w:tab w:val="center" w:pos="6979"/>
        </w:tabs>
        <w:spacing w:before="156" w:beforeLines="50" w:after="156" w:afterLines="50"/>
        <w:jc w:val="center"/>
        <w:rPr>
          <w:rFonts w:ascii="宋体" w:hAnsi="宋体" w:cs="宋体"/>
          <w:b/>
          <w:bCs/>
          <w:spacing w:val="40"/>
          <w:kern w:val="0"/>
          <w:sz w:val="32"/>
          <w:szCs w:val="32"/>
        </w:rPr>
      </w:pPr>
    </w:p>
    <w:p w14:paraId="2BB262F6">
      <w:pPr>
        <w:tabs>
          <w:tab w:val="center" w:pos="6979"/>
        </w:tabs>
        <w:spacing w:before="156" w:beforeLines="50" w:after="156" w:afterLines="50"/>
        <w:jc w:val="center"/>
        <w:rPr>
          <w:rFonts w:ascii="宋体" w:hAnsi="宋体" w:cs="宋体"/>
          <w:b/>
          <w:bCs/>
          <w:spacing w:val="40"/>
          <w:kern w:val="0"/>
          <w:sz w:val="32"/>
          <w:szCs w:val="32"/>
        </w:rPr>
      </w:pPr>
    </w:p>
    <w:p w14:paraId="01D35DC0">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32577C13">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7C656CC9">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10A4DDBA">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14:paraId="1074CF80">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13A03BF3">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中关村科技园区门头沟园管理委员会根据区政府授权的负责对中关村科技园区门头沟园行使管理、监督、协调、服务等职能，全面贯彻落实区委、区政府工作要求及总体部署。中关村科技园区门头沟园管理委员会对中关村科技园区门头沟园范围内的整体发展规划、空间规划、产业发展与布局、项目准入标准、企业服务等重要业务实行统一领导。</w:t>
      </w:r>
    </w:p>
    <w:p w14:paraId="7405BA98">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（二）机构设置情况</w:t>
      </w:r>
    </w:p>
    <w:p w14:paraId="6C8F814D">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本部门共设 3 个内设机构，分别为综合办公室、规划建设科、产业促进发展科,下设 1 个事业单位，为非独立核算的全额拨款事业单位，即中关村科技园区门头沟园创新发展促进中心。</w:t>
      </w:r>
    </w:p>
    <w:p w14:paraId="1119A149">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06D371BF">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69</w:t>
      </w:r>
      <w:r>
        <w:rPr>
          <w:rFonts w:hint="eastAsia" w:ascii="仿宋_GB2312" w:eastAsia="仿宋_GB2312"/>
          <w:sz w:val="28"/>
          <w:szCs w:val="28"/>
        </w:rPr>
        <w:t>,</w:t>
      </w:r>
      <w:r>
        <w:rPr>
          <w:rFonts w:ascii="仿宋_GB2312" w:eastAsia="仿宋_GB2312"/>
          <w:sz w:val="28"/>
          <w:szCs w:val="28"/>
        </w:rPr>
        <w:t>991</w:t>
      </w:r>
      <w:r>
        <w:rPr>
          <w:rFonts w:hint="eastAsia" w:ascii="仿宋_GB2312" w:eastAsia="仿宋_GB2312"/>
          <w:sz w:val="28"/>
          <w:szCs w:val="28"/>
        </w:rPr>
        <w:t>,</w:t>
      </w:r>
      <w:r>
        <w:rPr>
          <w:rFonts w:ascii="仿宋_GB2312" w:eastAsia="仿宋_GB2312"/>
          <w:sz w:val="28"/>
          <w:szCs w:val="28"/>
        </w:rPr>
        <w:t>597.55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48,185,976.74元，增长220.98%。</w:t>
      </w:r>
    </w:p>
    <w:p w14:paraId="2BC57AED">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1D0367EC">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69</w:t>
      </w:r>
      <w:r>
        <w:rPr>
          <w:rFonts w:hint="eastAsia" w:ascii="仿宋_GB2312" w:eastAsia="仿宋_GB2312"/>
          <w:sz w:val="28"/>
          <w:szCs w:val="28"/>
        </w:rPr>
        <w:t>,</w:t>
      </w:r>
      <w:r>
        <w:rPr>
          <w:rFonts w:ascii="仿宋_GB2312" w:eastAsia="仿宋_GB2312"/>
          <w:sz w:val="28"/>
          <w:szCs w:val="28"/>
        </w:rPr>
        <w:t>991</w:t>
      </w:r>
      <w:r>
        <w:rPr>
          <w:rFonts w:hint="eastAsia" w:ascii="仿宋_GB2312" w:eastAsia="仿宋_GB2312"/>
          <w:sz w:val="28"/>
          <w:szCs w:val="28"/>
        </w:rPr>
        <w:t>,</w:t>
      </w:r>
      <w:r>
        <w:rPr>
          <w:rFonts w:ascii="仿宋_GB2312" w:eastAsia="仿宋_GB2312"/>
          <w:sz w:val="28"/>
          <w:szCs w:val="28"/>
        </w:rPr>
        <w:t>597.55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48,185,976.74元，增长220.98%。</w:t>
      </w:r>
    </w:p>
    <w:p w14:paraId="1312DB8F">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69</w:t>
      </w:r>
      <w:r>
        <w:rPr>
          <w:rFonts w:hint="eastAsia" w:ascii="仿宋_GB2312" w:eastAsia="仿宋_GB2312"/>
          <w:sz w:val="28"/>
          <w:szCs w:val="28"/>
        </w:rPr>
        <w:t>,</w:t>
      </w:r>
      <w:r>
        <w:rPr>
          <w:rFonts w:ascii="仿宋_GB2312" w:eastAsia="仿宋_GB2312"/>
          <w:sz w:val="28"/>
          <w:szCs w:val="28"/>
        </w:rPr>
        <w:t>991</w:t>
      </w:r>
      <w:r>
        <w:rPr>
          <w:rFonts w:hint="eastAsia" w:ascii="仿宋_GB2312" w:eastAsia="仿宋_GB2312"/>
          <w:sz w:val="28"/>
          <w:szCs w:val="28"/>
        </w:rPr>
        <w:t>,</w:t>
      </w:r>
      <w:r>
        <w:rPr>
          <w:rFonts w:ascii="仿宋_GB2312" w:eastAsia="仿宋_GB2312"/>
          <w:sz w:val="28"/>
          <w:szCs w:val="28"/>
        </w:rPr>
        <w:t>597.55</w:t>
      </w:r>
      <w:r>
        <w:rPr>
          <w:rFonts w:hint="eastAsia" w:ascii="仿宋_GB2312" w:eastAsia="仿宋_GB2312"/>
          <w:sz w:val="28"/>
          <w:szCs w:val="28"/>
        </w:rPr>
        <w:t>元，占收入合计的100%。其中：一般公共预算财政拨款收入</w:t>
      </w:r>
      <w:r>
        <w:rPr>
          <w:rFonts w:ascii="仿宋_GB2312" w:eastAsia="仿宋_GB2312"/>
          <w:sz w:val="28"/>
          <w:szCs w:val="28"/>
        </w:rPr>
        <w:t>69</w:t>
      </w:r>
      <w:r>
        <w:rPr>
          <w:rFonts w:hint="eastAsia" w:ascii="仿宋_GB2312" w:eastAsia="仿宋_GB2312"/>
          <w:sz w:val="28"/>
          <w:szCs w:val="28"/>
        </w:rPr>
        <w:t>,</w:t>
      </w:r>
      <w:r>
        <w:rPr>
          <w:rFonts w:ascii="仿宋_GB2312" w:eastAsia="仿宋_GB2312"/>
          <w:sz w:val="28"/>
          <w:szCs w:val="28"/>
        </w:rPr>
        <w:t>991</w:t>
      </w:r>
      <w:r>
        <w:rPr>
          <w:rFonts w:hint="eastAsia" w:ascii="仿宋_GB2312" w:eastAsia="仿宋_GB2312"/>
          <w:sz w:val="28"/>
          <w:szCs w:val="28"/>
        </w:rPr>
        <w:t>,</w:t>
      </w:r>
      <w:r>
        <w:rPr>
          <w:rFonts w:ascii="仿宋_GB2312" w:eastAsia="仿宋_GB2312"/>
          <w:sz w:val="28"/>
          <w:szCs w:val="28"/>
        </w:rPr>
        <w:t>597.55</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4B1A4CD3">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6FBE1610">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0CB6913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78274AB9">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7D5EED4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73CE863C">
      <w:pPr>
        <w:pStyle w:val="2"/>
        <w:jc w:val="center"/>
      </w:pPr>
      <w:r>
        <w:rPr>
          <w:rFonts w:hint="eastAsia" w:ascii="仿宋_GB2312" w:eastAsia="仿宋_GB2312"/>
          <w:color w:val="000000"/>
          <w:sz w:val="32"/>
        </w:rPr>
        <w:t>图1：收入决算</w:t>
      </w:r>
    </w:p>
    <w:p w14:paraId="2DA249E0">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CA9FC5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04E34B29">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69</w:t>
      </w:r>
      <w:r>
        <w:rPr>
          <w:rFonts w:hint="eastAsia" w:ascii="仿宋_GB2312" w:eastAsia="仿宋_GB2312"/>
          <w:sz w:val="28"/>
          <w:szCs w:val="28"/>
        </w:rPr>
        <w:t>,</w:t>
      </w:r>
      <w:r>
        <w:rPr>
          <w:rFonts w:ascii="仿宋_GB2312" w:eastAsia="仿宋_GB2312"/>
          <w:sz w:val="28"/>
          <w:szCs w:val="28"/>
        </w:rPr>
        <w:t>991</w:t>
      </w:r>
      <w:r>
        <w:rPr>
          <w:rFonts w:hint="eastAsia" w:ascii="仿宋_GB2312" w:eastAsia="仿宋_GB2312"/>
          <w:sz w:val="28"/>
          <w:szCs w:val="28"/>
        </w:rPr>
        <w:t>,</w:t>
      </w:r>
      <w:r>
        <w:rPr>
          <w:rFonts w:ascii="仿宋_GB2312" w:eastAsia="仿宋_GB2312"/>
          <w:sz w:val="28"/>
          <w:szCs w:val="28"/>
        </w:rPr>
        <w:t>597.55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48,185,976.74元，增长220.98%，其中：基本支出</w:t>
      </w:r>
      <w:r>
        <w:rPr>
          <w:rFonts w:ascii="仿宋_GB2312" w:eastAsia="仿宋_GB2312"/>
          <w:sz w:val="28"/>
          <w:szCs w:val="28"/>
        </w:rPr>
        <w:t>12</w:t>
      </w:r>
      <w:r>
        <w:rPr>
          <w:rFonts w:hint="eastAsia" w:ascii="仿宋_GB2312" w:eastAsia="仿宋_GB2312"/>
          <w:sz w:val="28"/>
          <w:szCs w:val="28"/>
        </w:rPr>
        <w:t>,</w:t>
      </w:r>
      <w:r>
        <w:rPr>
          <w:rFonts w:ascii="仿宋_GB2312" w:eastAsia="仿宋_GB2312"/>
          <w:sz w:val="28"/>
          <w:szCs w:val="28"/>
        </w:rPr>
        <w:t>468</w:t>
      </w:r>
      <w:r>
        <w:rPr>
          <w:rFonts w:hint="eastAsia" w:ascii="仿宋_GB2312" w:eastAsia="仿宋_GB2312"/>
          <w:sz w:val="28"/>
          <w:szCs w:val="28"/>
        </w:rPr>
        <w:t>,</w:t>
      </w:r>
      <w:r>
        <w:rPr>
          <w:rFonts w:ascii="仿宋_GB2312" w:eastAsia="仿宋_GB2312"/>
          <w:sz w:val="28"/>
          <w:szCs w:val="28"/>
        </w:rPr>
        <w:t>150.36</w:t>
      </w:r>
      <w:r>
        <w:rPr>
          <w:rFonts w:hint="eastAsia" w:ascii="仿宋_GB2312" w:eastAsia="仿宋_GB2312"/>
          <w:sz w:val="28"/>
          <w:szCs w:val="28"/>
        </w:rPr>
        <w:t>元，占支出合计的17.81%；项目支出</w:t>
      </w:r>
      <w:r>
        <w:rPr>
          <w:rFonts w:ascii="仿宋_GB2312" w:eastAsia="仿宋_GB2312"/>
          <w:sz w:val="28"/>
          <w:szCs w:val="28"/>
        </w:rPr>
        <w:t>57</w:t>
      </w:r>
      <w:r>
        <w:rPr>
          <w:rFonts w:hint="eastAsia" w:ascii="仿宋_GB2312" w:eastAsia="仿宋_GB2312"/>
          <w:sz w:val="28"/>
          <w:szCs w:val="28"/>
        </w:rPr>
        <w:t>,</w:t>
      </w:r>
      <w:r>
        <w:rPr>
          <w:rFonts w:ascii="仿宋_GB2312" w:eastAsia="仿宋_GB2312"/>
          <w:sz w:val="28"/>
          <w:szCs w:val="28"/>
        </w:rPr>
        <w:t>523</w:t>
      </w:r>
      <w:r>
        <w:rPr>
          <w:rFonts w:hint="eastAsia" w:ascii="仿宋_GB2312" w:eastAsia="仿宋_GB2312"/>
          <w:sz w:val="28"/>
          <w:szCs w:val="28"/>
        </w:rPr>
        <w:t>,</w:t>
      </w:r>
      <w:r>
        <w:rPr>
          <w:rFonts w:ascii="仿宋_GB2312" w:eastAsia="仿宋_GB2312"/>
          <w:sz w:val="28"/>
          <w:szCs w:val="28"/>
        </w:rPr>
        <w:t>447.19</w:t>
      </w:r>
      <w:r>
        <w:rPr>
          <w:rFonts w:hint="eastAsia" w:ascii="仿宋_GB2312" w:eastAsia="仿宋_GB2312"/>
          <w:sz w:val="28"/>
          <w:szCs w:val="28"/>
        </w:rPr>
        <w:t>元，占支出合计的82.19%;上缴上级支出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4D60E023">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66775927">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878F48">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347445A8">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69</w:t>
      </w:r>
      <w:r>
        <w:rPr>
          <w:rFonts w:hint="eastAsia" w:ascii="仿宋_GB2312" w:eastAsia="仿宋_GB2312"/>
          <w:sz w:val="28"/>
          <w:szCs w:val="28"/>
        </w:rPr>
        <w:t>,</w:t>
      </w:r>
      <w:r>
        <w:rPr>
          <w:rFonts w:ascii="仿宋_GB2312" w:eastAsia="仿宋_GB2312"/>
          <w:sz w:val="28"/>
          <w:szCs w:val="28"/>
        </w:rPr>
        <w:t>991</w:t>
      </w:r>
      <w:r>
        <w:rPr>
          <w:rFonts w:hint="eastAsia" w:ascii="仿宋_GB2312" w:eastAsia="仿宋_GB2312"/>
          <w:sz w:val="28"/>
          <w:szCs w:val="28"/>
        </w:rPr>
        <w:t>,</w:t>
      </w:r>
      <w:r>
        <w:rPr>
          <w:rFonts w:ascii="仿宋_GB2312" w:eastAsia="仿宋_GB2312"/>
          <w:sz w:val="28"/>
          <w:szCs w:val="28"/>
        </w:rPr>
        <w:t>597.55</w:t>
      </w:r>
      <w:r>
        <w:rPr>
          <w:rFonts w:hint="eastAsia" w:ascii="仿宋_GB2312" w:eastAsia="仿宋_GB2312"/>
          <w:sz w:val="28"/>
          <w:szCs w:val="28"/>
        </w:rPr>
        <w:t>元，比上年增加48,185,976.74元，增长220.98%。主要原因：单位增加在编人员数量，基本支出人员经费相对增加，较上年相比，大型产业项目经费大幅增加。</w:t>
      </w:r>
    </w:p>
    <w:p w14:paraId="7EFE4C21">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4775FD5D">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50A7C11B">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69991597.55</w:t>
      </w:r>
      <w:r>
        <w:rPr>
          <w:rFonts w:hint="eastAsia" w:ascii="仿宋_GB2312" w:eastAsia="仿宋_GB2312"/>
          <w:sz w:val="28"/>
          <w:szCs w:val="28"/>
        </w:rPr>
        <w:t>元，主要用于以下方面（按大类）：一般公共服务支出25</w:t>
      </w:r>
      <w:r>
        <w:rPr>
          <w:rFonts w:hint="eastAsia" w:ascii="仿宋_GB2312" w:eastAsia="仿宋_GB2312"/>
          <w:sz w:val="28"/>
          <w:szCs w:val="28"/>
          <w:lang w:val="en-US" w:eastAsia="zh-CN"/>
        </w:rPr>
        <w:t>0000</w:t>
      </w:r>
      <w:r>
        <w:rPr>
          <w:rFonts w:hint="eastAsia" w:ascii="仿宋_GB2312" w:eastAsia="仿宋_GB2312"/>
          <w:sz w:val="28"/>
          <w:szCs w:val="28"/>
        </w:rPr>
        <w:t>元，占本年财政拨款支出0.36%；节能环保支出34,8</w:t>
      </w:r>
      <w:r>
        <w:rPr>
          <w:rFonts w:hint="eastAsia" w:ascii="仿宋_GB2312" w:eastAsia="仿宋_GB2312"/>
          <w:sz w:val="28"/>
          <w:szCs w:val="28"/>
          <w:lang w:val="en-US" w:eastAsia="zh-CN"/>
        </w:rPr>
        <w:t>000</w:t>
      </w:r>
      <w:r>
        <w:rPr>
          <w:rFonts w:hint="eastAsia" w:ascii="仿宋_GB2312" w:eastAsia="仿宋_GB2312"/>
          <w:sz w:val="28"/>
          <w:szCs w:val="28"/>
        </w:rPr>
        <w:t>元，占本年财政拨款支出0.50%；资源勘探工业信息等支出68,91</w:t>
      </w: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lang w:val="en-US" w:eastAsia="zh-CN"/>
        </w:rPr>
        <w:t>802.45</w:t>
      </w:r>
      <w:r>
        <w:rPr>
          <w:rFonts w:hint="eastAsia" w:ascii="仿宋_GB2312" w:eastAsia="仿宋_GB2312"/>
          <w:sz w:val="28"/>
          <w:szCs w:val="28"/>
        </w:rPr>
        <w:t>元 ，占本年财政拨款支出98.46%；金融支出47</w:t>
      </w: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lang w:val="en-US" w:eastAsia="zh-CN"/>
        </w:rPr>
        <w:t>795.10</w:t>
      </w:r>
      <w:r>
        <w:rPr>
          <w:rFonts w:hint="eastAsia" w:ascii="仿宋_GB2312" w:eastAsia="仿宋_GB2312"/>
          <w:sz w:val="28"/>
          <w:szCs w:val="28"/>
        </w:rPr>
        <w:t>元，占本年财政拨款支出0.68%。</w:t>
      </w:r>
    </w:p>
    <w:p w14:paraId="666774F1">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53C79D0F">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1、“一般公共服务支出”（类）2025年度年初预算</w:t>
      </w:r>
      <w:r>
        <w:rPr>
          <w:rFonts w:hint="eastAsia" w:ascii="仿宋_GB2312" w:eastAsia="仿宋_GB2312"/>
          <w:sz w:val="28"/>
          <w:szCs w:val="28"/>
          <w:lang w:val="en-US" w:eastAsia="zh-CN"/>
        </w:rPr>
        <w:t>90</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250</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元，完成年初预算的</w:t>
      </w:r>
      <w:r>
        <w:rPr>
          <w:rFonts w:hint="eastAsia" w:ascii="仿宋_GB2312" w:eastAsia="仿宋_GB2312"/>
          <w:sz w:val="28"/>
          <w:szCs w:val="28"/>
          <w:lang w:val="en-US" w:eastAsia="zh-CN"/>
        </w:rPr>
        <w:t>277</w:t>
      </w:r>
      <w:r>
        <w:rPr>
          <w:rFonts w:ascii="仿宋_GB2312" w:eastAsia="仿宋_GB2312"/>
          <w:sz w:val="28"/>
          <w:szCs w:val="28"/>
        </w:rPr>
        <w:t>.</w:t>
      </w:r>
      <w:r>
        <w:rPr>
          <w:rFonts w:hint="eastAsia" w:ascii="仿宋_GB2312" w:eastAsia="仿宋_GB2312"/>
          <w:sz w:val="28"/>
          <w:szCs w:val="28"/>
          <w:lang w:val="en-US" w:eastAsia="zh-CN"/>
        </w:rPr>
        <w:t>77</w:t>
      </w:r>
      <w:r>
        <w:rPr>
          <w:rFonts w:hint="eastAsia" w:ascii="仿宋_GB2312" w:eastAsia="仿宋_GB2312"/>
          <w:sz w:val="28"/>
          <w:szCs w:val="28"/>
        </w:rPr>
        <w:t>%。</w:t>
      </w:r>
    </w:p>
    <w:p w14:paraId="2C9C4C12">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2EDD721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“组织事务”（款，下同）2025年度年初预算</w:t>
      </w:r>
      <w:r>
        <w:rPr>
          <w:rFonts w:hint="eastAsia" w:ascii="仿宋_GB2312" w:eastAsia="仿宋_GB2312"/>
          <w:sz w:val="28"/>
          <w:szCs w:val="28"/>
          <w:lang w:val="en-US" w:eastAsia="zh-CN"/>
        </w:rPr>
        <w:t>90</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200</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元。主要原因：</w:t>
      </w:r>
      <w:r>
        <w:rPr>
          <w:rFonts w:hint="eastAsia" w:ascii="仿宋_GB2312" w:eastAsia="仿宋_GB2312"/>
          <w:sz w:val="28"/>
          <w:szCs w:val="28"/>
          <w:lang w:eastAsia="zh-CN"/>
        </w:rPr>
        <w:t>年初资金未全部下达，年中追加</w:t>
      </w:r>
      <w:r>
        <w:rPr>
          <w:rFonts w:hint="eastAsia" w:ascii="仿宋_GB2312" w:eastAsia="仿宋_GB2312"/>
          <w:sz w:val="28"/>
          <w:szCs w:val="28"/>
        </w:rPr>
        <w:t>党群服务中心运行项目</w:t>
      </w:r>
      <w:r>
        <w:rPr>
          <w:rFonts w:hint="eastAsia" w:ascii="仿宋_GB2312" w:eastAsia="仿宋_GB2312"/>
          <w:sz w:val="28"/>
          <w:szCs w:val="28"/>
          <w:lang w:eastAsia="zh-CN"/>
        </w:rPr>
        <w:t>活动支出</w:t>
      </w:r>
      <w:r>
        <w:rPr>
          <w:rFonts w:hint="eastAsia" w:ascii="仿宋_GB2312" w:eastAsia="仿宋_GB2312"/>
          <w:sz w:val="28"/>
          <w:szCs w:val="28"/>
        </w:rPr>
        <w:t>。</w:t>
      </w:r>
    </w:p>
    <w:p w14:paraId="25A98D3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社会工作事务</w:t>
      </w:r>
      <w:r>
        <w:rPr>
          <w:rFonts w:hint="eastAsia" w:ascii="仿宋_GB2312" w:eastAsia="仿宋_GB2312"/>
          <w:sz w:val="28"/>
          <w:szCs w:val="28"/>
        </w:rPr>
        <w:t>”2025年度年初预算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50</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元。主要原因：</w:t>
      </w:r>
      <w:r>
        <w:rPr>
          <w:rFonts w:hint="eastAsia" w:ascii="仿宋_GB2312" w:eastAsia="仿宋_GB2312"/>
          <w:sz w:val="28"/>
          <w:szCs w:val="28"/>
          <w:lang w:eastAsia="zh-CN"/>
        </w:rPr>
        <w:t>年中追加项目空间化党建载体支撑项目</w:t>
      </w:r>
      <w:r>
        <w:rPr>
          <w:rFonts w:hint="eastAsia" w:ascii="仿宋_GB2312" w:eastAsia="仿宋_GB2312"/>
          <w:sz w:val="28"/>
          <w:szCs w:val="28"/>
          <w:highlight w:val="none"/>
          <w:lang w:val="en-US" w:eastAsia="zh-CN"/>
        </w:rPr>
        <w:t>支出</w:t>
      </w:r>
      <w:r>
        <w:rPr>
          <w:rFonts w:hint="eastAsia" w:ascii="仿宋_GB2312" w:eastAsia="仿宋_GB2312"/>
          <w:sz w:val="28"/>
          <w:szCs w:val="28"/>
        </w:rPr>
        <w:t>。</w:t>
      </w:r>
    </w:p>
    <w:p w14:paraId="4D51263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2、“节能环保支出”(类)2025年度年初预算35</w:t>
      </w:r>
      <w:r>
        <w:rPr>
          <w:rFonts w:hint="eastAsia" w:ascii="仿宋_GB2312" w:eastAsia="仿宋_GB2312"/>
          <w:sz w:val="28"/>
          <w:szCs w:val="28"/>
          <w:lang w:val="en-US" w:eastAsia="zh-CN"/>
        </w:rPr>
        <w:t>0</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元，2025年度决算348,</w:t>
      </w:r>
      <w:r>
        <w:rPr>
          <w:rFonts w:hint="eastAsia" w:ascii="仿宋_GB2312" w:eastAsia="仿宋_GB2312"/>
          <w:sz w:val="28"/>
          <w:szCs w:val="28"/>
          <w:lang w:val="en-US" w:eastAsia="zh-CN"/>
        </w:rPr>
        <w:t>000</w:t>
      </w:r>
      <w:r>
        <w:rPr>
          <w:rFonts w:hint="eastAsia" w:ascii="仿宋_GB2312" w:eastAsia="仿宋_GB2312"/>
          <w:sz w:val="28"/>
          <w:szCs w:val="28"/>
        </w:rPr>
        <w:t>元，完成年初预算的99.43%。其中：</w:t>
      </w:r>
    </w:p>
    <w:p w14:paraId="1BCE99C7">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rPr>
        <w:t>“污染防治”（款）2025年度年初预算350,000元，2025年度决算348,000元，完成年初预算的99.43%。主要原因：</w:t>
      </w:r>
      <w:r>
        <w:rPr>
          <w:rFonts w:hint="eastAsia" w:ascii="仿宋_GB2312" w:eastAsia="仿宋_GB2312"/>
          <w:sz w:val="28"/>
          <w:szCs w:val="28"/>
          <w:highlight w:val="none"/>
        </w:rPr>
        <w:t>土壤污染防治方案编制服务</w:t>
      </w:r>
      <w:r>
        <w:rPr>
          <w:rFonts w:hint="eastAsia" w:ascii="仿宋_GB2312" w:eastAsia="仿宋_GB2312"/>
          <w:sz w:val="28"/>
          <w:szCs w:val="28"/>
          <w:highlight w:val="none"/>
          <w:lang w:eastAsia="zh-CN"/>
        </w:rPr>
        <w:t>项目</w:t>
      </w:r>
      <w:r>
        <w:rPr>
          <w:rFonts w:hint="eastAsia" w:ascii="仿宋_GB2312" w:eastAsia="仿宋_GB2312"/>
          <w:sz w:val="28"/>
          <w:szCs w:val="28"/>
          <w:highlight w:val="none"/>
        </w:rPr>
        <w:t>支出</w:t>
      </w:r>
      <w:r>
        <w:rPr>
          <w:rFonts w:hint="eastAsia" w:ascii="仿宋_GB2312" w:eastAsia="仿宋_GB2312"/>
          <w:sz w:val="28"/>
          <w:szCs w:val="28"/>
          <w:highlight w:val="none"/>
          <w:lang w:eastAsia="zh-CN"/>
        </w:rPr>
        <w:t>，按照实际合同金额支付</w:t>
      </w:r>
      <w:r>
        <w:rPr>
          <w:rFonts w:hint="eastAsia" w:ascii="仿宋_GB2312" w:eastAsia="仿宋_GB2312"/>
          <w:sz w:val="28"/>
          <w:szCs w:val="28"/>
          <w:highlight w:val="none"/>
        </w:rPr>
        <w:t>。</w:t>
      </w:r>
    </w:p>
    <w:p w14:paraId="6F11F7B1">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3</w:t>
      </w:r>
      <w:r>
        <w:rPr>
          <w:rFonts w:hint="eastAsia" w:ascii="仿宋_GB2312" w:eastAsia="仿宋_GB2312"/>
          <w:sz w:val="28"/>
          <w:szCs w:val="28"/>
          <w:highlight w:val="none"/>
        </w:rPr>
        <w:t>、“</w:t>
      </w:r>
      <w:r>
        <w:rPr>
          <w:rFonts w:hint="eastAsia" w:ascii="仿宋_GB2312" w:eastAsia="仿宋_GB2312" w:cs="Times New Roman"/>
          <w:sz w:val="28"/>
          <w:szCs w:val="28"/>
          <w:highlight w:val="none"/>
          <w:lang w:val="en-US" w:eastAsia="zh-CN"/>
        </w:rPr>
        <w:t>资源勘探工业信息等支出</w:t>
      </w:r>
      <w:r>
        <w:rPr>
          <w:rFonts w:hint="eastAsia" w:ascii="仿宋_GB2312" w:eastAsia="仿宋_GB2312"/>
          <w:sz w:val="28"/>
          <w:szCs w:val="28"/>
          <w:highlight w:val="none"/>
        </w:rPr>
        <w:t>”(类)2025年度年初预算15,219,699</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51元，2025年度决算68,916,802.45元，完成年初预算的452.81%。其中：</w:t>
      </w:r>
    </w:p>
    <w:p w14:paraId="47D20981">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制造业</w:t>
      </w:r>
      <w:r>
        <w:rPr>
          <w:rFonts w:hint="eastAsia" w:ascii="仿宋_GB2312" w:eastAsia="仿宋_GB2312"/>
          <w:sz w:val="28"/>
          <w:szCs w:val="28"/>
          <w:highlight w:val="none"/>
        </w:rPr>
        <w:t>”（款）2025年度年初预算</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元，2025年度决算26,600,000.00元。主要原因：</w:t>
      </w:r>
      <w:r>
        <w:rPr>
          <w:rFonts w:hint="eastAsia" w:ascii="仿宋_GB2312" w:eastAsia="仿宋_GB2312"/>
          <w:sz w:val="28"/>
          <w:szCs w:val="28"/>
          <w:highlight w:val="none"/>
          <w:lang w:eastAsia="zh-CN"/>
        </w:rPr>
        <w:t>年中追加</w:t>
      </w:r>
      <w:r>
        <w:rPr>
          <w:rFonts w:hint="eastAsia" w:ascii="仿宋_GB2312" w:eastAsia="仿宋_GB2312"/>
          <w:sz w:val="28"/>
          <w:szCs w:val="28"/>
          <w:highlight w:val="none"/>
        </w:rPr>
        <w:t>“潭柘智空”文生视频大模型及AI人应用创新项目</w:t>
      </w:r>
      <w:r>
        <w:rPr>
          <w:rFonts w:hint="eastAsia" w:ascii="仿宋_GB2312" w:eastAsia="仿宋_GB2312"/>
          <w:sz w:val="28"/>
          <w:szCs w:val="28"/>
          <w:highlight w:val="none"/>
          <w:lang w:eastAsia="zh-CN"/>
        </w:rPr>
        <w:t>支出</w:t>
      </w:r>
      <w:r>
        <w:rPr>
          <w:rFonts w:hint="eastAsia" w:ascii="仿宋_GB2312" w:eastAsia="仿宋_GB2312"/>
          <w:sz w:val="28"/>
          <w:szCs w:val="28"/>
          <w:highlight w:val="none"/>
        </w:rPr>
        <w:t>。</w:t>
      </w:r>
    </w:p>
    <w:p w14:paraId="567FAF38">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支持中小企业发展和管理支出</w:t>
      </w:r>
      <w:r>
        <w:rPr>
          <w:rFonts w:hint="eastAsia" w:ascii="仿宋_GB2312" w:eastAsia="仿宋_GB2312"/>
          <w:sz w:val="28"/>
          <w:szCs w:val="28"/>
          <w:highlight w:val="none"/>
        </w:rPr>
        <w:t>”（款）2025年度年初预算15,219,699</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51元，2025年度决算42,316,802.45元。主要原因</w:t>
      </w:r>
      <w:r>
        <w:rPr>
          <w:rFonts w:hint="eastAsia" w:ascii="仿宋_GB2312" w:eastAsia="仿宋_GB2312"/>
          <w:sz w:val="28"/>
          <w:szCs w:val="28"/>
          <w:highlight w:val="none"/>
        </w:rPr>
        <w:t>：年中追加项目支出。</w:t>
      </w:r>
      <w:r>
        <w:rPr>
          <w:rFonts w:hint="eastAsia" w:ascii="仿宋_GB2312" w:eastAsia="仿宋_GB2312"/>
          <w:sz w:val="28"/>
          <w:szCs w:val="28"/>
          <w:highlight w:val="none"/>
          <w:lang w:eastAsia="zh-CN"/>
        </w:rPr>
        <w:t>聚焦</w:t>
      </w:r>
      <w:r>
        <w:rPr>
          <w:rFonts w:hint="eastAsia" w:ascii="仿宋_GB2312" w:eastAsia="仿宋_GB2312"/>
          <w:sz w:val="28"/>
          <w:szCs w:val="28"/>
          <w:highlight w:val="none"/>
        </w:rPr>
        <w:t>夯实算力</w:t>
      </w:r>
      <w:r>
        <w:rPr>
          <w:rFonts w:hint="eastAsia" w:ascii="仿宋_GB2312" w:eastAsia="仿宋_GB2312"/>
          <w:sz w:val="28"/>
          <w:szCs w:val="28"/>
          <w:highlight w:val="none"/>
          <w:lang w:eastAsia="zh-CN"/>
        </w:rPr>
        <w:t>基础</w:t>
      </w:r>
      <w:r>
        <w:rPr>
          <w:rFonts w:hint="eastAsia" w:ascii="仿宋_GB2312" w:eastAsia="仿宋_GB2312"/>
          <w:sz w:val="28"/>
          <w:szCs w:val="28"/>
          <w:highlight w:val="none"/>
        </w:rPr>
        <w:t>与拓展产业空间</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如</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创业大厦地下三层顶加固工程</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XR沉浸视听联合实验室空间改造</w:t>
      </w:r>
      <w:r>
        <w:rPr>
          <w:rFonts w:hint="eastAsia" w:ascii="仿宋_GB2312" w:eastAsia="仿宋_GB2312"/>
          <w:sz w:val="28"/>
          <w:szCs w:val="28"/>
          <w:highlight w:val="none"/>
          <w:lang w:eastAsia="zh-CN"/>
        </w:rPr>
        <w:t>项目支出；</w:t>
      </w:r>
      <w:r>
        <w:rPr>
          <w:rFonts w:hint="eastAsia" w:ascii="仿宋_GB2312" w:eastAsia="仿宋_GB2312"/>
          <w:sz w:val="28"/>
          <w:szCs w:val="28"/>
          <w:highlight w:val="none"/>
        </w:rPr>
        <w:t>以及优化园区配套与提升品牌影响</w:t>
      </w:r>
      <w:r>
        <w:rPr>
          <w:rFonts w:hint="eastAsia" w:ascii="仿宋_GB2312" w:eastAsia="仿宋_GB2312"/>
          <w:sz w:val="28"/>
          <w:szCs w:val="28"/>
          <w:highlight w:val="none"/>
          <w:lang w:eastAsia="zh-CN"/>
        </w:rPr>
        <w:t>，如：园区</w:t>
      </w:r>
      <w:r>
        <w:rPr>
          <w:rFonts w:hint="eastAsia" w:ascii="仿宋_GB2312" w:eastAsia="仿宋_GB2312"/>
          <w:sz w:val="28"/>
          <w:szCs w:val="28"/>
          <w:highlight w:val="none"/>
        </w:rPr>
        <w:t>创业大巴</w:t>
      </w:r>
      <w:r>
        <w:rPr>
          <w:rFonts w:hint="eastAsia" w:ascii="仿宋_GB2312" w:eastAsia="仿宋_GB2312"/>
          <w:sz w:val="28"/>
          <w:szCs w:val="28"/>
          <w:highlight w:val="none"/>
          <w:lang w:eastAsia="zh-CN"/>
        </w:rPr>
        <w:t>项目及</w:t>
      </w:r>
      <w:r>
        <w:rPr>
          <w:rFonts w:hint="eastAsia" w:ascii="仿宋_GB2312" w:eastAsia="仿宋_GB2312"/>
          <w:sz w:val="28"/>
          <w:szCs w:val="28"/>
          <w:highlight w:val="none"/>
        </w:rPr>
        <w:t>京西智谷模型工场空间改造提升项目，全面提升园区产业空间的承载能力，完善产业培育硬环境。</w:t>
      </w:r>
    </w:p>
    <w:p w14:paraId="5A4E7E54">
      <w:pPr>
        <w:numPr>
          <w:ilvl w:val="0"/>
          <w:numId w:val="1"/>
        </w:num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“金融支出”(类)2025年度年初预算</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2025年度决算</w:t>
      </w:r>
      <w:r>
        <w:rPr>
          <w:rFonts w:hint="eastAsia" w:ascii="仿宋_GB2312" w:eastAsia="仿宋_GB2312"/>
          <w:sz w:val="28"/>
          <w:szCs w:val="28"/>
          <w:highlight w:val="none"/>
          <w:lang w:val="en-US" w:eastAsia="zh-CN"/>
        </w:rPr>
        <w:t>476,795.10</w:t>
      </w:r>
      <w:r>
        <w:rPr>
          <w:rFonts w:hint="eastAsia" w:ascii="仿宋_GB2312" w:eastAsia="仿宋_GB2312"/>
          <w:sz w:val="28"/>
          <w:szCs w:val="28"/>
          <w:highlight w:val="none"/>
        </w:rPr>
        <w:t>元。其中：</w:t>
      </w:r>
    </w:p>
    <w:p w14:paraId="703F4D54">
      <w:pPr>
        <w:spacing w:line="580" w:lineRule="exact"/>
        <w:ind w:firstLine="560" w:firstLineChars="200"/>
        <w:rPr>
          <w:rFonts w:hint="eastAsia" w:ascii="仿宋_GB2312" w:eastAsia="仿宋_GB2312"/>
          <w:sz w:val="28"/>
          <w:szCs w:val="28"/>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其他金融支出</w:t>
      </w:r>
      <w:r>
        <w:rPr>
          <w:rFonts w:hint="eastAsia" w:ascii="仿宋_GB2312" w:eastAsia="仿宋_GB2312"/>
          <w:sz w:val="28"/>
          <w:szCs w:val="28"/>
          <w:highlight w:val="none"/>
        </w:rPr>
        <w:t>”（款）2025年度年初预算</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2025年度决算</w:t>
      </w:r>
      <w:r>
        <w:rPr>
          <w:rFonts w:hint="eastAsia" w:ascii="仿宋_GB2312" w:eastAsia="仿宋_GB2312"/>
          <w:sz w:val="28"/>
          <w:szCs w:val="28"/>
          <w:highlight w:val="none"/>
          <w:lang w:val="en-US" w:eastAsia="zh-CN"/>
        </w:rPr>
        <w:t>476,795.10</w:t>
      </w:r>
      <w:r>
        <w:rPr>
          <w:rFonts w:hint="eastAsia" w:ascii="仿宋_GB2312" w:eastAsia="仿宋_GB2312"/>
          <w:sz w:val="28"/>
          <w:szCs w:val="28"/>
          <w:highlight w:val="none"/>
        </w:rPr>
        <w:t>元。主要原因：</w:t>
      </w:r>
      <w:r>
        <w:rPr>
          <w:rFonts w:hint="eastAsia" w:ascii="仿宋_GB2312" w:eastAsia="仿宋_GB2312"/>
          <w:sz w:val="28"/>
          <w:szCs w:val="28"/>
          <w:highlight w:val="none"/>
          <w:lang w:eastAsia="zh-CN"/>
        </w:rPr>
        <w:t>年中追加算力集群建设贴息项目</w:t>
      </w:r>
      <w:r>
        <w:rPr>
          <w:rFonts w:hint="eastAsia" w:ascii="仿宋_GB2312" w:eastAsia="仿宋_GB2312"/>
          <w:sz w:val="28"/>
          <w:szCs w:val="28"/>
          <w:highlight w:val="none"/>
          <w:lang w:val="en-US" w:eastAsia="zh-CN"/>
        </w:rPr>
        <w:t>支出</w:t>
      </w:r>
      <w:r>
        <w:rPr>
          <w:rFonts w:hint="eastAsia" w:ascii="仿宋_GB2312" w:eastAsia="仿宋_GB2312"/>
          <w:sz w:val="28"/>
          <w:szCs w:val="28"/>
          <w:highlight w:val="none"/>
        </w:rPr>
        <w:t>。</w:t>
      </w:r>
    </w:p>
    <w:p w14:paraId="5CEC9DEF">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73FFC832">
      <w:pPr>
        <w:tabs>
          <w:tab w:val="center" w:pos="6979"/>
        </w:tabs>
        <w:spacing w:line="52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本年度无此项支出</w:t>
      </w:r>
    </w:p>
    <w:p w14:paraId="492451DE">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211E06BE">
      <w:pPr>
        <w:tabs>
          <w:tab w:val="center" w:pos="6979"/>
        </w:tabs>
        <w:spacing w:line="52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本年度无此项支出</w:t>
      </w:r>
    </w:p>
    <w:p w14:paraId="4C796FC8">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3BBF2276">
      <w:pPr>
        <w:tabs>
          <w:tab w:val="center" w:pos="6979"/>
        </w:tabs>
        <w:spacing w:line="580" w:lineRule="exact"/>
        <w:ind w:firstLine="548" w:firstLineChars="196"/>
        <w:rPr>
          <w:rFonts w:ascii="仿宋_GB2312" w:eastAsia="仿宋_GB2312"/>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12468150.36</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元，（1）工资福利支出11,842,561.37</w:t>
      </w:r>
      <w:r>
        <w:rPr>
          <w:rFonts w:hint="eastAsia" w:ascii="仿宋_GB2312" w:eastAsia="仿宋_GB2312"/>
          <w:sz w:val="28"/>
          <w:szCs w:val="28"/>
          <w:lang w:eastAsia="zh-CN"/>
        </w:rPr>
        <w:t>元，</w:t>
      </w:r>
      <w:r>
        <w:rPr>
          <w:rFonts w:hint="eastAsia" w:ascii="仿宋_GB2312" w:eastAsia="仿宋_GB2312"/>
          <w:sz w:val="28"/>
          <w:szCs w:val="28"/>
        </w:rPr>
        <w:t>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；（2）商品和服务支出625,588.99</w:t>
      </w:r>
      <w:r>
        <w:rPr>
          <w:rFonts w:hint="eastAsia" w:ascii="仿宋_GB2312" w:eastAsia="仿宋_GB2312"/>
          <w:sz w:val="28"/>
          <w:szCs w:val="28"/>
          <w:lang w:eastAsia="zh-CN"/>
        </w:rPr>
        <w:t>元，</w:t>
      </w:r>
      <w:r>
        <w:rPr>
          <w:rFonts w:hint="eastAsia" w:ascii="仿宋_GB2312" w:eastAsia="仿宋_GB2312"/>
          <w:sz w:val="28"/>
          <w:szCs w:val="28"/>
        </w:rPr>
        <w:t>包括</w:t>
      </w:r>
      <w:r>
        <w:rPr>
          <w:rFonts w:ascii="仿宋_GB2312" w:eastAsia="仿宋_GB2312"/>
          <w:sz w:val="28"/>
          <w:szCs w:val="28"/>
        </w:rPr>
        <w:t>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w:t>
      </w:r>
      <w:r>
        <w:rPr>
          <w:rFonts w:hint="eastAsia" w:ascii="仿宋_GB2312" w:eastAsia="仿宋_GB2312"/>
          <w:sz w:val="28"/>
          <w:szCs w:val="28"/>
          <w:highlight w:val="none"/>
        </w:rPr>
        <w:t>本年度无此项支出</w:t>
      </w:r>
      <w:r>
        <w:rPr>
          <w:rFonts w:hint="eastAsia" w:ascii="仿宋_GB2312" w:eastAsia="仿宋_GB2312"/>
          <w:sz w:val="28"/>
          <w:szCs w:val="28"/>
          <w:highlight w:val="none"/>
          <w:lang w:eastAsia="zh-CN"/>
        </w:rPr>
        <w:t>。</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r>
        <w:rPr>
          <w:rFonts w:hint="eastAsia" w:ascii="仿宋_GB2312" w:eastAsia="仿宋_GB2312"/>
          <w:sz w:val="28"/>
          <w:szCs w:val="28"/>
          <w:highlight w:val="none"/>
        </w:rPr>
        <w:t>本年度无此项支出</w:t>
      </w:r>
      <w:r>
        <w:rPr>
          <w:rFonts w:hint="eastAsia" w:ascii="仿宋_GB2312" w:eastAsia="仿宋_GB2312"/>
          <w:sz w:val="28"/>
          <w:szCs w:val="28"/>
          <w:highlight w:val="none"/>
          <w:lang w:eastAsia="zh-CN"/>
        </w:rPr>
        <w:t>。</w:t>
      </w:r>
    </w:p>
    <w:p w14:paraId="01952193">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1CD8552D">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37856E4A">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4F99D7F0">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19</w:t>
      </w:r>
      <w:r>
        <w:rPr>
          <w:rFonts w:hint="eastAsia" w:ascii="仿宋_GB2312" w:eastAsia="仿宋_GB2312"/>
          <w:sz w:val="28"/>
          <w:szCs w:val="28"/>
        </w:rPr>
        <w:t>,</w:t>
      </w:r>
      <w:r>
        <w:rPr>
          <w:rFonts w:ascii="仿宋_GB2312" w:eastAsia="仿宋_GB2312"/>
          <w:sz w:val="28"/>
          <w:szCs w:val="28"/>
        </w:rPr>
        <w:t>058.2</w:t>
      </w:r>
      <w:r>
        <w:rPr>
          <w:rFonts w:hint="eastAsia" w:ascii="仿宋_GB2312" w:eastAsia="仿宋_GB2312"/>
          <w:sz w:val="28"/>
          <w:szCs w:val="28"/>
        </w:rPr>
        <w:t>元，比2025年度“三公”经费财政拨款年初预算</w:t>
      </w:r>
      <w:r>
        <w:rPr>
          <w:rFonts w:ascii="仿宋_GB2312" w:eastAsia="仿宋_GB2312"/>
          <w:sz w:val="28"/>
          <w:szCs w:val="28"/>
        </w:rPr>
        <w:t>43</w:t>
      </w:r>
      <w:r>
        <w:rPr>
          <w:rFonts w:hint="eastAsia" w:ascii="仿宋_GB2312" w:eastAsia="仿宋_GB2312"/>
          <w:sz w:val="28"/>
          <w:szCs w:val="28"/>
        </w:rPr>
        <w:t>,</w:t>
      </w:r>
      <w:r>
        <w:rPr>
          <w:rFonts w:ascii="仿宋_GB2312" w:eastAsia="仿宋_GB2312"/>
          <w:sz w:val="28"/>
          <w:szCs w:val="28"/>
        </w:rPr>
        <w:t>817</w:t>
      </w:r>
      <w:r>
        <w:rPr>
          <w:rFonts w:hint="eastAsia" w:ascii="仿宋_GB2312" w:eastAsia="仿宋_GB2312"/>
          <w:sz w:val="28"/>
          <w:szCs w:val="28"/>
        </w:rPr>
        <w:t>元减少</w:t>
      </w:r>
      <w:r>
        <w:rPr>
          <w:rFonts w:ascii="仿宋_GB2312" w:eastAsia="仿宋_GB2312"/>
          <w:sz w:val="28"/>
          <w:szCs w:val="28"/>
        </w:rPr>
        <w:t>24</w:t>
      </w:r>
      <w:r>
        <w:rPr>
          <w:rFonts w:hint="eastAsia" w:ascii="仿宋_GB2312" w:eastAsia="仿宋_GB2312"/>
          <w:sz w:val="28"/>
          <w:szCs w:val="28"/>
        </w:rPr>
        <w:t>,</w:t>
      </w:r>
      <w:r>
        <w:rPr>
          <w:rFonts w:ascii="仿宋_GB2312" w:eastAsia="仿宋_GB2312"/>
          <w:sz w:val="28"/>
          <w:szCs w:val="28"/>
        </w:rPr>
        <w:t>758.8</w:t>
      </w:r>
      <w:r>
        <w:rPr>
          <w:rFonts w:hint="eastAsia" w:ascii="仿宋_GB2312" w:eastAsia="仿宋_GB2312"/>
          <w:sz w:val="28"/>
          <w:szCs w:val="28"/>
        </w:rPr>
        <w:t>元。其中：</w:t>
      </w:r>
    </w:p>
    <w:p w14:paraId="775A54E7">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主要原因：本</w:t>
      </w:r>
      <w:r>
        <w:rPr>
          <w:rFonts w:hint="eastAsia" w:ascii="仿宋_GB2312" w:eastAsia="仿宋_GB2312"/>
          <w:sz w:val="28"/>
          <w:szCs w:val="28"/>
          <w:lang w:eastAsia="zh-CN"/>
        </w:rPr>
        <w:t>年度</w:t>
      </w:r>
      <w:r>
        <w:rPr>
          <w:rFonts w:hint="eastAsia" w:ascii="仿宋_GB2312" w:eastAsia="仿宋_GB2312"/>
          <w:sz w:val="28"/>
          <w:szCs w:val="28"/>
        </w:rPr>
        <w:t>无</w:t>
      </w:r>
      <w:r>
        <w:rPr>
          <w:rFonts w:hint="eastAsia" w:ascii="仿宋_GB2312" w:eastAsia="仿宋_GB2312"/>
          <w:sz w:val="28"/>
          <w:szCs w:val="28"/>
          <w:lang w:eastAsia="zh-CN"/>
        </w:rPr>
        <w:t>因</w:t>
      </w:r>
      <w:r>
        <w:rPr>
          <w:rFonts w:hint="eastAsia" w:ascii="仿宋_GB2312" w:eastAsia="仿宋_GB2312"/>
          <w:sz w:val="28"/>
          <w:szCs w:val="28"/>
        </w:rPr>
        <w:t>公出国（境）费用支出。</w:t>
      </w:r>
    </w:p>
    <w:p w14:paraId="306818ED">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7</w:t>
      </w:r>
      <w:r>
        <w:rPr>
          <w:rFonts w:hint="eastAsia" w:ascii="仿宋_GB2312" w:eastAsia="仿宋_GB2312"/>
          <w:sz w:val="28"/>
          <w:szCs w:val="28"/>
        </w:rPr>
        <w:t>,</w:t>
      </w:r>
      <w:r>
        <w:rPr>
          <w:rFonts w:ascii="仿宋_GB2312" w:eastAsia="仿宋_GB2312"/>
          <w:sz w:val="28"/>
          <w:szCs w:val="28"/>
        </w:rPr>
        <w:t>817</w:t>
      </w:r>
      <w:r>
        <w:rPr>
          <w:rFonts w:hint="eastAsia" w:ascii="仿宋_GB2312" w:eastAsia="仿宋_GB2312"/>
          <w:sz w:val="28"/>
          <w:szCs w:val="28"/>
        </w:rPr>
        <w:t>元减少</w:t>
      </w:r>
      <w:r>
        <w:rPr>
          <w:rFonts w:ascii="仿宋_GB2312" w:eastAsia="仿宋_GB2312"/>
          <w:sz w:val="28"/>
          <w:szCs w:val="28"/>
        </w:rPr>
        <w:t>7</w:t>
      </w:r>
      <w:r>
        <w:rPr>
          <w:rFonts w:hint="eastAsia" w:ascii="仿宋_GB2312" w:eastAsia="仿宋_GB2312"/>
          <w:sz w:val="28"/>
          <w:szCs w:val="28"/>
        </w:rPr>
        <w:t>,</w:t>
      </w:r>
      <w:r>
        <w:rPr>
          <w:rFonts w:ascii="仿宋_GB2312" w:eastAsia="仿宋_GB2312"/>
          <w:sz w:val="28"/>
          <w:szCs w:val="28"/>
        </w:rPr>
        <w:t>817</w:t>
      </w:r>
      <w:r>
        <w:rPr>
          <w:rFonts w:hint="eastAsia" w:ascii="仿宋_GB2312" w:eastAsia="仿宋_GB2312"/>
          <w:sz w:val="28"/>
          <w:szCs w:val="28"/>
        </w:rPr>
        <w:t>元。主要原因：本年度无公务接待费支出。</w:t>
      </w:r>
    </w:p>
    <w:p w14:paraId="4597C2D3">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19</w:t>
      </w:r>
      <w:r>
        <w:rPr>
          <w:rFonts w:hint="eastAsia" w:ascii="仿宋_GB2312" w:eastAsia="仿宋_GB2312"/>
          <w:sz w:val="28"/>
          <w:szCs w:val="28"/>
        </w:rPr>
        <w:t>,</w:t>
      </w:r>
      <w:r>
        <w:rPr>
          <w:rFonts w:ascii="仿宋_GB2312" w:eastAsia="仿宋_GB2312"/>
          <w:sz w:val="28"/>
          <w:szCs w:val="28"/>
        </w:rPr>
        <w:t>058.2</w:t>
      </w:r>
      <w:r>
        <w:rPr>
          <w:rFonts w:hint="eastAsia" w:ascii="仿宋_GB2312" w:eastAsia="仿宋_GB2312"/>
          <w:sz w:val="28"/>
          <w:szCs w:val="28"/>
        </w:rPr>
        <w:t>元，比2025年度年初预算数</w:t>
      </w:r>
      <w:r>
        <w:rPr>
          <w:rFonts w:ascii="仿宋_GB2312" w:eastAsia="仿宋_GB2312"/>
          <w:sz w:val="28"/>
          <w:szCs w:val="28"/>
        </w:rPr>
        <w:t>36</w:t>
      </w:r>
      <w:r>
        <w:rPr>
          <w:rFonts w:hint="eastAsia" w:ascii="仿宋_GB2312" w:eastAsia="仿宋_GB2312"/>
          <w:sz w:val="28"/>
          <w:szCs w:val="28"/>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16</w:t>
      </w:r>
      <w:r>
        <w:rPr>
          <w:rFonts w:hint="eastAsia" w:ascii="仿宋_GB2312" w:eastAsia="仿宋_GB2312"/>
          <w:sz w:val="28"/>
          <w:szCs w:val="28"/>
        </w:rPr>
        <w:t>,</w:t>
      </w:r>
      <w:r>
        <w:rPr>
          <w:rFonts w:ascii="仿宋_GB2312" w:eastAsia="仿宋_GB2312"/>
          <w:sz w:val="28"/>
          <w:szCs w:val="28"/>
        </w:rPr>
        <w:t>941.8</w:t>
      </w:r>
      <w:r>
        <w:rPr>
          <w:rFonts w:hint="eastAsia" w:ascii="仿宋_GB2312" w:eastAsia="仿宋_GB2312"/>
          <w:sz w:val="28"/>
          <w:szCs w:val="28"/>
        </w:rPr>
        <w:t>元。其中，公务用车购置费2025年度决算数0元，主要原因：本年度无此项支出，2025年度购置0辆。公务用车运行维护费2025年度决算数19,058.2元，主要原因：节约用车。2025年度公务用车运行维护费中，公务用车加油1</w:t>
      </w:r>
      <w:r>
        <w:rPr>
          <w:rFonts w:hint="eastAsia" w:ascii="仿宋_GB2312" w:eastAsia="仿宋_GB2312"/>
          <w:sz w:val="28"/>
          <w:szCs w:val="28"/>
          <w:lang w:val="en-US" w:eastAsia="zh-CN"/>
        </w:rPr>
        <w:t>0</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元，</w:t>
      </w:r>
      <w:r>
        <w:rPr>
          <w:rFonts w:hint="eastAsia" w:ascii="仿宋_GB2312" w:eastAsia="仿宋_GB2312"/>
          <w:sz w:val="28"/>
          <w:szCs w:val="28"/>
          <w:highlight w:val="none"/>
        </w:rPr>
        <w:t>公务用车维修4</w:t>
      </w:r>
      <w:r>
        <w:rPr>
          <w:rFonts w:hint="eastAsia" w:ascii="仿宋_GB2312" w:eastAsia="仿宋_GB2312"/>
          <w:sz w:val="28"/>
          <w:szCs w:val="28"/>
        </w:rPr>
        <w:t>,</w:t>
      </w:r>
      <w:r>
        <w:rPr>
          <w:rFonts w:hint="eastAsia" w:ascii="仿宋_GB2312" w:eastAsia="仿宋_GB2312"/>
          <w:sz w:val="28"/>
          <w:szCs w:val="28"/>
          <w:highlight w:val="none"/>
        </w:rPr>
        <w:t>766元，公务用车保险3</w:t>
      </w:r>
      <w:r>
        <w:rPr>
          <w:rFonts w:hint="eastAsia" w:ascii="仿宋_GB2312" w:eastAsia="仿宋_GB2312"/>
          <w:sz w:val="28"/>
          <w:szCs w:val="28"/>
        </w:rPr>
        <w:t>,</w:t>
      </w:r>
      <w:r>
        <w:rPr>
          <w:rFonts w:hint="eastAsia" w:ascii="仿宋_GB2312" w:eastAsia="仿宋_GB2312"/>
          <w:sz w:val="28"/>
          <w:szCs w:val="28"/>
          <w:highlight w:val="none"/>
        </w:rPr>
        <w:t>563.2元，公务用车其他支出729元，2025年度公务用车保有量2辆。</w:t>
      </w:r>
    </w:p>
    <w:p w14:paraId="26537559">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718B8C55">
      <w:pPr>
        <w:ind w:firstLine="537" w:firstLineChars="192"/>
        <w:rPr>
          <w:rFonts w:ascii="仿宋_GB2312" w:eastAsia="仿宋_GB2312"/>
          <w:sz w:val="28"/>
          <w:szCs w:val="28"/>
        </w:rPr>
      </w:pPr>
      <w:r>
        <w:rPr>
          <w:rFonts w:hint="eastAsia" w:ascii="仿宋_GB2312" w:eastAsia="仿宋_GB2312"/>
          <w:sz w:val="28"/>
          <w:szCs w:val="28"/>
        </w:rPr>
        <w:t>2025年度机关运行经费支出合计625,588.99元，比上年增加241,391.24元，增加原因：</w:t>
      </w:r>
      <w:r>
        <w:rPr>
          <w:rFonts w:hint="eastAsia" w:ascii="仿宋_GB2312" w:eastAsia="仿宋_GB2312"/>
          <w:sz w:val="28"/>
          <w:szCs w:val="28"/>
          <w:lang w:eastAsia="zh-CN"/>
        </w:rPr>
        <w:t>根据相关管理办法，福利费充分使用，以</w:t>
      </w:r>
      <w:r>
        <w:rPr>
          <w:rFonts w:hint="eastAsia" w:ascii="仿宋_GB2312" w:eastAsia="仿宋_GB2312"/>
          <w:sz w:val="28"/>
          <w:szCs w:val="28"/>
          <w:highlight w:val="none"/>
          <w:lang w:eastAsia="zh-CN"/>
        </w:rPr>
        <w:t>及</w:t>
      </w:r>
      <w:r>
        <w:rPr>
          <w:rFonts w:hint="eastAsia" w:ascii="仿宋_GB2312" w:eastAsia="仿宋_GB2312"/>
          <w:sz w:val="28"/>
          <w:szCs w:val="28"/>
          <w:highlight w:val="none"/>
        </w:rPr>
        <w:t>单位增加在编人员数量，基本支出</w:t>
      </w:r>
      <w:r>
        <w:rPr>
          <w:rFonts w:hint="eastAsia" w:ascii="仿宋_GB2312" w:eastAsia="仿宋_GB2312"/>
          <w:sz w:val="28"/>
          <w:szCs w:val="28"/>
          <w:highlight w:val="none"/>
          <w:lang w:eastAsia="zh-CN"/>
        </w:rPr>
        <w:t>办公费</w:t>
      </w:r>
      <w:r>
        <w:rPr>
          <w:rFonts w:hint="eastAsia" w:ascii="仿宋_GB2312" w:eastAsia="仿宋_GB2312"/>
          <w:sz w:val="28"/>
          <w:szCs w:val="28"/>
          <w:highlight w:val="none"/>
        </w:rPr>
        <w:t>相对增加。</w:t>
      </w:r>
    </w:p>
    <w:p w14:paraId="7F47C5ED">
      <w:pPr>
        <w:ind w:left="540"/>
        <w:rPr>
          <w:rFonts w:ascii="黑体" w:eastAsia="黑体"/>
          <w:sz w:val="28"/>
          <w:szCs w:val="28"/>
        </w:rPr>
      </w:pPr>
      <w:r>
        <w:rPr>
          <w:rFonts w:hint="eastAsia" w:ascii="黑体" w:eastAsia="黑体"/>
          <w:sz w:val="28"/>
          <w:szCs w:val="28"/>
        </w:rPr>
        <w:t>三、政府采购支出情况</w:t>
      </w:r>
    </w:p>
    <w:p w14:paraId="7D991AA6">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2025年度政府采购支出总额361</w:t>
      </w:r>
      <w:r>
        <w:rPr>
          <w:rFonts w:hint="eastAsia" w:ascii="仿宋_GB2312" w:eastAsia="仿宋_GB2312"/>
          <w:sz w:val="28"/>
          <w:szCs w:val="28"/>
        </w:rPr>
        <w:t>,</w:t>
      </w:r>
      <w:r>
        <w:rPr>
          <w:rFonts w:hint="eastAsia" w:ascii="仿宋_GB2312" w:eastAsia="仿宋_GB2312"/>
          <w:sz w:val="28"/>
          <w:szCs w:val="28"/>
          <w:highlight w:val="none"/>
        </w:rPr>
        <w:t>548.2元，其中：政府采购货物支出342</w:t>
      </w:r>
      <w:r>
        <w:rPr>
          <w:rFonts w:hint="eastAsia" w:ascii="仿宋_GB2312" w:eastAsia="仿宋_GB2312"/>
          <w:sz w:val="28"/>
          <w:szCs w:val="28"/>
        </w:rPr>
        <w:t>,</w:t>
      </w:r>
      <w:r>
        <w:rPr>
          <w:rFonts w:hint="eastAsia" w:ascii="仿宋_GB2312" w:eastAsia="仿宋_GB2312"/>
          <w:sz w:val="28"/>
          <w:szCs w:val="28"/>
          <w:highlight w:val="none"/>
        </w:rPr>
        <w:t>849元，政府采购服务支出18</w:t>
      </w:r>
      <w:r>
        <w:rPr>
          <w:rFonts w:hint="eastAsia" w:ascii="仿宋_GB2312" w:eastAsia="仿宋_GB2312"/>
          <w:sz w:val="28"/>
          <w:szCs w:val="28"/>
        </w:rPr>
        <w:t>,</w:t>
      </w:r>
      <w:r>
        <w:rPr>
          <w:rFonts w:hint="eastAsia" w:ascii="仿宋_GB2312" w:eastAsia="仿宋_GB2312"/>
          <w:sz w:val="28"/>
          <w:szCs w:val="28"/>
          <w:highlight w:val="none"/>
        </w:rPr>
        <w:t>699.2元。授予中小企业合同金额348</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560万元，占政府采购支出总额的</w:t>
      </w:r>
      <w:r>
        <w:rPr>
          <w:rFonts w:hint="eastAsia" w:ascii="仿宋_GB2312" w:eastAsia="仿宋_GB2312"/>
          <w:sz w:val="28"/>
          <w:szCs w:val="28"/>
          <w:highlight w:val="none"/>
          <w:lang w:val="en-US" w:eastAsia="zh-CN"/>
        </w:rPr>
        <w:t>96.41</w:t>
      </w:r>
      <w:r>
        <w:rPr>
          <w:rFonts w:hint="eastAsia" w:ascii="仿宋_GB2312" w:eastAsia="仿宋_GB2312"/>
          <w:sz w:val="28"/>
          <w:szCs w:val="28"/>
          <w:highlight w:val="none"/>
        </w:rPr>
        <w:t>%，其中：授予小微企业合同金额348</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560万元，占政府采购支出总额的</w:t>
      </w:r>
      <w:r>
        <w:rPr>
          <w:rFonts w:hint="eastAsia" w:ascii="仿宋_GB2312" w:eastAsia="仿宋_GB2312"/>
          <w:sz w:val="28"/>
          <w:szCs w:val="28"/>
          <w:highlight w:val="none"/>
          <w:lang w:val="en-US" w:eastAsia="zh-CN"/>
        </w:rPr>
        <w:t>96.41</w:t>
      </w:r>
      <w:r>
        <w:rPr>
          <w:rFonts w:hint="eastAsia" w:ascii="仿宋_GB2312" w:eastAsia="仿宋_GB2312"/>
          <w:sz w:val="28"/>
          <w:szCs w:val="28"/>
          <w:highlight w:val="none"/>
        </w:rPr>
        <w:t>%。</w:t>
      </w:r>
    </w:p>
    <w:p w14:paraId="48FAC402">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766F9056">
      <w:pPr>
        <w:ind w:firstLine="560" w:firstLineChars="200"/>
        <w:rPr>
          <w:rFonts w:ascii="仿宋_GB2312" w:eastAsia="仿宋_GB2312"/>
          <w:sz w:val="32"/>
          <w:szCs w:val="32"/>
        </w:rPr>
      </w:pPr>
      <w:r>
        <w:rPr>
          <w:rFonts w:hint="eastAsia" w:ascii="仿宋_GB2312" w:eastAsia="仿宋_GB2312"/>
          <w:sz w:val="28"/>
          <w:szCs w:val="28"/>
        </w:rPr>
        <w:t>截至12月31日，中共门头沟区委中关村科技园区门头沟园管理委员会（部门）共有车辆2台；单位价值100元（含）以上的设备0台（套）。</w:t>
      </w:r>
    </w:p>
    <w:p w14:paraId="53C85634">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1A1BA55A">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25B5AB61">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48817540">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1CF8F50E">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3F0E6463">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3B93C392">
      <w:pPr>
        <w:ind w:firstLine="420" w:firstLineChars="150"/>
        <w:rPr>
          <w:rFonts w:hint="eastAsia" w:ascii="仿宋_GB2312" w:eastAsia="仿宋_GB2312"/>
          <w:sz w:val="28"/>
          <w:szCs w:val="28"/>
        </w:rPr>
      </w:pPr>
      <w:r>
        <w:rPr>
          <w:rFonts w:hint="eastAsia" w:ascii="仿宋_GB2312" w:eastAsia="仿宋_GB2312"/>
          <w:sz w:val="28"/>
          <w:szCs w:val="28"/>
        </w:rPr>
        <w:t>6.政府购买服务：是指各级国家机关将属于自身职责范围且适合通过市场化方式提供的服务事项，按照政府采购方式和程序，交由符合条件的服务供应商承担，并根据服务数量和质量等因素向其支付费用的行为。</w:t>
      </w:r>
    </w:p>
    <w:p w14:paraId="43665558">
      <w:pPr>
        <w:ind w:firstLine="420" w:firstLineChars="150"/>
        <w:jc w:val="center"/>
        <w:rPr>
          <w:rFonts w:hint="eastAsia" w:ascii="仿宋_GB2312" w:eastAsia="仿宋_GB2312"/>
          <w:sz w:val="28"/>
          <w:szCs w:val="28"/>
        </w:rPr>
      </w:pPr>
    </w:p>
    <w:p w14:paraId="45C79F7E">
      <w:pPr>
        <w:tabs>
          <w:tab w:val="center" w:pos="6979"/>
        </w:tabs>
        <w:jc w:val="center"/>
        <w:rPr>
          <w:rFonts w:hint="eastAsia" w:ascii="宋体" w:hAnsi="宋体" w:cs="宋体"/>
          <w:b/>
          <w:spacing w:val="40"/>
          <w:kern w:val="0"/>
          <w:sz w:val="32"/>
          <w:szCs w:val="32"/>
        </w:rPr>
      </w:pPr>
      <w:r>
        <w:rPr>
          <w:rFonts w:hint="eastAsia" w:ascii="宋体" w:hAnsi="宋体" w:cs="宋体"/>
          <w:b/>
          <w:spacing w:val="40"/>
          <w:kern w:val="0"/>
          <w:sz w:val="32"/>
          <w:szCs w:val="32"/>
        </w:rPr>
        <w:t>第四部分2025年度部门绩效评价情况</w:t>
      </w:r>
    </w:p>
    <w:p w14:paraId="52D77250">
      <w:pPr>
        <w:tabs>
          <w:tab w:val="center" w:pos="6979"/>
        </w:tabs>
        <w:spacing w:line="580" w:lineRule="exact"/>
        <w:ind w:firstLine="560" w:firstLineChars="200"/>
        <w:jc w:val="center"/>
        <w:rPr>
          <w:rFonts w:hint="eastAsia" w:ascii="华文中宋" w:hAnsi="华文中宋" w:eastAsia="华文中宋"/>
          <w:sz w:val="28"/>
          <w:szCs w:val="28"/>
        </w:rPr>
      </w:pPr>
    </w:p>
    <w:p w14:paraId="7865E64F">
      <w:pPr>
        <w:spacing w:line="580" w:lineRule="exact"/>
        <w:ind w:firstLine="560" w:firstLineChars="200"/>
        <w:rPr>
          <w:rFonts w:hint="eastAsia" w:ascii="黑体" w:hAnsi="黑体" w:eastAsia="黑体"/>
          <w:sz w:val="28"/>
          <w:szCs w:val="28"/>
        </w:rPr>
      </w:pPr>
      <w:r>
        <w:rPr>
          <w:rFonts w:hint="eastAsia" w:ascii="黑体" w:eastAsia="黑体"/>
          <w:sz w:val="28"/>
          <w:szCs w:val="28"/>
        </w:rPr>
        <w:t xml:space="preserve"> </w:t>
      </w:r>
      <w:r>
        <w:rPr>
          <w:rFonts w:hint="eastAsia" w:ascii="黑体" w:hAnsi="黑体" w:eastAsia="黑体"/>
          <w:sz w:val="28"/>
          <w:szCs w:val="28"/>
        </w:rPr>
        <w:t>一、部门整体绩效评价报告</w:t>
      </w:r>
    </w:p>
    <w:p w14:paraId="7954562C">
      <w:pPr>
        <w:spacing w:line="520" w:lineRule="exact"/>
        <w:ind w:firstLine="640"/>
        <w:rPr>
          <w:rFonts w:ascii="楷体_GB2312" w:eastAsia="楷体_GB2312"/>
          <w:b/>
          <w:sz w:val="28"/>
          <w:szCs w:val="28"/>
        </w:rPr>
      </w:pPr>
      <w:bookmarkStart w:id="0" w:name="_Toc268005761"/>
      <w:bookmarkStart w:id="1" w:name="_Toc263686375"/>
      <w:r>
        <w:rPr>
          <w:rFonts w:hint="eastAsia" w:ascii="楷体_GB2312" w:eastAsia="楷体_GB2312"/>
          <w:b/>
          <w:sz w:val="28"/>
          <w:szCs w:val="28"/>
        </w:rPr>
        <w:t>（一）部门概况</w:t>
      </w:r>
    </w:p>
    <w:p w14:paraId="761E76FD">
      <w:pPr>
        <w:spacing w:line="520" w:lineRule="exact"/>
        <w:ind w:firstLine="640"/>
        <w:rPr>
          <w:rFonts w:hint="eastAsia" w:ascii="仿宋_GB2312" w:eastAsia="仿宋_GB2312"/>
          <w:sz w:val="28"/>
          <w:szCs w:val="28"/>
        </w:rPr>
      </w:pPr>
      <w:bookmarkStart w:id="2" w:name="_Toc268005755"/>
      <w:r>
        <w:rPr>
          <w:rFonts w:hint="eastAsia" w:ascii="仿宋_GB2312" w:eastAsia="仿宋_GB2312"/>
          <w:sz w:val="28"/>
          <w:szCs w:val="28"/>
        </w:rPr>
        <w:t>1.部门职责情况</w:t>
      </w:r>
    </w:p>
    <w:p w14:paraId="78E51C1C">
      <w:pPr>
        <w:spacing w:line="520" w:lineRule="exact"/>
        <w:ind w:firstLine="640"/>
        <w:rPr>
          <w:rFonts w:hint="eastAsia" w:ascii="仿宋_GB2312" w:eastAsia="仿宋_GB2312"/>
          <w:sz w:val="28"/>
          <w:szCs w:val="28"/>
        </w:rPr>
      </w:pPr>
      <w:r>
        <w:rPr>
          <w:rFonts w:hint="eastAsia" w:ascii="仿宋_GB2312" w:eastAsia="仿宋_GB2312"/>
          <w:sz w:val="28"/>
          <w:szCs w:val="28"/>
        </w:rPr>
        <w:t>中关村科技园区门头沟园管理委员会（以下简称“本部门”）成立于2021年7月，根据区政府授权对中关村科技园区门头沟园行使管理、监督、协调、服务等职能，全面贯彻落实区委、区政府工作要求及总体部署。中关村科技园区门头沟园管理委员会对中关村科技园区门头沟园范围内的整体发展规划、空间规划、产业发展与布局、项目准入标准、企业服务等重要业务实行统一领导。</w:t>
      </w:r>
    </w:p>
    <w:p w14:paraId="604E0E75">
      <w:pPr>
        <w:spacing w:line="520" w:lineRule="exact"/>
        <w:ind w:firstLine="640"/>
        <w:rPr>
          <w:rFonts w:hint="eastAsia" w:ascii="仿宋_GB2312" w:eastAsia="仿宋_GB2312"/>
          <w:sz w:val="28"/>
          <w:szCs w:val="28"/>
        </w:rPr>
      </w:pPr>
      <w:r>
        <w:rPr>
          <w:rFonts w:hint="eastAsia" w:ascii="仿宋_GB2312" w:eastAsia="仿宋_GB2312"/>
          <w:sz w:val="28"/>
          <w:szCs w:val="28"/>
        </w:rPr>
        <w:t>2.部门机构设置情况</w:t>
      </w:r>
    </w:p>
    <w:p w14:paraId="01DDAEB7">
      <w:pPr>
        <w:spacing w:line="520" w:lineRule="exact"/>
        <w:ind w:firstLine="640"/>
        <w:rPr>
          <w:rFonts w:hint="eastAsia" w:ascii="仿宋_GB2312" w:eastAsia="仿宋_GB2312"/>
          <w:sz w:val="28"/>
          <w:szCs w:val="28"/>
        </w:rPr>
      </w:pPr>
      <w:r>
        <w:rPr>
          <w:rFonts w:hint="eastAsia" w:ascii="仿宋_GB2312" w:eastAsia="仿宋_GB2312"/>
          <w:sz w:val="28"/>
          <w:szCs w:val="28"/>
        </w:rPr>
        <w:t>本部门共设 3 个内设机构，分别为综合办公室、规划建设科、产业促进发展科,下设 1 个事业单位，为非独立核算的全额拨款事业单位，即中关村科技园区门头沟园创新发展促进中心。</w:t>
      </w:r>
    </w:p>
    <w:p w14:paraId="231DD4E6">
      <w:pPr>
        <w:spacing w:line="520" w:lineRule="exact"/>
        <w:ind w:firstLine="640"/>
        <w:rPr>
          <w:rFonts w:hint="eastAsia" w:ascii="仿宋_GB2312" w:eastAsia="仿宋_GB2312"/>
          <w:sz w:val="28"/>
          <w:szCs w:val="28"/>
        </w:rPr>
      </w:pPr>
      <w:r>
        <w:rPr>
          <w:rFonts w:hint="eastAsia" w:ascii="仿宋_GB2312" w:eastAsia="仿宋_GB2312"/>
          <w:sz w:val="28"/>
          <w:szCs w:val="28"/>
        </w:rPr>
        <w:t>3.2025年主要工作任务</w:t>
      </w:r>
    </w:p>
    <w:p w14:paraId="74598353">
      <w:pPr>
        <w:spacing w:line="520" w:lineRule="exact"/>
        <w:ind w:firstLine="640"/>
        <w:rPr>
          <w:rFonts w:hint="eastAsia" w:ascii="仿宋_GB2312" w:eastAsia="仿宋_GB2312"/>
          <w:sz w:val="28"/>
          <w:szCs w:val="28"/>
        </w:rPr>
      </w:pPr>
      <w:r>
        <w:rPr>
          <w:rFonts w:hint="eastAsia" w:ascii="仿宋_GB2312" w:eastAsia="仿宋_GB2312"/>
          <w:sz w:val="28"/>
          <w:szCs w:val="28"/>
        </w:rPr>
        <w:t>作为全市唯一位于长安街延线上的高科技产业园，积极融入国际科技创新中心建设，聚焦人工智能、超高清数字视听、心血管创新药械“三大赛道”，高品质建设中关村门头沟特色产业园，推动科技创新策源，实现高端产业引领，持续筑牢“科技强区”之基，聚力打造“专精特新门头沟”，塑造了“京西智谷”“中国心谷”“央视界”等特色产业IP，用心谷之心、智谷之智，打造特色“心智”引擎，筑就发展福地。</w:t>
      </w:r>
    </w:p>
    <w:p w14:paraId="3B742266">
      <w:pPr>
        <w:spacing w:line="520" w:lineRule="exact"/>
        <w:ind w:firstLine="640"/>
        <w:rPr>
          <w:rFonts w:hint="eastAsia" w:ascii="仿宋_GB2312" w:eastAsia="仿宋_GB2312"/>
          <w:sz w:val="28"/>
          <w:szCs w:val="28"/>
        </w:rPr>
      </w:pPr>
      <w:r>
        <w:rPr>
          <w:rFonts w:hint="eastAsia" w:ascii="仿宋_GB2312" w:eastAsia="仿宋_GB2312"/>
          <w:sz w:val="28"/>
          <w:szCs w:val="28"/>
        </w:rPr>
        <w:t>目前，园区已汇聚国家高新技术企业355家；科技型中小企业163家；中关村高新技术企业246家；专精特新企业178家，其中国家级专精特新“小巨人”企业14家；创新型中小企业39家；上市企业6家。2025年度中关村示范园区综合评价排名生态涵养区首位，园区收入首破千亿，地均产出连续两年保持同组分园首位，全市“两区”重点园区发展提升专项行动年度评价中较上年度提升5个位次。</w:t>
      </w:r>
    </w:p>
    <w:bookmarkEnd w:id="2"/>
    <w:p w14:paraId="59864A39">
      <w:pPr>
        <w:spacing w:line="520" w:lineRule="exact"/>
        <w:ind w:firstLine="640"/>
        <w:rPr>
          <w:rFonts w:hint="eastAsia" w:ascii="仿宋_GB2312" w:eastAsia="仿宋_GB2312"/>
          <w:sz w:val="28"/>
          <w:szCs w:val="28"/>
        </w:rPr>
      </w:pPr>
      <w:bookmarkStart w:id="3" w:name="_Toc268005759"/>
      <w:r>
        <w:rPr>
          <w:rFonts w:hint="eastAsia" w:ascii="仿宋_GB2312" w:eastAsia="仿宋_GB2312"/>
          <w:sz w:val="28"/>
          <w:szCs w:val="28"/>
        </w:rPr>
        <w:t>4.部门</w:t>
      </w:r>
      <w:bookmarkEnd w:id="3"/>
      <w:r>
        <w:rPr>
          <w:rFonts w:hint="eastAsia" w:ascii="仿宋_GB2312" w:eastAsia="仿宋_GB2312"/>
          <w:sz w:val="28"/>
          <w:szCs w:val="28"/>
        </w:rPr>
        <w:t>整体绩效目标设立情况</w:t>
      </w:r>
    </w:p>
    <w:tbl>
      <w:tblPr>
        <w:tblStyle w:val="10"/>
        <w:tblW w:w="5256" w:type="pct"/>
        <w:tblInd w:w="0" w:type="dxa"/>
        <w:tblLayout w:type="fixed"/>
        <w:tblCellMar>
          <w:top w:w="0" w:type="dxa"/>
          <w:left w:w="108" w:type="dxa"/>
          <w:bottom w:w="0" w:type="dxa"/>
          <w:right w:w="108" w:type="dxa"/>
        </w:tblCellMar>
      </w:tblPr>
      <w:tblGrid>
        <w:gridCol w:w="1413"/>
        <w:gridCol w:w="4439"/>
        <w:gridCol w:w="2423"/>
        <w:gridCol w:w="2423"/>
        <w:gridCol w:w="2423"/>
        <w:gridCol w:w="2423"/>
      </w:tblGrid>
      <w:tr w14:paraId="77A4076A">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6BBFA7CC">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序号</w:t>
            </w:r>
          </w:p>
        </w:tc>
        <w:tc>
          <w:tcPr>
            <w:tcW w:w="1428" w:type="pct"/>
            <w:tcBorders>
              <w:top w:val="single" w:color="auto" w:sz="4" w:space="0"/>
              <w:left w:val="nil"/>
              <w:bottom w:val="single" w:color="auto" w:sz="4" w:space="0"/>
              <w:right w:val="single" w:color="auto" w:sz="4" w:space="0"/>
            </w:tcBorders>
            <w:noWrap/>
            <w:vAlign w:val="bottom"/>
          </w:tcPr>
          <w:p w14:paraId="6A9532AC">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三级指标</w:t>
            </w:r>
          </w:p>
        </w:tc>
        <w:tc>
          <w:tcPr>
            <w:tcW w:w="779" w:type="pct"/>
            <w:tcBorders>
              <w:top w:val="single" w:color="auto" w:sz="4" w:space="0"/>
              <w:left w:val="nil"/>
              <w:bottom w:val="single" w:color="auto" w:sz="4" w:space="0"/>
              <w:right w:val="single" w:color="auto" w:sz="4" w:space="0"/>
            </w:tcBorders>
            <w:noWrap/>
            <w:vAlign w:val="bottom"/>
          </w:tcPr>
          <w:p w14:paraId="0A3EA277">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指标性质</w:t>
            </w:r>
          </w:p>
        </w:tc>
        <w:tc>
          <w:tcPr>
            <w:tcW w:w="779" w:type="pct"/>
            <w:tcBorders>
              <w:top w:val="single" w:color="auto" w:sz="4" w:space="0"/>
              <w:left w:val="nil"/>
              <w:bottom w:val="single" w:color="auto" w:sz="4" w:space="0"/>
              <w:right w:val="single" w:color="auto" w:sz="4" w:space="0"/>
            </w:tcBorders>
            <w:noWrap/>
            <w:vAlign w:val="bottom"/>
          </w:tcPr>
          <w:p w14:paraId="3AFDBB41">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指标值</w:t>
            </w:r>
          </w:p>
        </w:tc>
        <w:tc>
          <w:tcPr>
            <w:tcW w:w="779" w:type="pct"/>
            <w:tcBorders>
              <w:top w:val="single" w:color="auto" w:sz="4" w:space="0"/>
              <w:left w:val="nil"/>
              <w:bottom w:val="single" w:color="auto" w:sz="4" w:space="0"/>
              <w:right w:val="single" w:color="auto" w:sz="4" w:space="0"/>
            </w:tcBorders>
          </w:tcPr>
          <w:p w14:paraId="4B35C60F">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度量单位</w:t>
            </w:r>
          </w:p>
        </w:tc>
        <w:tc>
          <w:tcPr>
            <w:tcW w:w="779" w:type="pct"/>
            <w:tcBorders>
              <w:top w:val="single" w:color="auto" w:sz="4" w:space="0"/>
              <w:left w:val="nil"/>
              <w:bottom w:val="single" w:color="auto" w:sz="4" w:space="0"/>
              <w:right w:val="single" w:color="auto" w:sz="4" w:space="0"/>
            </w:tcBorders>
          </w:tcPr>
          <w:p w14:paraId="35F51CE1">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指标权重</w:t>
            </w:r>
          </w:p>
        </w:tc>
      </w:tr>
      <w:tr w14:paraId="65FA07E9">
        <w:tblPrEx>
          <w:tblCellMar>
            <w:top w:w="0" w:type="dxa"/>
            <w:left w:w="108" w:type="dxa"/>
            <w:bottom w:w="0" w:type="dxa"/>
            <w:right w:w="108" w:type="dxa"/>
          </w:tblCellMar>
        </w:tblPrEx>
        <w:trPr>
          <w:trHeight w:val="275" w:hRule="atLeast"/>
        </w:trPr>
        <w:tc>
          <w:tcPr>
            <w:tcW w:w="454" w:type="pct"/>
            <w:tcBorders>
              <w:top w:val="nil"/>
              <w:left w:val="single" w:color="auto" w:sz="4" w:space="0"/>
              <w:bottom w:val="single" w:color="auto" w:sz="4" w:space="0"/>
              <w:right w:val="single" w:color="auto" w:sz="4" w:space="0"/>
            </w:tcBorders>
            <w:noWrap/>
            <w:vAlign w:val="bottom"/>
          </w:tcPr>
          <w:p w14:paraId="55D4B129">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1</w:t>
            </w:r>
          </w:p>
        </w:tc>
        <w:tc>
          <w:tcPr>
            <w:tcW w:w="1428" w:type="pct"/>
            <w:tcBorders>
              <w:top w:val="nil"/>
              <w:left w:val="nil"/>
              <w:bottom w:val="single" w:color="auto" w:sz="4" w:space="0"/>
              <w:right w:val="single" w:color="auto" w:sz="4" w:space="0"/>
            </w:tcBorders>
            <w:noWrap/>
            <w:vAlign w:val="center"/>
          </w:tcPr>
          <w:p w14:paraId="4FD2BD6A">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方案编制内容</w:t>
            </w:r>
          </w:p>
        </w:tc>
        <w:tc>
          <w:tcPr>
            <w:tcW w:w="779" w:type="pct"/>
            <w:tcBorders>
              <w:top w:val="nil"/>
              <w:left w:val="nil"/>
              <w:bottom w:val="single" w:color="auto" w:sz="4" w:space="0"/>
              <w:right w:val="single" w:color="auto" w:sz="4" w:space="0"/>
            </w:tcBorders>
            <w:shd w:val="clear" w:color="auto" w:fill="auto"/>
            <w:noWrap/>
            <w:vAlign w:val="center"/>
          </w:tcPr>
          <w:p w14:paraId="3456FB05">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nil"/>
              <w:left w:val="nil"/>
              <w:bottom w:val="single" w:color="auto" w:sz="4" w:space="0"/>
              <w:right w:val="single" w:color="auto" w:sz="4" w:space="0"/>
            </w:tcBorders>
            <w:shd w:val="clear" w:color="auto" w:fill="auto"/>
            <w:noWrap/>
            <w:vAlign w:val="center"/>
          </w:tcPr>
          <w:p w14:paraId="481780BE">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w:t>
            </w:r>
          </w:p>
        </w:tc>
        <w:tc>
          <w:tcPr>
            <w:tcW w:w="779" w:type="pct"/>
            <w:tcBorders>
              <w:top w:val="nil"/>
              <w:left w:val="nil"/>
              <w:bottom w:val="single" w:color="auto" w:sz="4" w:space="0"/>
              <w:right w:val="single" w:color="auto" w:sz="4" w:space="0"/>
            </w:tcBorders>
            <w:shd w:val="clear" w:color="auto" w:fill="auto"/>
            <w:vAlign w:val="center"/>
          </w:tcPr>
          <w:p w14:paraId="52D08E3D">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项</w:t>
            </w:r>
          </w:p>
        </w:tc>
        <w:tc>
          <w:tcPr>
            <w:tcW w:w="779" w:type="pct"/>
            <w:tcBorders>
              <w:top w:val="nil"/>
              <w:left w:val="nil"/>
              <w:bottom w:val="single" w:color="auto" w:sz="4" w:space="0"/>
              <w:right w:val="single" w:color="auto" w:sz="4" w:space="0"/>
            </w:tcBorders>
            <w:shd w:val="clear" w:color="auto" w:fill="auto"/>
            <w:vAlign w:val="center"/>
          </w:tcPr>
          <w:p w14:paraId="1B686EC5">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1FFF8D56">
        <w:tblPrEx>
          <w:tblCellMar>
            <w:top w:w="0" w:type="dxa"/>
            <w:left w:w="108" w:type="dxa"/>
            <w:bottom w:w="0" w:type="dxa"/>
            <w:right w:w="108" w:type="dxa"/>
          </w:tblCellMar>
        </w:tblPrEx>
        <w:trPr>
          <w:trHeight w:val="275" w:hRule="atLeast"/>
        </w:trPr>
        <w:tc>
          <w:tcPr>
            <w:tcW w:w="454" w:type="pct"/>
            <w:tcBorders>
              <w:top w:val="nil"/>
              <w:left w:val="single" w:color="auto" w:sz="4" w:space="0"/>
              <w:bottom w:val="single" w:color="auto" w:sz="4" w:space="0"/>
              <w:right w:val="single" w:color="auto" w:sz="4" w:space="0"/>
            </w:tcBorders>
            <w:noWrap/>
            <w:vAlign w:val="bottom"/>
          </w:tcPr>
          <w:p w14:paraId="633AA922">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2</w:t>
            </w:r>
          </w:p>
        </w:tc>
        <w:tc>
          <w:tcPr>
            <w:tcW w:w="1428" w:type="pct"/>
            <w:tcBorders>
              <w:top w:val="nil"/>
              <w:left w:val="nil"/>
              <w:bottom w:val="single" w:color="auto" w:sz="4" w:space="0"/>
              <w:right w:val="single" w:color="auto" w:sz="4" w:space="0"/>
            </w:tcBorders>
            <w:noWrap/>
            <w:vAlign w:val="center"/>
          </w:tcPr>
          <w:p w14:paraId="515CBFEB">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重点项目</w:t>
            </w:r>
          </w:p>
        </w:tc>
        <w:tc>
          <w:tcPr>
            <w:tcW w:w="779" w:type="pct"/>
            <w:tcBorders>
              <w:top w:val="nil"/>
              <w:left w:val="nil"/>
              <w:bottom w:val="single" w:color="auto" w:sz="4" w:space="0"/>
              <w:right w:val="single" w:color="auto" w:sz="4" w:space="0"/>
            </w:tcBorders>
            <w:shd w:val="clear" w:color="auto" w:fill="auto"/>
            <w:noWrap/>
            <w:vAlign w:val="center"/>
          </w:tcPr>
          <w:p w14:paraId="164F14E6">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nil"/>
              <w:left w:val="nil"/>
              <w:bottom w:val="single" w:color="auto" w:sz="4" w:space="0"/>
              <w:right w:val="single" w:color="auto" w:sz="4" w:space="0"/>
            </w:tcBorders>
            <w:shd w:val="clear" w:color="auto" w:fill="auto"/>
            <w:noWrap/>
            <w:vAlign w:val="center"/>
          </w:tcPr>
          <w:p w14:paraId="4B9696E5">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w:t>
            </w:r>
          </w:p>
        </w:tc>
        <w:tc>
          <w:tcPr>
            <w:tcW w:w="779" w:type="pct"/>
            <w:tcBorders>
              <w:top w:val="nil"/>
              <w:left w:val="nil"/>
              <w:bottom w:val="single" w:color="auto" w:sz="4" w:space="0"/>
              <w:right w:val="single" w:color="auto" w:sz="4" w:space="0"/>
            </w:tcBorders>
            <w:shd w:val="clear" w:color="auto" w:fill="auto"/>
            <w:vAlign w:val="center"/>
          </w:tcPr>
          <w:p w14:paraId="0B577EF1">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个</w:t>
            </w:r>
          </w:p>
        </w:tc>
        <w:tc>
          <w:tcPr>
            <w:tcW w:w="779" w:type="pct"/>
            <w:tcBorders>
              <w:top w:val="nil"/>
              <w:left w:val="nil"/>
              <w:bottom w:val="single" w:color="auto" w:sz="4" w:space="0"/>
              <w:right w:val="single" w:color="auto" w:sz="4" w:space="0"/>
            </w:tcBorders>
            <w:shd w:val="clear" w:color="auto" w:fill="auto"/>
            <w:vAlign w:val="center"/>
          </w:tcPr>
          <w:p w14:paraId="0FD1AF69">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7FAB6A68">
        <w:tblPrEx>
          <w:tblCellMar>
            <w:top w:w="0" w:type="dxa"/>
            <w:left w:w="108" w:type="dxa"/>
            <w:bottom w:w="0" w:type="dxa"/>
            <w:right w:w="108" w:type="dxa"/>
          </w:tblCellMar>
        </w:tblPrEx>
        <w:trPr>
          <w:trHeight w:val="275" w:hRule="atLeast"/>
        </w:trPr>
        <w:tc>
          <w:tcPr>
            <w:tcW w:w="454" w:type="pct"/>
            <w:tcBorders>
              <w:top w:val="nil"/>
              <w:left w:val="single" w:color="auto" w:sz="4" w:space="0"/>
              <w:bottom w:val="single" w:color="auto" w:sz="4" w:space="0"/>
              <w:right w:val="single" w:color="auto" w:sz="4" w:space="0"/>
            </w:tcBorders>
            <w:noWrap/>
            <w:vAlign w:val="bottom"/>
          </w:tcPr>
          <w:p w14:paraId="0F666D35">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rPr>
              <w:t>3</w:t>
            </w:r>
          </w:p>
        </w:tc>
        <w:tc>
          <w:tcPr>
            <w:tcW w:w="1428" w:type="pct"/>
            <w:tcBorders>
              <w:top w:val="nil"/>
              <w:left w:val="nil"/>
              <w:bottom w:val="single" w:color="auto" w:sz="4" w:space="0"/>
              <w:right w:val="single" w:color="auto" w:sz="4" w:space="0"/>
            </w:tcBorders>
            <w:noWrap/>
            <w:vAlign w:val="center"/>
          </w:tcPr>
          <w:p w14:paraId="5A2150E4">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主导产业细分领域外出活动</w:t>
            </w:r>
          </w:p>
        </w:tc>
        <w:tc>
          <w:tcPr>
            <w:tcW w:w="779" w:type="pct"/>
            <w:tcBorders>
              <w:top w:val="nil"/>
              <w:left w:val="nil"/>
              <w:bottom w:val="single" w:color="auto" w:sz="4" w:space="0"/>
              <w:right w:val="single" w:color="auto" w:sz="4" w:space="0"/>
            </w:tcBorders>
            <w:shd w:val="clear" w:color="auto" w:fill="auto"/>
            <w:noWrap/>
            <w:vAlign w:val="center"/>
          </w:tcPr>
          <w:p w14:paraId="08A8E856">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nil"/>
              <w:left w:val="nil"/>
              <w:bottom w:val="single" w:color="auto" w:sz="4" w:space="0"/>
              <w:right w:val="single" w:color="auto" w:sz="4" w:space="0"/>
            </w:tcBorders>
            <w:shd w:val="clear" w:color="auto" w:fill="auto"/>
            <w:noWrap/>
            <w:vAlign w:val="center"/>
          </w:tcPr>
          <w:p w14:paraId="6F51A696">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w:t>
            </w:r>
          </w:p>
        </w:tc>
        <w:tc>
          <w:tcPr>
            <w:tcW w:w="779" w:type="pct"/>
            <w:tcBorders>
              <w:top w:val="nil"/>
              <w:left w:val="nil"/>
              <w:bottom w:val="single" w:color="auto" w:sz="4" w:space="0"/>
              <w:right w:val="single" w:color="auto" w:sz="4" w:space="0"/>
            </w:tcBorders>
            <w:shd w:val="clear" w:color="auto" w:fill="auto"/>
            <w:vAlign w:val="center"/>
          </w:tcPr>
          <w:p w14:paraId="7B2F5779">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次</w:t>
            </w:r>
          </w:p>
        </w:tc>
        <w:tc>
          <w:tcPr>
            <w:tcW w:w="779" w:type="pct"/>
            <w:tcBorders>
              <w:top w:val="nil"/>
              <w:left w:val="nil"/>
              <w:bottom w:val="single" w:color="auto" w:sz="4" w:space="0"/>
              <w:right w:val="single" w:color="auto" w:sz="4" w:space="0"/>
            </w:tcBorders>
            <w:shd w:val="clear" w:color="auto" w:fill="auto"/>
            <w:vAlign w:val="center"/>
          </w:tcPr>
          <w:p w14:paraId="3B08B518">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554F4CBF">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38A6DBAC">
            <w:pPr>
              <w:spacing w:line="520" w:lineRule="exact"/>
              <w:jc w:val="center"/>
              <w:rPr>
                <w:rFonts w:hint="eastAsia" w:ascii="仿宋_GB2312" w:eastAsia="仿宋_GB2312" w:cs="Times New Roman"/>
                <w:sz w:val="28"/>
                <w:szCs w:val="28"/>
                <w:lang w:eastAsia="zh-CN"/>
              </w:rPr>
            </w:pPr>
            <w:r>
              <w:rPr>
                <w:rFonts w:hint="eastAsia" w:ascii="仿宋_GB2312" w:eastAsia="仿宋_GB2312" w:cs="Times New Roman"/>
                <w:sz w:val="28"/>
                <w:szCs w:val="28"/>
                <w:lang w:val="en-US" w:eastAsia="zh-CN"/>
              </w:rPr>
              <w:t>4</w:t>
            </w:r>
          </w:p>
        </w:tc>
        <w:tc>
          <w:tcPr>
            <w:tcW w:w="1428" w:type="pct"/>
            <w:tcBorders>
              <w:top w:val="single" w:color="auto" w:sz="4" w:space="0"/>
              <w:left w:val="single" w:color="auto" w:sz="4" w:space="0"/>
              <w:bottom w:val="single" w:color="auto" w:sz="4" w:space="0"/>
              <w:right w:val="single" w:color="auto" w:sz="4" w:space="0"/>
            </w:tcBorders>
            <w:noWrap/>
            <w:vAlign w:val="center"/>
          </w:tcPr>
          <w:p w14:paraId="4DC72A38">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人工智能算力算法平台</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340ED7">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F97732">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706C22BA">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个</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69C56B73">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259E178C">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408B7E67">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5</w:t>
            </w:r>
          </w:p>
        </w:tc>
        <w:tc>
          <w:tcPr>
            <w:tcW w:w="1428" w:type="pct"/>
            <w:tcBorders>
              <w:top w:val="single" w:color="auto" w:sz="4" w:space="0"/>
              <w:left w:val="single" w:color="auto" w:sz="4" w:space="0"/>
              <w:bottom w:val="single" w:color="auto" w:sz="4" w:space="0"/>
              <w:right w:val="single" w:color="auto" w:sz="4" w:space="0"/>
            </w:tcBorders>
            <w:noWrap/>
            <w:vAlign w:val="center"/>
          </w:tcPr>
          <w:p w14:paraId="1D13A7BB">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举办宣传活动</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3A4E4A">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617C8D">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4B690D48">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次</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5B3A6FB0">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125ED24B">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43547F03">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6</w:t>
            </w:r>
          </w:p>
        </w:tc>
        <w:tc>
          <w:tcPr>
            <w:tcW w:w="1428" w:type="pct"/>
            <w:tcBorders>
              <w:top w:val="single" w:color="auto" w:sz="4" w:space="0"/>
              <w:left w:val="single" w:color="auto" w:sz="4" w:space="0"/>
              <w:bottom w:val="single" w:color="auto" w:sz="4" w:space="0"/>
              <w:right w:val="single" w:color="auto" w:sz="4" w:space="0"/>
            </w:tcBorders>
            <w:noWrap/>
            <w:vAlign w:val="center"/>
          </w:tcPr>
          <w:p w14:paraId="0D8EA773">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党组织建设</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EE2F92">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9068B0">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3F3B3934">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个</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4978B097">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78DC576D">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363391EC">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7</w:t>
            </w:r>
          </w:p>
        </w:tc>
        <w:tc>
          <w:tcPr>
            <w:tcW w:w="1428" w:type="pct"/>
            <w:tcBorders>
              <w:top w:val="single" w:color="auto" w:sz="4" w:space="0"/>
              <w:left w:val="single" w:color="auto" w:sz="4" w:space="0"/>
              <w:bottom w:val="single" w:color="auto" w:sz="4" w:space="0"/>
              <w:right w:val="single" w:color="auto" w:sz="4" w:space="0"/>
            </w:tcBorders>
            <w:noWrap/>
            <w:vAlign w:val="center"/>
          </w:tcPr>
          <w:p w14:paraId="47F838F2">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在岗人员</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7F3D7A">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6B84BE">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41</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226F3537">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人</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442EE63A">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1F9D5B79">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2A0B6AF5">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8</w:t>
            </w:r>
          </w:p>
        </w:tc>
        <w:tc>
          <w:tcPr>
            <w:tcW w:w="1428" w:type="pct"/>
            <w:tcBorders>
              <w:top w:val="single" w:color="auto" w:sz="4" w:space="0"/>
              <w:left w:val="single" w:color="auto" w:sz="4" w:space="0"/>
              <w:bottom w:val="single" w:color="auto" w:sz="4" w:space="0"/>
              <w:right w:val="single" w:color="auto" w:sz="4" w:space="0"/>
            </w:tcBorders>
            <w:noWrap/>
            <w:vAlign w:val="center"/>
          </w:tcPr>
          <w:p w14:paraId="051F0A54">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保障机构正常运行</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D3B9B4">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定性</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5EAF23">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优良中差</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03FD4DBF">
            <w:pPr>
              <w:spacing w:line="520" w:lineRule="exact"/>
              <w:jc w:val="center"/>
              <w:rPr>
                <w:rFonts w:hint="eastAsia" w:ascii="仿宋_GB2312" w:eastAsia="仿宋_GB2312" w:cs="Times New Roman"/>
                <w:sz w:val="28"/>
                <w:szCs w:val="28"/>
                <w:lang w:val="en-US" w:eastAsia="zh-CN"/>
              </w:rPr>
            </w:pP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624DD24A">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27F74045">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1C028617">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9</w:t>
            </w:r>
          </w:p>
        </w:tc>
        <w:tc>
          <w:tcPr>
            <w:tcW w:w="1428" w:type="pct"/>
            <w:tcBorders>
              <w:top w:val="single" w:color="auto" w:sz="4" w:space="0"/>
              <w:left w:val="single" w:color="auto" w:sz="4" w:space="0"/>
              <w:bottom w:val="single" w:color="auto" w:sz="4" w:space="0"/>
              <w:right w:val="single" w:color="auto" w:sz="4" w:space="0"/>
            </w:tcBorders>
            <w:noWrap/>
            <w:vAlign w:val="center"/>
          </w:tcPr>
          <w:p w14:paraId="354B0096">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满意度</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19EB51">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241E47">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95</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0EF73CD1">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5B2447F8">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r w14:paraId="4E63ED04">
        <w:tblPrEx>
          <w:tblCellMar>
            <w:top w:w="0" w:type="dxa"/>
            <w:left w:w="108" w:type="dxa"/>
            <w:bottom w:w="0" w:type="dxa"/>
            <w:right w:w="108" w:type="dxa"/>
          </w:tblCellMar>
        </w:tblPrEx>
        <w:trPr>
          <w:trHeight w:val="275" w:hRule="atLeast"/>
        </w:trPr>
        <w:tc>
          <w:tcPr>
            <w:tcW w:w="454" w:type="pct"/>
            <w:tcBorders>
              <w:top w:val="single" w:color="auto" w:sz="4" w:space="0"/>
              <w:left w:val="single" w:color="auto" w:sz="4" w:space="0"/>
              <w:bottom w:val="single" w:color="auto" w:sz="4" w:space="0"/>
              <w:right w:val="single" w:color="auto" w:sz="4" w:space="0"/>
            </w:tcBorders>
            <w:noWrap/>
            <w:vAlign w:val="bottom"/>
          </w:tcPr>
          <w:p w14:paraId="58B1D0CC">
            <w:pPr>
              <w:spacing w:line="520" w:lineRule="exact"/>
              <w:jc w:val="center"/>
              <w:rPr>
                <w:rFonts w:hint="default"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c>
          <w:tcPr>
            <w:tcW w:w="1428" w:type="pct"/>
            <w:tcBorders>
              <w:top w:val="single" w:color="auto" w:sz="4" w:space="0"/>
              <w:left w:val="single" w:color="auto" w:sz="4" w:space="0"/>
              <w:bottom w:val="single" w:color="auto" w:sz="4" w:space="0"/>
              <w:right w:val="single" w:color="auto" w:sz="4" w:space="0"/>
            </w:tcBorders>
            <w:noWrap/>
            <w:vAlign w:val="center"/>
          </w:tcPr>
          <w:p w14:paraId="2B70F6BB">
            <w:pPr>
              <w:spacing w:line="520" w:lineRule="exact"/>
              <w:jc w:val="center"/>
              <w:rPr>
                <w:rFonts w:hint="eastAsia" w:ascii="仿宋_GB2312" w:eastAsia="仿宋_GB2312" w:cs="Times New Roman"/>
                <w:sz w:val="28"/>
                <w:szCs w:val="28"/>
              </w:rPr>
            </w:pPr>
            <w:r>
              <w:rPr>
                <w:rFonts w:hint="eastAsia" w:ascii="仿宋_GB2312" w:eastAsia="仿宋_GB2312" w:cs="Times New Roman"/>
                <w:sz w:val="28"/>
                <w:szCs w:val="28"/>
                <w:lang w:val="en-US" w:eastAsia="zh-CN"/>
              </w:rPr>
              <w:t>年末预算执行率</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B107BA">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430790">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90</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62F5D099">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w:t>
            </w:r>
          </w:p>
        </w:tc>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2D530534">
            <w:pPr>
              <w:spacing w:line="520" w:lineRule="exact"/>
              <w:jc w:val="center"/>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10</w:t>
            </w:r>
          </w:p>
        </w:tc>
      </w:tr>
    </w:tbl>
    <w:p w14:paraId="09EDC923">
      <w:pPr>
        <w:spacing w:line="580" w:lineRule="exact"/>
        <w:ind w:firstLine="641"/>
        <w:rPr>
          <w:rFonts w:hint="eastAsia" w:ascii="楷体_GB2312" w:hAnsi="Calibri" w:eastAsia="楷体_GB2312"/>
          <w:b/>
          <w:sz w:val="28"/>
          <w:szCs w:val="28"/>
        </w:rPr>
      </w:pPr>
      <w:r>
        <w:rPr>
          <w:rFonts w:hint="eastAsia" w:ascii="楷体_GB2312" w:eastAsia="楷体_GB2312"/>
          <w:b/>
          <w:sz w:val="28"/>
          <w:szCs w:val="28"/>
        </w:rPr>
        <w:t>(二)当年预算执行情况</w:t>
      </w:r>
      <w:bookmarkEnd w:id="0"/>
      <w:r>
        <w:rPr>
          <w:rFonts w:hint="eastAsia" w:ascii="仿宋_GB2312" w:eastAsia="仿宋_GB2312"/>
          <w:sz w:val="28"/>
          <w:szCs w:val="28"/>
        </w:rPr>
        <w:t xml:space="preserve">  </w:t>
      </w:r>
    </w:p>
    <w:p w14:paraId="67FA40E8">
      <w:pPr>
        <w:spacing w:line="580" w:lineRule="exact"/>
        <w:ind w:firstLine="641"/>
        <w:rPr>
          <w:rFonts w:hint="eastAsia" w:ascii="仿宋_GB2312" w:eastAsia="仿宋_GB2312"/>
          <w:sz w:val="32"/>
          <w:szCs w:val="32"/>
        </w:rPr>
      </w:pPr>
      <w:r>
        <w:rPr>
          <w:rFonts w:hint="eastAsia" w:ascii="仿宋_GB2312" w:eastAsia="仿宋_GB2312"/>
          <w:sz w:val="28"/>
          <w:szCs w:val="28"/>
        </w:rPr>
        <w:t>2025年全年预算数69,991,597.55元，其中，基本支出预算数12468150.36元，项目支出预算数57,523,447.19元。全年支出69,991,597.55元，其中，基本支出12468150.36元，项目支出57,523,447.19元。预算执行率为</w:t>
      </w:r>
      <w:r>
        <w:rPr>
          <w:rFonts w:hint="eastAsia" w:ascii="仿宋_GB2312" w:eastAsia="仿宋_GB2312"/>
          <w:sz w:val="28"/>
          <w:szCs w:val="28"/>
          <w:lang w:val="en-US" w:eastAsia="zh-CN"/>
        </w:rPr>
        <w:t>100</w:t>
      </w:r>
      <w:r>
        <w:rPr>
          <w:rFonts w:hint="eastAsia" w:ascii="仿宋_GB2312" w:eastAsia="仿宋_GB2312"/>
          <w:sz w:val="28"/>
          <w:szCs w:val="28"/>
        </w:rPr>
        <w:t xml:space="preserve">%。 </w:t>
      </w:r>
      <w:r>
        <w:rPr>
          <w:rFonts w:hint="eastAsia" w:ascii="仿宋_GB2312" w:eastAsia="仿宋_GB2312"/>
          <w:sz w:val="32"/>
          <w:szCs w:val="32"/>
        </w:rPr>
        <w:t xml:space="preserve">                             </w:t>
      </w:r>
    </w:p>
    <w:p w14:paraId="4812C3BC">
      <w:pPr>
        <w:spacing w:line="580" w:lineRule="exact"/>
        <w:ind w:firstLine="641"/>
        <w:rPr>
          <w:rFonts w:hint="eastAsia" w:ascii="仿宋_GB2312" w:eastAsia="仿宋_GB2312"/>
          <w:sz w:val="28"/>
          <w:szCs w:val="28"/>
        </w:rPr>
      </w:pPr>
      <w:r>
        <w:rPr>
          <w:rFonts w:hint="eastAsia" w:ascii="仿宋_GB2312" w:eastAsia="仿宋_GB2312"/>
          <w:sz w:val="28"/>
          <w:szCs w:val="28"/>
        </w:rPr>
        <w:t>2025年年末结转结余资金总额为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元，全年支出预算数为69,991,597.55元，资金结转结余率为</w:t>
      </w:r>
      <w:r>
        <w:rPr>
          <w:rFonts w:hint="eastAsia" w:ascii="仿宋_GB2312" w:eastAsia="仿宋_GB2312"/>
          <w:sz w:val="28"/>
          <w:szCs w:val="28"/>
          <w:lang w:val="en-US" w:eastAsia="zh-CN"/>
        </w:rPr>
        <w:t>0</w:t>
      </w:r>
      <w:r>
        <w:rPr>
          <w:rFonts w:hint="eastAsia" w:ascii="仿宋_GB2312" w:eastAsia="仿宋_GB2312"/>
          <w:sz w:val="28"/>
          <w:szCs w:val="28"/>
        </w:rPr>
        <w:t>%；2024年年末结转结余资金总额为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元，全年支出预算数为24</w:t>
      </w:r>
      <w:r>
        <w:rPr>
          <w:rFonts w:hint="eastAsia" w:ascii="仿宋_GB2312" w:eastAsia="仿宋_GB2312"/>
          <w:sz w:val="28"/>
          <w:szCs w:val="28"/>
          <w:lang w:val="en-US" w:eastAsia="zh-CN"/>
        </w:rPr>
        <w:t>,</w:t>
      </w:r>
      <w:r>
        <w:rPr>
          <w:rFonts w:hint="eastAsia" w:ascii="仿宋_GB2312" w:eastAsia="仿宋_GB2312"/>
          <w:sz w:val="28"/>
          <w:szCs w:val="28"/>
        </w:rPr>
        <w:t>308</w:t>
      </w:r>
      <w:r>
        <w:rPr>
          <w:rFonts w:hint="eastAsia" w:ascii="仿宋_GB2312" w:eastAsia="仿宋_GB2312"/>
          <w:sz w:val="28"/>
          <w:szCs w:val="28"/>
          <w:lang w:val="en-US" w:eastAsia="zh-CN"/>
        </w:rPr>
        <w:t>,</w:t>
      </w:r>
      <w:r>
        <w:rPr>
          <w:rFonts w:hint="eastAsia" w:ascii="仿宋_GB2312" w:eastAsia="仿宋_GB2312"/>
          <w:sz w:val="28"/>
          <w:szCs w:val="28"/>
        </w:rPr>
        <w:t>937</w:t>
      </w:r>
      <w:r>
        <w:rPr>
          <w:rFonts w:hint="eastAsia" w:ascii="仿宋_GB2312" w:eastAsia="仿宋_GB2312"/>
          <w:sz w:val="28"/>
          <w:szCs w:val="28"/>
          <w:lang w:val="en-US" w:eastAsia="zh-CN"/>
        </w:rPr>
        <w:t>.</w:t>
      </w:r>
      <w:r>
        <w:rPr>
          <w:rFonts w:hint="eastAsia" w:ascii="仿宋_GB2312" w:eastAsia="仿宋_GB2312"/>
          <w:sz w:val="28"/>
          <w:szCs w:val="28"/>
        </w:rPr>
        <w:t>41元，资金结转结余率为</w:t>
      </w:r>
      <w:r>
        <w:rPr>
          <w:rFonts w:hint="eastAsia" w:ascii="仿宋_GB2312" w:eastAsia="仿宋_GB2312"/>
          <w:sz w:val="28"/>
          <w:szCs w:val="28"/>
          <w:lang w:val="en-US" w:eastAsia="zh-CN"/>
        </w:rPr>
        <w:t>0</w:t>
      </w:r>
      <w:r>
        <w:rPr>
          <w:rFonts w:hint="eastAsia" w:ascii="仿宋_GB2312" w:eastAsia="仿宋_GB2312"/>
          <w:sz w:val="28"/>
          <w:szCs w:val="28"/>
        </w:rPr>
        <w:t>%；2025年度部门结转结余率较上一年持平。</w:t>
      </w:r>
    </w:p>
    <w:p w14:paraId="7A44ED59">
      <w:pPr>
        <w:spacing w:line="580" w:lineRule="exact"/>
        <w:ind w:firstLine="641"/>
        <w:rPr>
          <w:rFonts w:hint="eastAsia" w:ascii="楷体_GB2312" w:eastAsia="楷体_GB2312"/>
          <w:b/>
          <w:sz w:val="28"/>
          <w:szCs w:val="28"/>
        </w:rPr>
      </w:pPr>
      <w:r>
        <w:rPr>
          <w:rFonts w:hint="eastAsia" w:ascii="楷体_GB2312" w:eastAsia="楷体_GB2312"/>
          <w:b/>
          <w:sz w:val="28"/>
          <w:szCs w:val="28"/>
        </w:rPr>
        <w:t>（三）整体绩效目标实现情况</w:t>
      </w:r>
    </w:p>
    <w:p w14:paraId="768DF8B3">
      <w:pPr>
        <w:spacing w:line="520" w:lineRule="exact"/>
        <w:ind w:firstLine="640"/>
        <w:rPr>
          <w:rFonts w:ascii="仿宋_GB2312" w:eastAsia="仿宋_GB2312"/>
          <w:sz w:val="28"/>
          <w:szCs w:val="28"/>
        </w:rPr>
      </w:pPr>
      <w:r>
        <w:rPr>
          <w:rFonts w:hint="eastAsia" w:ascii="仿宋_GB2312" w:eastAsia="仿宋_GB2312"/>
          <w:sz w:val="28"/>
          <w:szCs w:val="28"/>
        </w:rPr>
        <w:t>1.产出完成情况分析</w:t>
      </w:r>
    </w:p>
    <w:p w14:paraId="7CBCD920">
      <w:pPr>
        <w:spacing w:line="520" w:lineRule="exact"/>
        <w:ind w:firstLine="640"/>
        <w:rPr>
          <w:rFonts w:hint="eastAsia" w:ascii="仿宋_GB2312" w:eastAsia="仿宋_GB2312"/>
          <w:sz w:val="28"/>
          <w:szCs w:val="28"/>
        </w:rPr>
      </w:pPr>
      <w:r>
        <w:rPr>
          <w:rFonts w:hint="eastAsia" w:ascii="仿宋_GB2312" w:eastAsia="仿宋_GB2312"/>
          <w:sz w:val="28"/>
          <w:szCs w:val="28"/>
        </w:rPr>
        <w:t>（1）产出数量</w:t>
      </w:r>
    </w:p>
    <w:tbl>
      <w:tblPr>
        <w:tblStyle w:val="10"/>
        <w:tblW w:w="9200" w:type="dxa"/>
        <w:tblInd w:w="108" w:type="dxa"/>
        <w:tblLayout w:type="autofit"/>
        <w:tblCellMar>
          <w:top w:w="0" w:type="dxa"/>
          <w:left w:w="108" w:type="dxa"/>
          <w:bottom w:w="0" w:type="dxa"/>
          <w:right w:w="108" w:type="dxa"/>
        </w:tblCellMar>
      </w:tblPr>
      <w:tblGrid>
        <w:gridCol w:w="800"/>
        <w:gridCol w:w="2100"/>
        <w:gridCol w:w="2100"/>
        <w:gridCol w:w="2100"/>
        <w:gridCol w:w="2100"/>
      </w:tblGrid>
      <w:tr w14:paraId="662CC97B">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019220F7">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14:paraId="3A1295BF">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14:paraId="1DA132E7">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14:paraId="38A6A02F">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14:paraId="7D53555D">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65C43BBA">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53D95B61">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shd w:val="clear" w:color="auto" w:fill="auto"/>
            <w:vAlign w:val="center"/>
          </w:tcPr>
          <w:p w14:paraId="303A8CA7">
            <w:pPr>
              <w:widowControl/>
              <w:jc w:val="center"/>
              <w:rPr>
                <w:rFonts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方案编制内容</w:t>
            </w:r>
          </w:p>
        </w:tc>
        <w:tc>
          <w:tcPr>
            <w:tcW w:w="2100" w:type="dxa"/>
            <w:tcBorders>
              <w:top w:val="nil"/>
              <w:left w:val="nil"/>
              <w:bottom w:val="single" w:color="auto" w:sz="4" w:space="0"/>
              <w:right w:val="single" w:color="auto" w:sz="4" w:space="0"/>
            </w:tcBorders>
            <w:shd w:val="clear" w:color="auto" w:fill="auto"/>
            <w:vAlign w:val="center"/>
          </w:tcPr>
          <w:p w14:paraId="0FAE8D74">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w:t>
            </w:r>
          </w:p>
        </w:tc>
        <w:tc>
          <w:tcPr>
            <w:tcW w:w="2100" w:type="dxa"/>
            <w:tcBorders>
              <w:top w:val="nil"/>
              <w:left w:val="nil"/>
              <w:bottom w:val="single" w:color="auto" w:sz="4" w:space="0"/>
              <w:right w:val="single" w:color="auto" w:sz="4" w:space="0"/>
            </w:tcBorders>
            <w:vAlign w:val="center"/>
          </w:tcPr>
          <w:p w14:paraId="7DCBD055">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nil"/>
              <w:left w:val="nil"/>
              <w:bottom w:val="single" w:color="auto" w:sz="4" w:space="0"/>
              <w:right w:val="single" w:color="auto" w:sz="4" w:space="0"/>
            </w:tcBorders>
            <w:vAlign w:val="center"/>
          </w:tcPr>
          <w:p w14:paraId="0374C4EC">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6947ABF2">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229B5B76">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100" w:type="dxa"/>
            <w:tcBorders>
              <w:top w:val="nil"/>
              <w:left w:val="nil"/>
              <w:bottom w:val="single" w:color="auto" w:sz="4" w:space="0"/>
              <w:right w:val="single" w:color="auto" w:sz="4" w:space="0"/>
            </w:tcBorders>
            <w:shd w:val="clear" w:color="auto" w:fill="auto"/>
            <w:vAlign w:val="center"/>
          </w:tcPr>
          <w:p w14:paraId="34D6C8DF">
            <w:pPr>
              <w:widowControl/>
              <w:jc w:val="center"/>
              <w:rPr>
                <w:rFonts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重点项目</w:t>
            </w:r>
          </w:p>
        </w:tc>
        <w:tc>
          <w:tcPr>
            <w:tcW w:w="2100" w:type="dxa"/>
            <w:tcBorders>
              <w:top w:val="nil"/>
              <w:left w:val="nil"/>
              <w:bottom w:val="single" w:color="auto" w:sz="4" w:space="0"/>
              <w:right w:val="single" w:color="auto" w:sz="4" w:space="0"/>
            </w:tcBorders>
            <w:shd w:val="clear" w:color="auto" w:fill="auto"/>
            <w:vAlign w:val="center"/>
          </w:tcPr>
          <w:p w14:paraId="5BF38C21">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w:t>
            </w:r>
          </w:p>
        </w:tc>
        <w:tc>
          <w:tcPr>
            <w:tcW w:w="2100" w:type="dxa"/>
            <w:tcBorders>
              <w:top w:val="nil"/>
              <w:left w:val="nil"/>
              <w:bottom w:val="single" w:color="auto" w:sz="4" w:space="0"/>
              <w:right w:val="single" w:color="auto" w:sz="4" w:space="0"/>
            </w:tcBorders>
            <w:vAlign w:val="center"/>
          </w:tcPr>
          <w:p w14:paraId="132B6B72">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nil"/>
              <w:left w:val="nil"/>
              <w:bottom w:val="single" w:color="auto" w:sz="4" w:space="0"/>
              <w:right w:val="single" w:color="auto" w:sz="4" w:space="0"/>
            </w:tcBorders>
            <w:vAlign w:val="center"/>
          </w:tcPr>
          <w:p w14:paraId="6E502DFC">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696FB5CC">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132699AE">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2100" w:type="dxa"/>
            <w:tcBorders>
              <w:top w:val="nil"/>
              <w:left w:val="nil"/>
              <w:bottom w:val="single" w:color="auto" w:sz="4" w:space="0"/>
              <w:right w:val="single" w:color="auto" w:sz="4" w:space="0"/>
            </w:tcBorders>
            <w:shd w:val="clear" w:color="auto" w:fill="auto"/>
            <w:vAlign w:val="center"/>
          </w:tcPr>
          <w:p w14:paraId="2B0729E9">
            <w:pPr>
              <w:widowControl/>
              <w:jc w:val="center"/>
              <w:rPr>
                <w:rFonts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主导产业细分领域外出活动</w:t>
            </w:r>
          </w:p>
        </w:tc>
        <w:tc>
          <w:tcPr>
            <w:tcW w:w="2100" w:type="dxa"/>
            <w:tcBorders>
              <w:top w:val="nil"/>
              <w:left w:val="nil"/>
              <w:bottom w:val="single" w:color="auto" w:sz="4" w:space="0"/>
              <w:right w:val="single" w:color="auto" w:sz="4" w:space="0"/>
            </w:tcBorders>
            <w:shd w:val="clear" w:color="auto" w:fill="auto"/>
            <w:vAlign w:val="center"/>
          </w:tcPr>
          <w:p w14:paraId="344122A9">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w:t>
            </w:r>
          </w:p>
        </w:tc>
        <w:tc>
          <w:tcPr>
            <w:tcW w:w="2100" w:type="dxa"/>
            <w:tcBorders>
              <w:top w:val="nil"/>
              <w:left w:val="nil"/>
              <w:bottom w:val="single" w:color="auto" w:sz="4" w:space="0"/>
              <w:right w:val="single" w:color="auto" w:sz="4" w:space="0"/>
            </w:tcBorders>
            <w:vAlign w:val="center"/>
          </w:tcPr>
          <w:p w14:paraId="03B29466">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nil"/>
              <w:left w:val="nil"/>
              <w:bottom w:val="single" w:color="auto" w:sz="4" w:space="0"/>
              <w:right w:val="single" w:color="auto" w:sz="4" w:space="0"/>
            </w:tcBorders>
            <w:vAlign w:val="center"/>
          </w:tcPr>
          <w:p w14:paraId="50EBA5CF">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2B5C9273">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6FCF6913">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4</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1295CA97">
            <w:pPr>
              <w:widowControl/>
              <w:jc w:val="center"/>
              <w:rPr>
                <w:rFonts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人工智能算力算法平台</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218DA28F">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w:t>
            </w:r>
          </w:p>
        </w:tc>
        <w:tc>
          <w:tcPr>
            <w:tcW w:w="2100" w:type="dxa"/>
            <w:tcBorders>
              <w:top w:val="single" w:color="auto" w:sz="4" w:space="0"/>
              <w:left w:val="single" w:color="auto" w:sz="4" w:space="0"/>
              <w:bottom w:val="single" w:color="auto" w:sz="4" w:space="0"/>
              <w:right w:val="single" w:color="auto" w:sz="4" w:space="0"/>
            </w:tcBorders>
            <w:vAlign w:val="center"/>
          </w:tcPr>
          <w:p w14:paraId="6E7475D2">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single" w:color="auto" w:sz="4" w:space="0"/>
              <w:left w:val="single" w:color="auto" w:sz="4" w:space="0"/>
              <w:bottom w:val="single" w:color="auto" w:sz="4" w:space="0"/>
              <w:right w:val="single" w:color="auto" w:sz="4" w:space="0"/>
            </w:tcBorders>
            <w:vAlign w:val="center"/>
          </w:tcPr>
          <w:p w14:paraId="232F3230">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607A6F8D">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17CB3A73">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5</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6BD2A240">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举办宣传活动</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4550EF2A">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w:t>
            </w:r>
          </w:p>
        </w:tc>
        <w:tc>
          <w:tcPr>
            <w:tcW w:w="2100" w:type="dxa"/>
            <w:tcBorders>
              <w:top w:val="single" w:color="auto" w:sz="4" w:space="0"/>
              <w:left w:val="single" w:color="auto" w:sz="4" w:space="0"/>
              <w:bottom w:val="single" w:color="auto" w:sz="4" w:space="0"/>
              <w:right w:val="single" w:color="auto" w:sz="4" w:space="0"/>
            </w:tcBorders>
            <w:vAlign w:val="center"/>
          </w:tcPr>
          <w:p w14:paraId="04078481">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single" w:color="auto" w:sz="4" w:space="0"/>
              <w:left w:val="single" w:color="auto" w:sz="4" w:space="0"/>
              <w:bottom w:val="single" w:color="auto" w:sz="4" w:space="0"/>
              <w:right w:val="single" w:color="auto" w:sz="4" w:space="0"/>
            </w:tcBorders>
            <w:vAlign w:val="center"/>
          </w:tcPr>
          <w:p w14:paraId="5DD6331D">
            <w:pPr>
              <w:widowControl/>
              <w:spacing w:line="520" w:lineRule="exact"/>
              <w:jc w:val="center"/>
              <w:rPr>
                <w:rFonts w:hint="eastAsia" w:ascii="仿宋_GB2312" w:hAnsi="宋体" w:eastAsia="仿宋_GB2312" w:cs="宋体"/>
                <w:color w:val="000000"/>
                <w:kern w:val="0"/>
                <w:sz w:val="28"/>
                <w:szCs w:val="28"/>
              </w:rPr>
            </w:pPr>
          </w:p>
        </w:tc>
      </w:tr>
      <w:tr w14:paraId="3BF2F4B8">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24A97BE7">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6</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2DCF2F1A">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党组织建设</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0C29509B">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w:t>
            </w:r>
          </w:p>
        </w:tc>
        <w:tc>
          <w:tcPr>
            <w:tcW w:w="2100" w:type="dxa"/>
            <w:tcBorders>
              <w:top w:val="single" w:color="auto" w:sz="4" w:space="0"/>
              <w:left w:val="single" w:color="auto" w:sz="4" w:space="0"/>
              <w:bottom w:val="single" w:color="auto" w:sz="4" w:space="0"/>
              <w:right w:val="single" w:color="auto" w:sz="4" w:space="0"/>
            </w:tcBorders>
            <w:vAlign w:val="center"/>
          </w:tcPr>
          <w:p w14:paraId="26E5448C">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single" w:color="auto" w:sz="4" w:space="0"/>
              <w:left w:val="single" w:color="auto" w:sz="4" w:space="0"/>
              <w:bottom w:val="single" w:color="auto" w:sz="4" w:space="0"/>
              <w:right w:val="single" w:color="auto" w:sz="4" w:space="0"/>
            </w:tcBorders>
            <w:vAlign w:val="center"/>
          </w:tcPr>
          <w:p w14:paraId="34B67092">
            <w:pPr>
              <w:widowControl/>
              <w:spacing w:line="520" w:lineRule="exact"/>
              <w:jc w:val="center"/>
              <w:rPr>
                <w:rFonts w:hint="eastAsia" w:ascii="仿宋_GB2312" w:hAnsi="宋体" w:eastAsia="仿宋_GB2312" w:cs="宋体"/>
                <w:color w:val="000000"/>
                <w:kern w:val="0"/>
                <w:sz w:val="28"/>
                <w:szCs w:val="28"/>
              </w:rPr>
            </w:pPr>
          </w:p>
        </w:tc>
      </w:tr>
      <w:tr w14:paraId="2167790C">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2D430E95">
            <w:pPr>
              <w:widowControl/>
              <w:spacing w:line="520" w:lineRule="exact"/>
              <w:jc w:val="center"/>
              <w:rPr>
                <w:rFonts w:hint="eastAsia" w:ascii="仿宋_GB2312" w:hAnsi="宋体" w:eastAsia="仿宋_GB2312" w:cs="宋体"/>
                <w:color w:val="000000"/>
                <w:kern w:val="0"/>
                <w:sz w:val="28"/>
                <w:szCs w:val="28"/>
                <w:highlight w:val="none"/>
                <w:lang w:val="en-US" w:eastAsia="zh-CN"/>
              </w:rPr>
            </w:pPr>
            <w:r>
              <w:rPr>
                <w:rFonts w:hint="eastAsia" w:ascii="仿宋_GB2312" w:hAnsi="宋体" w:eastAsia="仿宋_GB2312" w:cs="宋体"/>
                <w:color w:val="000000"/>
                <w:kern w:val="0"/>
                <w:sz w:val="28"/>
                <w:szCs w:val="28"/>
                <w:highlight w:val="none"/>
                <w:lang w:val="en-US" w:eastAsia="zh-CN"/>
              </w:rPr>
              <w:t>7</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453EEFE9">
            <w:pPr>
              <w:widowControl/>
              <w:jc w:val="center"/>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sz w:val="28"/>
                <w:szCs w:val="28"/>
                <w:highlight w:val="none"/>
                <w:lang w:val="en-US" w:eastAsia="zh-CN"/>
              </w:rPr>
              <w:t>在岗人员</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14:paraId="404480BE">
            <w:pPr>
              <w:widowControl/>
              <w:jc w:val="center"/>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sz w:val="28"/>
                <w:szCs w:val="28"/>
                <w:highlight w:val="none"/>
                <w:lang w:val="en-US" w:eastAsia="zh-CN"/>
              </w:rPr>
              <w:t>41</w:t>
            </w:r>
          </w:p>
        </w:tc>
        <w:tc>
          <w:tcPr>
            <w:tcW w:w="2100" w:type="dxa"/>
            <w:tcBorders>
              <w:top w:val="single" w:color="auto" w:sz="4" w:space="0"/>
              <w:left w:val="single" w:color="auto" w:sz="4" w:space="0"/>
              <w:bottom w:val="single" w:color="auto" w:sz="4" w:space="0"/>
              <w:right w:val="single" w:color="auto" w:sz="4" w:space="0"/>
            </w:tcBorders>
            <w:vAlign w:val="center"/>
          </w:tcPr>
          <w:p w14:paraId="022C0EBB">
            <w:pPr>
              <w:widowControl/>
              <w:jc w:val="center"/>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kern w:val="2"/>
                <w:sz w:val="28"/>
                <w:szCs w:val="28"/>
                <w:highlight w:val="none"/>
                <w:lang w:val="en-US" w:eastAsia="zh-CN" w:bidi="ar-SA"/>
              </w:rPr>
              <w:t>1</w:t>
            </w:r>
          </w:p>
        </w:tc>
        <w:tc>
          <w:tcPr>
            <w:tcW w:w="2100" w:type="dxa"/>
            <w:tcBorders>
              <w:top w:val="single" w:color="auto" w:sz="4" w:space="0"/>
              <w:left w:val="single" w:color="auto" w:sz="4" w:space="0"/>
              <w:bottom w:val="single" w:color="auto" w:sz="4" w:space="0"/>
              <w:right w:val="single" w:color="auto" w:sz="4" w:space="0"/>
            </w:tcBorders>
            <w:vAlign w:val="center"/>
          </w:tcPr>
          <w:p w14:paraId="732BD685">
            <w:pPr>
              <w:widowControl/>
              <w:spacing w:line="520" w:lineRule="exact"/>
              <w:jc w:val="center"/>
              <w:rPr>
                <w:rFonts w:hint="eastAsia" w:ascii="仿宋_GB2312" w:hAnsi="宋体" w:eastAsia="仿宋_GB2312" w:cs="宋体"/>
                <w:color w:val="000000"/>
                <w:kern w:val="0"/>
                <w:sz w:val="28"/>
                <w:szCs w:val="28"/>
                <w:highlight w:val="none"/>
              </w:rPr>
            </w:pPr>
          </w:p>
        </w:tc>
      </w:tr>
    </w:tbl>
    <w:p w14:paraId="4DC99025">
      <w:pPr>
        <w:spacing w:line="520" w:lineRule="exact"/>
        <w:ind w:firstLine="640"/>
        <w:rPr>
          <w:rFonts w:ascii="仿宋_GB2312" w:eastAsia="仿宋_GB2312"/>
          <w:sz w:val="28"/>
          <w:szCs w:val="28"/>
          <w:highlight w:val="none"/>
        </w:rPr>
      </w:pPr>
      <w:r>
        <w:rPr>
          <w:rFonts w:hint="eastAsia" w:ascii="仿宋_GB2312" w:eastAsia="仿宋_GB2312"/>
          <w:sz w:val="28"/>
          <w:szCs w:val="28"/>
          <w:highlight w:val="none"/>
        </w:rPr>
        <w:t>2.效果实现情况分析</w:t>
      </w:r>
    </w:p>
    <w:tbl>
      <w:tblPr>
        <w:tblStyle w:val="10"/>
        <w:tblW w:w="9200" w:type="dxa"/>
        <w:tblInd w:w="108" w:type="dxa"/>
        <w:tblLayout w:type="autofit"/>
        <w:tblCellMar>
          <w:top w:w="0" w:type="dxa"/>
          <w:left w:w="108" w:type="dxa"/>
          <w:bottom w:w="0" w:type="dxa"/>
          <w:right w:w="108" w:type="dxa"/>
        </w:tblCellMar>
      </w:tblPr>
      <w:tblGrid>
        <w:gridCol w:w="800"/>
        <w:gridCol w:w="2100"/>
        <w:gridCol w:w="2100"/>
        <w:gridCol w:w="2100"/>
        <w:gridCol w:w="2100"/>
      </w:tblGrid>
      <w:tr w14:paraId="7EB28C8B">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65AE4235">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14:paraId="0B41CF67">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14:paraId="3EC7E75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14:paraId="5D94EA8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14:paraId="11ED9A2C">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764EB215">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7CCFA200">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shd w:val="clear" w:color="auto" w:fill="auto"/>
            <w:vAlign w:val="center"/>
          </w:tcPr>
          <w:p w14:paraId="3AC66A2B">
            <w:pPr>
              <w:widowControl/>
              <w:jc w:val="center"/>
              <w:rPr>
                <w:rFonts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保障机构正常运行</w:t>
            </w:r>
          </w:p>
        </w:tc>
        <w:tc>
          <w:tcPr>
            <w:tcW w:w="2100" w:type="dxa"/>
            <w:tcBorders>
              <w:top w:val="nil"/>
              <w:left w:val="nil"/>
              <w:bottom w:val="single" w:color="auto" w:sz="4" w:space="0"/>
              <w:right w:val="single" w:color="auto" w:sz="4" w:space="0"/>
            </w:tcBorders>
            <w:shd w:val="clear" w:color="auto" w:fill="auto"/>
            <w:vAlign w:val="center"/>
          </w:tcPr>
          <w:p w14:paraId="0BF65464">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优良中差</w:t>
            </w:r>
          </w:p>
        </w:tc>
        <w:tc>
          <w:tcPr>
            <w:tcW w:w="2100" w:type="dxa"/>
            <w:tcBorders>
              <w:top w:val="nil"/>
              <w:left w:val="nil"/>
              <w:bottom w:val="single" w:color="auto" w:sz="4" w:space="0"/>
              <w:right w:val="single" w:color="auto" w:sz="4" w:space="0"/>
            </w:tcBorders>
            <w:vAlign w:val="center"/>
          </w:tcPr>
          <w:p w14:paraId="56A7EBFC">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nil"/>
              <w:left w:val="nil"/>
              <w:bottom w:val="single" w:color="auto" w:sz="4" w:space="0"/>
              <w:right w:val="single" w:color="auto" w:sz="4" w:space="0"/>
            </w:tcBorders>
            <w:vAlign w:val="center"/>
          </w:tcPr>
          <w:p w14:paraId="43418454">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6DE8BEE5">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0EDC9FB9">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100" w:type="dxa"/>
            <w:tcBorders>
              <w:top w:val="nil"/>
              <w:left w:val="nil"/>
              <w:bottom w:val="single" w:color="auto" w:sz="4" w:space="0"/>
              <w:right w:val="single" w:color="auto" w:sz="4" w:space="0"/>
            </w:tcBorders>
            <w:shd w:val="clear" w:color="auto" w:fill="auto"/>
            <w:vAlign w:val="center"/>
          </w:tcPr>
          <w:p w14:paraId="1004AB7B">
            <w:pPr>
              <w:widowControl/>
              <w:jc w:val="center"/>
              <w:rPr>
                <w:rFonts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满意度</w:t>
            </w:r>
          </w:p>
        </w:tc>
        <w:tc>
          <w:tcPr>
            <w:tcW w:w="2100" w:type="dxa"/>
            <w:tcBorders>
              <w:top w:val="nil"/>
              <w:left w:val="nil"/>
              <w:bottom w:val="single" w:color="auto" w:sz="4" w:space="0"/>
              <w:right w:val="single" w:color="auto" w:sz="4" w:space="0"/>
            </w:tcBorders>
            <w:shd w:val="clear" w:color="auto" w:fill="auto"/>
            <w:vAlign w:val="center"/>
          </w:tcPr>
          <w:p w14:paraId="7DEB63AF">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95</w:t>
            </w:r>
          </w:p>
        </w:tc>
        <w:tc>
          <w:tcPr>
            <w:tcW w:w="2100" w:type="dxa"/>
            <w:tcBorders>
              <w:top w:val="nil"/>
              <w:left w:val="nil"/>
              <w:bottom w:val="single" w:color="auto" w:sz="4" w:space="0"/>
              <w:right w:val="single" w:color="auto" w:sz="4" w:space="0"/>
            </w:tcBorders>
            <w:vAlign w:val="center"/>
          </w:tcPr>
          <w:p w14:paraId="4C7B9E65">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nil"/>
              <w:left w:val="nil"/>
              <w:bottom w:val="single" w:color="auto" w:sz="4" w:space="0"/>
              <w:right w:val="single" w:color="auto" w:sz="4" w:space="0"/>
            </w:tcBorders>
            <w:vAlign w:val="center"/>
          </w:tcPr>
          <w:p w14:paraId="00286194">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56EAEC4B">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0E9A8C3F">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2100" w:type="dxa"/>
            <w:tcBorders>
              <w:top w:val="nil"/>
              <w:left w:val="nil"/>
              <w:bottom w:val="single" w:color="auto" w:sz="4" w:space="0"/>
              <w:right w:val="single" w:color="auto" w:sz="4" w:space="0"/>
            </w:tcBorders>
            <w:shd w:val="clear" w:color="auto" w:fill="auto"/>
            <w:vAlign w:val="center"/>
          </w:tcPr>
          <w:p w14:paraId="7ED8CEF9">
            <w:pPr>
              <w:widowControl/>
              <w:jc w:val="center"/>
              <w:rPr>
                <w:rFonts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年末预算执行率</w:t>
            </w:r>
          </w:p>
        </w:tc>
        <w:tc>
          <w:tcPr>
            <w:tcW w:w="2100" w:type="dxa"/>
            <w:tcBorders>
              <w:top w:val="nil"/>
              <w:left w:val="nil"/>
              <w:bottom w:val="single" w:color="auto" w:sz="4" w:space="0"/>
              <w:right w:val="single" w:color="auto" w:sz="4" w:space="0"/>
            </w:tcBorders>
            <w:shd w:val="clear" w:color="auto" w:fill="auto"/>
            <w:vAlign w:val="center"/>
          </w:tcPr>
          <w:p w14:paraId="79B3287C">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90</w:t>
            </w:r>
          </w:p>
        </w:tc>
        <w:tc>
          <w:tcPr>
            <w:tcW w:w="2100" w:type="dxa"/>
            <w:tcBorders>
              <w:top w:val="nil"/>
              <w:left w:val="nil"/>
              <w:bottom w:val="single" w:color="auto" w:sz="4" w:space="0"/>
              <w:right w:val="single" w:color="auto" w:sz="4" w:space="0"/>
            </w:tcBorders>
            <w:vAlign w:val="center"/>
          </w:tcPr>
          <w:p w14:paraId="493265FC">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1</w:t>
            </w:r>
          </w:p>
        </w:tc>
        <w:tc>
          <w:tcPr>
            <w:tcW w:w="2100" w:type="dxa"/>
            <w:tcBorders>
              <w:top w:val="nil"/>
              <w:left w:val="nil"/>
              <w:bottom w:val="single" w:color="auto" w:sz="4" w:space="0"/>
              <w:right w:val="single" w:color="auto" w:sz="4" w:space="0"/>
            </w:tcBorders>
            <w:vAlign w:val="center"/>
          </w:tcPr>
          <w:p w14:paraId="2B698869">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14:paraId="5537CA3E">
      <w:pPr>
        <w:spacing w:line="580" w:lineRule="exact"/>
        <w:ind w:firstLine="640"/>
        <w:rPr>
          <w:rFonts w:hint="eastAsia" w:ascii="楷体_GB2312" w:eastAsia="楷体_GB2312"/>
          <w:b/>
          <w:sz w:val="28"/>
          <w:szCs w:val="28"/>
        </w:rPr>
      </w:pPr>
      <w:r>
        <w:rPr>
          <w:rFonts w:hint="eastAsia" w:ascii="楷体_GB2312" w:eastAsia="楷体_GB2312"/>
          <w:b/>
          <w:sz w:val="28"/>
          <w:szCs w:val="28"/>
        </w:rPr>
        <w:t>（四）预算管理情况分析</w:t>
      </w:r>
    </w:p>
    <w:p w14:paraId="2F8D0A51">
      <w:pPr>
        <w:spacing w:line="520" w:lineRule="exact"/>
        <w:ind w:firstLine="640"/>
        <w:rPr>
          <w:rFonts w:hint="eastAsia" w:ascii="仿宋_GB2312" w:eastAsia="仿宋_GB2312"/>
          <w:sz w:val="28"/>
          <w:szCs w:val="28"/>
        </w:rPr>
      </w:pPr>
      <w:r>
        <w:rPr>
          <w:rFonts w:hint="eastAsia" w:ascii="仿宋_GB2312" w:eastAsia="仿宋_GB2312"/>
          <w:sz w:val="28"/>
          <w:szCs w:val="28"/>
        </w:rPr>
        <w:t>1.财务管理</w:t>
      </w:r>
    </w:p>
    <w:p w14:paraId="37E90386">
      <w:pPr>
        <w:spacing w:line="520" w:lineRule="exact"/>
        <w:ind w:firstLine="560" w:firstLineChars="200"/>
        <w:rPr>
          <w:rFonts w:hint="eastAsia" w:ascii="仿宋_GB2312" w:eastAsia="仿宋_GB2312"/>
          <w:sz w:val="28"/>
          <w:szCs w:val="28"/>
        </w:rPr>
      </w:pPr>
      <w:r>
        <w:rPr>
          <w:rFonts w:hint="eastAsia" w:ascii="仿宋_GB2312" w:hAnsi="仿宋" w:eastAsia="仿宋_GB2312" w:cs="Times New Roman"/>
          <w:sz w:val="28"/>
          <w:szCs w:val="28"/>
        </w:rPr>
        <w:t>本单位现已完成财务管理制度、政府采购管理办法，对于资金的使用和审批有详细的流程规定，其他相关财务管理工作中</w:t>
      </w:r>
      <w:r>
        <w:rPr>
          <w:rFonts w:hint="eastAsia" w:ascii="仿宋_GB2312" w:hAnsi="仿宋" w:eastAsia="仿宋_GB2312" w:cs="Times New Roman"/>
          <w:sz w:val="28"/>
          <w:szCs w:val="28"/>
          <w:lang w:eastAsia="zh-CN"/>
        </w:rPr>
        <w:t>持续</w:t>
      </w:r>
      <w:r>
        <w:rPr>
          <w:rFonts w:hint="eastAsia" w:ascii="仿宋_GB2312" w:hAnsi="仿宋" w:eastAsia="仿宋_GB2312" w:cs="Times New Roman"/>
          <w:sz w:val="28"/>
          <w:szCs w:val="28"/>
        </w:rPr>
        <w:t>完善。</w:t>
      </w:r>
    </w:p>
    <w:p w14:paraId="5CA5EFEC">
      <w:pPr>
        <w:spacing w:line="520" w:lineRule="exact"/>
        <w:ind w:firstLine="640"/>
        <w:rPr>
          <w:rFonts w:hint="eastAsia" w:ascii="仿宋_GB2312" w:eastAsia="仿宋_GB2312"/>
          <w:sz w:val="28"/>
          <w:szCs w:val="28"/>
        </w:rPr>
      </w:pPr>
      <w:r>
        <w:rPr>
          <w:rFonts w:hint="eastAsia" w:ascii="仿宋_GB2312" w:eastAsia="仿宋_GB2312"/>
          <w:sz w:val="28"/>
          <w:szCs w:val="28"/>
        </w:rPr>
        <w:t>2.资产管理</w:t>
      </w:r>
    </w:p>
    <w:p w14:paraId="4F19D0B0">
      <w:pPr>
        <w:spacing w:line="520" w:lineRule="exact"/>
        <w:ind w:firstLine="560" w:firstLineChars="200"/>
        <w:rPr>
          <w:rFonts w:hint="eastAsia" w:ascii="仿宋_GB2312" w:eastAsia="仿宋_GB2312"/>
          <w:sz w:val="28"/>
          <w:szCs w:val="28"/>
        </w:rPr>
      </w:pPr>
      <w:r>
        <w:rPr>
          <w:rFonts w:hint="eastAsia" w:ascii="仿宋_GB2312" w:hAnsi="仿宋" w:eastAsia="仿宋_GB2312" w:cs="Times New Roman"/>
          <w:sz w:val="28"/>
          <w:szCs w:val="28"/>
        </w:rPr>
        <w:t>本单位自采及调拨资产全部录入一体化系统进行管理，相关资产管理制度</w:t>
      </w:r>
      <w:r>
        <w:rPr>
          <w:rFonts w:hint="eastAsia" w:ascii="仿宋_GB2312" w:hAnsi="仿宋" w:eastAsia="仿宋_GB2312" w:cs="Times New Roman"/>
          <w:sz w:val="28"/>
          <w:szCs w:val="28"/>
          <w:lang w:eastAsia="zh-CN"/>
        </w:rPr>
        <w:t>持续</w:t>
      </w:r>
      <w:r>
        <w:rPr>
          <w:rFonts w:hint="eastAsia" w:ascii="仿宋_GB2312" w:hAnsi="仿宋" w:eastAsia="仿宋_GB2312" w:cs="Times New Roman"/>
          <w:sz w:val="28"/>
          <w:szCs w:val="28"/>
        </w:rPr>
        <w:t>完善。</w:t>
      </w:r>
    </w:p>
    <w:p w14:paraId="0730A0FD">
      <w:pPr>
        <w:spacing w:line="520" w:lineRule="exact"/>
        <w:ind w:firstLine="640"/>
        <w:rPr>
          <w:rFonts w:ascii="仿宋_GB2312" w:eastAsia="仿宋_GB2312"/>
          <w:sz w:val="28"/>
          <w:szCs w:val="28"/>
        </w:rPr>
      </w:pPr>
      <w:r>
        <w:rPr>
          <w:rFonts w:hint="eastAsia" w:ascii="仿宋_GB2312" w:eastAsia="仿宋_GB2312"/>
          <w:sz w:val="28"/>
          <w:szCs w:val="28"/>
        </w:rPr>
        <w:t>3.绩效管理</w:t>
      </w:r>
    </w:p>
    <w:p w14:paraId="448CE599">
      <w:pPr>
        <w:spacing w:line="520" w:lineRule="exact"/>
        <w:ind w:firstLine="640"/>
        <w:rPr>
          <w:rFonts w:hint="eastAsia" w:ascii="仿宋_GB2312" w:eastAsia="仿宋_GB2312"/>
          <w:sz w:val="28"/>
          <w:szCs w:val="28"/>
        </w:rPr>
      </w:pPr>
      <w:r>
        <w:rPr>
          <w:rFonts w:hint="eastAsia" w:ascii="仿宋_GB2312" w:eastAsia="仿宋_GB2312"/>
          <w:sz w:val="28"/>
          <w:szCs w:val="28"/>
        </w:rPr>
        <w:t>（1）预算绩效管理制度情况</w:t>
      </w:r>
    </w:p>
    <w:p w14:paraId="499FECD6">
      <w:pPr>
        <w:snapToGrid w:val="0"/>
        <w:spacing w:line="520" w:lineRule="exact"/>
        <w:ind w:firstLine="634"/>
        <w:rPr>
          <w:rFonts w:hint="eastAsia" w:ascii="仿宋_GB2312" w:eastAsia="仿宋_GB2312"/>
          <w:sz w:val="28"/>
          <w:szCs w:val="28"/>
        </w:rPr>
      </w:pPr>
      <w:r>
        <w:rPr>
          <w:rFonts w:hint="eastAsia" w:ascii="仿宋_GB2312" w:hAnsi="仿宋" w:eastAsia="仿宋_GB2312" w:cs="Times New Roman"/>
          <w:sz w:val="28"/>
          <w:szCs w:val="28"/>
          <w:highlight w:val="none"/>
        </w:rPr>
        <w:t>本单位绩效管理制度编报工作目前业务层面已完成上会的制度包括《中关村科技园区门头沟园管理委员会财务管理制度》、《中关村门头沟园管委会政府采购管理办法》。</w:t>
      </w:r>
    </w:p>
    <w:p w14:paraId="66A02751">
      <w:pPr>
        <w:spacing w:line="520" w:lineRule="exact"/>
        <w:ind w:firstLine="640"/>
        <w:rPr>
          <w:rFonts w:ascii="仿宋_GB2312" w:eastAsia="仿宋_GB2312"/>
          <w:sz w:val="28"/>
          <w:szCs w:val="28"/>
        </w:rPr>
      </w:pPr>
      <w:r>
        <w:rPr>
          <w:rFonts w:hint="eastAsia" w:ascii="仿宋_GB2312" w:eastAsia="仿宋_GB2312"/>
          <w:sz w:val="28"/>
          <w:szCs w:val="28"/>
        </w:rPr>
        <w:t>（2）绩效目标管理情况</w:t>
      </w:r>
    </w:p>
    <w:p w14:paraId="460DE63D">
      <w:pPr>
        <w:spacing w:line="520" w:lineRule="exact"/>
        <w:ind w:firstLine="640"/>
        <w:rPr>
          <w:rFonts w:ascii="仿宋_GB2312" w:eastAsia="仿宋_GB2312"/>
          <w:sz w:val="28"/>
          <w:szCs w:val="28"/>
        </w:rPr>
      </w:pPr>
      <w:r>
        <w:rPr>
          <w:rFonts w:ascii="仿宋_GB2312" w:eastAsia="仿宋_GB2312"/>
          <w:sz w:val="28"/>
          <w:szCs w:val="28"/>
        </w:rPr>
        <w:t>202</w:t>
      </w:r>
      <w:r>
        <w:rPr>
          <w:rFonts w:hint="eastAsia" w:ascii="仿宋_GB2312" w:eastAsia="仿宋_GB2312"/>
          <w:sz w:val="28"/>
          <w:szCs w:val="28"/>
        </w:rPr>
        <w:t>5年部门预算项目</w:t>
      </w:r>
      <w:r>
        <w:rPr>
          <w:rFonts w:hint="eastAsia" w:ascii="仿宋_GB2312" w:eastAsia="仿宋_GB2312"/>
          <w:sz w:val="28"/>
          <w:szCs w:val="28"/>
          <w:lang w:val="en-US" w:eastAsia="zh-CN"/>
        </w:rPr>
        <w:t>24</w:t>
      </w:r>
      <w:r>
        <w:rPr>
          <w:rFonts w:hint="eastAsia" w:ascii="仿宋_GB2312" w:eastAsia="仿宋_GB2312"/>
          <w:sz w:val="28"/>
          <w:szCs w:val="28"/>
        </w:rPr>
        <w:t>个，部门预算公开绩效目标的预算项目</w:t>
      </w:r>
      <w:r>
        <w:rPr>
          <w:rFonts w:hint="eastAsia" w:ascii="仿宋_GB2312" w:eastAsia="仿宋_GB2312"/>
          <w:sz w:val="28"/>
          <w:szCs w:val="28"/>
          <w:lang w:val="en-US" w:eastAsia="zh-CN"/>
        </w:rPr>
        <w:t>24</w:t>
      </w:r>
      <w:r>
        <w:rPr>
          <w:rFonts w:hint="eastAsia" w:ascii="仿宋_GB2312" w:eastAsia="仿宋_GB2312"/>
          <w:sz w:val="28"/>
          <w:szCs w:val="28"/>
        </w:rPr>
        <w:t>个，占本部门全部预算项目的</w:t>
      </w:r>
      <w:r>
        <w:rPr>
          <w:rFonts w:hint="eastAsia" w:ascii="仿宋_GB2312" w:eastAsia="仿宋_GB2312"/>
          <w:sz w:val="28"/>
          <w:szCs w:val="28"/>
          <w:lang w:val="en-US" w:eastAsia="zh-CN"/>
        </w:rPr>
        <w:t>100</w:t>
      </w:r>
      <w:r>
        <w:rPr>
          <w:rFonts w:ascii="仿宋_GB2312" w:eastAsia="仿宋_GB2312"/>
          <w:sz w:val="28"/>
          <w:szCs w:val="28"/>
        </w:rPr>
        <w:t>%</w:t>
      </w:r>
      <w:r>
        <w:rPr>
          <w:rFonts w:hint="eastAsia" w:ascii="仿宋_GB2312" w:eastAsia="仿宋_GB2312"/>
          <w:sz w:val="28"/>
          <w:szCs w:val="28"/>
        </w:rPr>
        <w:t>。</w:t>
      </w:r>
    </w:p>
    <w:p w14:paraId="75A39A20">
      <w:pPr>
        <w:spacing w:line="520" w:lineRule="exact"/>
        <w:ind w:firstLine="640"/>
        <w:rPr>
          <w:rFonts w:ascii="仿宋_GB2312" w:eastAsia="仿宋_GB2312"/>
          <w:sz w:val="28"/>
          <w:szCs w:val="28"/>
        </w:rPr>
      </w:pPr>
      <w:r>
        <w:rPr>
          <w:rFonts w:hint="eastAsia" w:ascii="仿宋_GB2312" w:eastAsia="仿宋_GB2312"/>
          <w:sz w:val="28"/>
          <w:szCs w:val="28"/>
        </w:rPr>
        <w:t>（3）绩效运行监控情况</w:t>
      </w:r>
    </w:p>
    <w:p w14:paraId="36595073">
      <w:pPr>
        <w:spacing w:line="520" w:lineRule="exact"/>
        <w:ind w:firstLine="640"/>
        <w:rPr>
          <w:rFonts w:ascii="仿宋_GB2312" w:eastAsia="仿宋_GB2312"/>
          <w:sz w:val="28"/>
          <w:szCs w:val="28"/>
        </w:rPr>
      </w:pPr>
      <w:r>
        <w:rPr>
          <w:rFonts w:hint="eastAsia" w:ascii="仿宋_GB2312" w:eastAsia="仿宋_GB2312"/>
          <w:sz w:val="28"/>
          <w:szCs w:val="28"/>
        </w:rPr>
        <w:t>2025年对本部门及所属单位</w:t>
      </w:r>
      <w:r>
        <w:rPr>
          <w:rFonts w:hint="eastAsia" w:ascii="仿宋_GB2312" w:eastAsia="仿宋_GB2312"/>
          <w:sz w:val="28"/>
          <w:szCs w:val="28"/>
          <w:lang w:val="en-US" w:eastAsia="zh-CN"/>
        </w:rPr>
        <w:t>24</w:t>
      </w:r>
      <w:r>
        <w:rPr>
          <w:rFonts w:hint="eastAsia" w:ascii="仿宋_GB2312" w:eastAsia="仿宋_GB2312"/>
          <w:sz w:val="28"/>
          <w:szCs w:val="28"/>
        </w:rPr>
        <w:t>个预算项目进行绩效运</w:t>
      </w:r>
      <w:r>
        <w:rPr>
          <w:rFonts w:hint="eastAsia" w:ascii="仿宋_GB2312" w:eastAsia="仿宋_GB2312"/>
          <w:sz w:val="28"/>
          <w:szCs w:val="28"/>
          <w:highlight w:val="none"/>
        </w:rPr>
        <w:t>行监控，占部门项目总数的</w:t>
      </w:r>
      <w:r>
        <w:rPr>
          <w:rFonts w:hint="eastAsia" w:ascii="仿宋_GB2312" w:eastAsia="仿宋_GB2312"/>
          <w:sz w:val="28"/>
          <w:szCs w:val="28"/>
          <w:highlight w:val="none"/>
          <w:lang w:val="en-US" w:eastAsia="zh-CN"/>
        </w:rPr>
        <w:t>100%</w:t>
      </w:r>
      <w:r>
        <w:rPr>
          <w:rFonts w:hint="eastAsia" w:ascii="仿宋_GB2312" w:eastAsia="仿宋_GB2312"/>
          <w:sz w:val="28"/>
          <w:szCs w:val="28"/>
          <w:highlight w:val="none"/>
        </w:rPr>
        <w:t>，涉及</w:t>
      </w:r>
      <w:r>
        <w:rPr>
          <w:rFonts w:hint="eastAsia" w:ascii="仿宋_GB2312" w:eastAsia="仿宋_GB2312"/>
          <w:sz w:val="28"/>
          <w:szCs w:val="28"/>
        </w:rPr>
        <w:t>资金57,523,447.19元。</w:t>
      </w:r>
    </w:p>
    <w:p w14:paraId="47043372">
      <w:pPr>
        <w:spacing w:line="520" w:lineRule="exact"/>
        <w:ind w:firstLine="640"/>
        <w:rPr>
          <w:rFonts w:ascii="仿宋_GB2312" w:eastAsia="仿宋_GB2312"/>
          <w:sz w:val="28"/>
          <w:szCs w:val="28"/>
        </w:rPr>
      </w:pPr>
      <w:r>
        <w:rPr>
          <w:rFonts w:hint="eastAsia" w:ascii="仿宋_GB2312" w:eastAsia="仿宋_GB2312"/>
          <w:sz w:val="28"/>
          <w:szCs w:val="28"/>
        </w:rPr>
        <w:t>（4）绩效自评情况</w:t>
      </w:r>
    </w:p>
    <w:p w14:paraId="1DF089C8">
      <w:pPr>
        <w:spacing w:line="520" w:lineRule="exact"/>
        <w:ind w:firstLine="640"/>
        <w:rPr>
          <w:rFonts w:hint="eastAsia" w:ascii="仿宋_GB2312" w:eastAsia="仿宋_GB2312" w:cs="Times New Roman"/>
          <w:sz w:val="28"/>
          <w:szCs w:val="28"/>
        </w:rPr>
      </w:pPr>
      <w:r>
        <w:rPr>
          <w:rFonts w:hint="eastAsia" w:ascii="仿宋_GB2312" w:eastAsia="仿宋_GB2312" w:cs="Times New Roman"/>
          <w:sz w:val="28"/>
          <w:szCs w:val="28"/>
        </w:rPr>
        <w:t>202</w:t>
      </w:r>
      <w:r>
        <w:rPr>
          <w:rFonts w:hint="eastAsia" w:ascii="仿宋_GB2312" w:eastAsia="仿宋_GB2312" w:cs="Times New Roman"/>
          <w:sz w:val="28"/>
          <w:szCs w:val="28"/>
          <w:lang w:val="en-US" w:eastAsia="zh-CN"/>
        </w:rPr>
        <w:t>6</w:t>
      </w:r>
      <w:r>
        <w:rPr>
          <w:rFonts w:hint="eastAsia" w:ascii="仿宋_GB2312" w:eastAsia="仿宋_GB2312" w:cs="Times New Roman"/>
          <w:sz w:val="28"/>
          <w:szCs w:val="28"/>
        </w:rPr>
        <w:t>年对本部门及所属单位202</w:t>
      </w:r>
      <w:r>
        <w:rPr>
          <w:rFonts w:hint="eastAsia" w:ascii="仿宋_GB2312" w:eastAsia="仿宋_GB2312" w:cs="Times New Roman"/>
          <w:sz w:val="28"/>
          <w:szCs w:val="28"/>
          <w:lang w:val="en-US" w:eastAsia="zh-CN"/>
        </w:rPr>
        <w:t>5</w:t>
      </w:r>
      <w:r>
        <w:rPr>
          <w:rFonts w:hint="eastAsia" w:ascii="仿宋_GB2312" w:eastAsia="仿宋_GB2312" w:cs="Times New Roman"/>
          <w:sz w:val="28"/>
          <w:szCs w:val="28"/>
        </w:rPr>
        <w:t>年项目支出实施了绩效自评，评价项目</w:t>
      </w:r>
      <w:r>
        <w:rPr>
          <w:rFonts w:hint="eastAsia" w:ascii="仿宋_GB2312" w:eastAsia="仿宋_GB2312" w:cs="Times New Roman"/>
          <w:sz w:val="28"/>
          <w:szCs w:val="28"/>
          <w:lang w:val="en-US" w:eastAsia="zh-CN"/>
        </w:rPr>
        <w:t>24</w:t>
      </w:r>
      <w:r>
        <w:rPr>
          <w:rFonts w:hint="eastAsia" w:ascii="仿宋_GB2312" w:eastAsia="仿宋_GB2312" w:cs="Times New Roman"/>
          <w:sz w:val="28"/>
          <w:szCs w:val="28"/>
        </w:rPr>
        <w:t>个，涉及金额</w:t>
      </w:r>
      <w:r>
        <w:rPr>
          <w:rFonts w:hint="eastAsia" w:ascii="仿宋_GB2312" w:eastAsia="仿宋_GB2312"/>
          <w:sz w:val="28"/>
          <w:szCs w:val="28"/>
        </w:rPr>
        <w:t>57,523,447.19</w:t>
      </w:r>
      <w:r>
        <w:rPr>
          <w:rFonts w:hint="eastAsia" w:ascii="仿宋_GB2312" w:eastAsia="仿宋_GB2312" w:cs="Times New Roman"/>
          <w:sz w:val="28"/>
          <w:szCs w:val="28"/>
        </w:rPr>
        <w:t>元。</w:t>
      </w:r>
    </w:p>
    <w:bookmarkEnd w:id="1"/>
    <w:p w14:paraId="27B0C9CC">
      <w:pPr>
        <w:spacing w:line="520" w:lineRule="exact"/>
        <w:ind w:firstLine="640"/>
        <w:rPr>
          <w:rFonts w:ascii="楷体_GB2312" w:eastAsia="楷体_GB2312"/>
          <w:b/>
          <w:sz w:val="28"/>
          <w:szCs w:val="28"/>
        </w:rPr>
      </w:pPr>
      <w:r>
        <w:rPr>
          <w:rFonts w:hint="eastAsia" w:ascii="楷体_GB2312" w:eastAsia="楷体_GB2312"/>
          <w:b/>
          <w:sz w:val="28"/>
          <w:szCs w:val="28"/>
        </w:rPr>
        <w:t>（五）总体评价结论</w:t>
      </w:r>
    </w:p>
    <w:p w14:paraId="1B094063">
      <w:pPr>
        <w:spacing w:line="520" w:lineRule="exact"/>
        <w:ind w:firstLine="640"/>
        <w:rPr>
          <w:rFonts w:ascii="仿宋_GB2312" w:eastAsia="仿宋_GB2312"/>
          <w:sz w:val="28"/>
          <w:szCs w:val="28"/>
        </w:rPr>
      </w:pPr>
      <w:r>
        <w:rPr>
          <w:rFonts w:hint="eastAsia" w:ascii="仿宋_GB2312" w:eastAsia="仿宋_GB2312"/>
          <w:sz w:val="28"/>
          <w:szCs w:val="28"/>
        </w:rPr>
        <w:t>1.评价得分情况</w:t>
      </w:r>
    </w:p>
    <w:p w14:paraId="5089E9C2">
      <w:pPr>
        <w:spacing w:line="520" w:lineRule="exact"/>
        <w:ind w:firstLine="640"/>
        <w:rPr>
          <w:rFonts w:ascii="仿宋_GB2312" w:eastAsia="仿宋_GB2312"/>
          <w:sz w:val="28"/>
          <w:szCs w:val="28"/>
        </w:rPr>
      </w:pPr>
      <w:r>
        <w:rPr>
          <w:rFonts w:hint="eastAsia" w:ascii="仿宋_GB2312" w:eastAsia="仿宋_GB2312"/>
          <w:sz w:val="28"/>
          <w:szCs w:val="28"/>
        </w:rPr>
        <w:t>绩效自评总分：</w:t>
      </w:r>
      <w:r>
        <w:rPr>
          <w:rFonts w:hint="eastAsia" w:ascii="仿宋_GB2312" w:eastAsia="仿宋_GB2312"/>
          <w:sz w:val="28"/>
          <w:szCs w:val="28"/>
          <w:lang w:val="en-US" w:eastAsia="zh-CN"/>
        </w:rPr>
        <w:t>100</w:t>
      </w:r>
      <w:r>
        <w:rPr>
          <w:rFonts w:hint="eastAsia" w:ascii="仿宋_GB2312" w:eastAsia="仿宋_GB2312"/>
          <w:sz w:val="28"/>
          <w:szCs w:val="28"/>
        </w:rPr>
        <w:t>分</w:t>
      </w:r>
    </w:p>
    <w:p w14:paraId="23678CF8">
      <w:pPr>
        <w:spacing w:line="520" w:lineRule="exact"/>
        <w:ind w:firstLine="640"/>
        <w:rPr>
          <w:rFonts w:hint="eastAsia" w:ascii="仿宋_GB2312" w:eastAsia="仿宋_GB2312"/>
          <w:sz w:val="28"/>
          <w:szCs w:val="28"/>
          <w:lang w:eastAsia="zh-CN"/>
        </w:rPr>
      </w:pPr>
      <w:r>
        <w:rPr>
          <w:rFonts w:hint="eastAsia" w:ascii="仿宋_GB2312" w:eastAsia="仿宋_GB2312"/>
          <w:sz w:val="28"/>
          <w:szCs w:val="28"/>
        </w:rPr>
        <w:t>绩效自评等级：</w:t>
      </w:r>
      <w:r>
        <w:rPr>
          <w:rFonts w:hint="eastAsia" w:ascii="仿宋_GB2312" w:eastAsia="仿宋_GB2312"/>
          <w:sz w:val="28"/>
          <w:szCs w:val="28"/>
          <w:lang w:eastAsia="zh-CN"/>
        </w:rPr>
        <w:t>优秀</w:t>
      </w:r>
    </w:p>
    <w:p w14:paraId="6FA6C00F">
      <w:pPr>
        <w:spacing w:line="520" w:lineRule="exact"/>
        <w:ind w:firstLine="640"/>
        <w:rPr>
          <w:rFonts w:ascii="仿宋_GB2312" w:eastAsia="仿宋_GB2312"/>
          <w:sz w:val="28"/>
          <w:szCs w:val="28"/>
        </w:rPr>
      </w:pPr>
      <w:r>
        <w:rPr>
          <w:rFonts w:hint="eastAsia" w:ascii="仿宋_GB2312" w:eastAsia="仿宋_GB2312"/>
          <w:sz w:val="28"/>
          <w:szCs w:val="28"/>
        </w:rPr>
        <w:t>2.存在的问题及原因分析</w:t>
      </w:r>
    </w:p>
    <w:p w14:paraId="708DBA7A">
      <w:pPr>
        <w:spacing w:line="520" w:lineRule="exact"/>
        <w:ind w:firstLine="640"/>
        <w:rPr>
          <w:rFonts w:ascii="仿宋_GB2312" w:eastAsia="仿宋_GB2312"/>
          <w:sz w:val="28"/>
          <w:szCs w:val="28"/>
        </w:rPr>
      </w:pPr>
      <w:r>
        <w:rPr>
          <w:rFonts w:hint="eastAsia" w:ascii="仿宋_GB2312" w:eastAsia="仿宋_GB2312"/>
          <w:sz w:val="28"/>
          <w:szCs w:val="28"/>
        </w:rPr>
        <w:t>（1）对绩效目标的认识和理解需要进一步加强。绩效目标是建立预算绩效管理体系的前提和基础，近年来虽不断完善绩效指标体系，但在部分预算项目的目标设定上，与业务实际的契合度仍需进一步打磨。主要原因在于绩效管理与具体业务的融合尚处深化阶段，对绩效指标的规律性把握还在持续探索中，绩效目标编制的精准度尚有提升空间。</w:t>
      </w:r>
    </w:p>
    <w:p w14:paraId="2F6E8089">
      <w:pPr>
        <w:spacing w:line="520" w:lineRule="exact"/>
        <w:ind w:firstLine="640"/>
        <w:rPr>
          <w:rFonts w:hint="eastAsia" w:ascii="仿宋_GB2312" w:eastAsia="仿宋_GB2312"/>
          <w:sz w:val="28"/>
          <w:szCs w:val="28"/>
        </w:rPr>
      </w:pPr>
      <w:r>
        <w:rPr>
          <w:rFonts w:hint="eastAsia" w:ascii="仿宋_GB2312" w:eastAsia="仿宋_GB2312"/>
          <w:sz w:val="28"/>
          <w:szCs w:val="28"/>
        </w:rPr>
        <w:t>（2）绩效信息动态管理水平需持续优化。部分环节信息反馈存在一定滞后，信息整合利用效率有待进一步提升。原因在于信息化手段在绩效管理中的应用还不够充分，跨部门信息共享机制仍需持续健全。</w:t>
      </w:r>
    </w:p>
    <w:p w14:paraId="2E024385">
      <w:pPr>
        <w:spacing w:line="520" w:lineRule="exact"/>
        <w:ind w:firstLine="640"/>
        <w:rPr>
          <w:rFonts w:ascii="仿宋_GB2312" w:eastAsia="仿宋_GB2312"/>
          <w:sz w:val="28"/>
          <w:szCs w:val="28"/>
        </w:rPr>
      </w:pPr>
      <w:r>
        <w:rPr>
          <w:rFonts w:hint="eastAsia" w:ascii="仿宋_GB2312" w:eastAsia="仿宋_GB2312"/>
          <w:sz w:val="28"/>
          <w:szCs w:val="28"/>
        </w:rPr>
        <w:t>3.改进措施</w:t>
      </w:r>
    </w:p>
    <w:p w14:paraId="2665B075">
      <w:pPr>
        <w:spacing w:line="520" w:lineRule="exact"/>
        <w:ind w:firstLine="640"/>
        <w:rPr>
          <w:rFonts w:ascii="仿宋_GB2312" w:eastAsia="仿宋_GB2312"/>
          <w:sz w:val="28"/>
          <w:szCs w:val="28"/>
        </w:rPr>
      </w:pPr>
      <w:r>
        <w:rPr>
          <w:rFonts w:hint="eastAsia" w:ascii="仿宋_GB2312" w:eastAsia="仿宋_GB2312"/>
          <w:sz w:val="28"/>
          <w:szCs w:val="28"/>
        </w:rPr>
        <w:t>（1）持续完善绩效目标管理体系，提高指标编制质量。 在现有绩效评价框架基础上，进一步优化绩效目标与业务工作的衔接机制，从制度层面出发，持续完善管委会全面绩效管理相关制度，对预算绩效管理的各个环节和流程进行梳理、规范，并将责任与义务落实到各个岗位。通过开展常态化业务培训，提升各岗位绩效目标编制能力，确保绩效目标既贴合实际，又能有效衡量工作成效，依据评价结果进一步完善预算管理制度，提高财政资金使用效益。</w:t>
      </w:r>
    </w:p>
    <w:p w14:paraId="06149C10">
      <w:pPr>
        <w:spacing w:line="520" w:lineRule="exact"/>
        <w:ind w:firstLine="640"/>
        <w:rPr>
          <w:rFonts w:ascii="仿宋_GB2312" w:eastAsia="仿宋_GB2312"/>
          <w:sz w:val="28"/>
          <w:szCs w:val="28"/>
        </w:rPr>
      </w:pPr>
      <w:r>
        <w:rPr>
          <w:rFonts w:hint="eastAsia" w:ascii="仿宋_GB2312" w:eastAsia="仿宋_GB2312"/>
          <w:sz w:val="28"/>
          <w:szCs w:val="28"/>
        </w:rPr>
        <w:t>（2）强化绩效信息全流程管理，提升动态监控效能。明确各环节工作标准和时限要求，及时收集相关绩效信息，推动财务数据与业务数据的有机整合。加强绩效运行跟踪，定期对目标完成进度和资金执行情况进行综合分析，及时发现潜在问题并优化调整，更好服务管理决策。</w:t>
      </w:r>
    </w:p>
    <w:p w14:paraId="7812AB02">
      <w:pPr>
        <w:spacing w:line="580" w:lineRule="exact"/>
        <w:ind w:firstLine="640"/>
        <w:rPr>
          <w:rFonts w:hint="eastAsia" w:ascii="黑体" w:hAnsi="黑体" w:eastAsia="黑体"/>
          <w:sz w:val="28"/>
          <w:szCs w:val="28"/>
        </w:rPr>
      </w:pPr>
      <w:r>
        <w:rPr>
          <w:rFonts w:hint="eastAsia" w:ascii="黑体" w:hAnsi="黑体" w:eastAsia="黑体"/>
          <w:sz w:val="28"/>
          <w:szCs w:val="28"/>
        </w:rPr>
        <w:t>二、项目支出绩效自评情况</w:t>
      </w:r>
    </w:p>
    <w:p w14:paraId="6A781BD5">
      <w:pPr>
        <w:spacing w:line="580" w:lineRule="exact"/>
        <w:ind w:firstLine="708" w:firstLineChars="253"/>
        <w:rPr>
          <w:rFonts w:hint="eastAsia" w:ascii="楷体_GB2312" w:hAnsi="仿宋" w:eastAsia="楷体_GB2312"/>
          <w:b/>
          <w:sz w:val="28"/>
          <w:szCs w:val="28"/>
        </w:rPr>
      </w:pPr>
      <w:r>
        <w:rPr>
          <w:rFonts w:hint="eastAsia" w:ascii="楷体_GB2312" w:hAnsi="仿宋" w:eastAsia="楷体_GB2312"/>
          <w:b/>
          <w:sz w:val="28"/>
          <w:szCs w:val="28"/>
        </w:rPr>
        <w:t>（一）绩效自评开展总体情况</w:t>
      </w:r>
    </w:p>
    <w:p w14:paraId="60E4F0E7">
      <w:pPr>
        <w:spacing w:line="580" w:lineRule="exact"/>
        <w:ind w:firstLine="708" w:firstLineChars="253"/>
        <w:rPr>
          <w:rFonts w:hint="eastAsia" w:ascii="仿宋_GB2312" w:eastAsia="仿宋_GB2312"/>
          <w:sz w:val="28"/>
          <w:szCs w:val="28"/>
        </w:rPr>
      </w:pPr>
      <w:r>
        <w:rPr>
          <w:rFonts w:hint="eastAsia" w:ascii="仿宋_GB2312" w:eastAsia="仿宋_GB2312"/>
          <w:sz w:val="28"/>
          <w:szCs w:val="28"/>
        </w:rPr>
        <w:t>2025年度区财政批复项目支出预算项目24个，涉及金额57,523,447.19元。本次实施绩效自评项目24个，涉及金额57,523,447.19元。具体项目自评情况详见《2025年度项目支出绩效自评结果汇总表》及各项目的《项目支出绩效自评表》。</w:t>
      </w:r>
      <w:bookmarkStart w:id="4" w:name="_GoBack"/>
      <w:bookmarkEnd w:id="4"/>
    </w:p>
    <w:p w14:paraId="4CB53A8F">
      <w:pPr>
        <w:spacing w:line="580" w:lineRule="exact"/>
        <w:ind w:firstLine="708" w:firstLineChars="253"/>
        <w:rPr>
          <w:rFonts w:hint="eastAsia" w:ascii="仿宋_GB2312" w:eastAsia="仿宋_GB2312"/>
          <w:sz w:val="28"/>
          <w:szCs w:val="28"/>
        </w:rPr>
      </w:pPr>
      <w:r>
        <w:rPr>
          <w:rFonts w:hint="eastAsia" w:ascii="仿宋_GB2312" w:eastAsia="仿宋_GB2312"/>
          <w:sz w:val="28"/>
          <w:szCs w:val="28"/>
        </w:rPr>
        <w:t>评价得分在90分（含90分）以上的22个，评价得分在80-90分（含80分）的2个，评价得分在60-80分（含60分）的0个，评价得分在60分以下的0个。</w:t>
      </w:r>
    </w:p>
    <w:p w14:paraId="64768D02">
      <w:pPr>
        <w:spacing w:line="580" w:lineRule="exact"/>
        <w:ind w:firstLine="708" w:firstLineChars="253"/>
        <w:rPr>
          <w:rFonts w:hint="eastAsia" w:ascii="楷体_GB2312" w:hAnsi="仿宋" w:eastAsia="楷体_GB2312"/>
          <w:b/>
          <w:sz w:val="28"/>
          <w:szCs w:val="28"/>
        </w:rPr>
      </w:pPr>
      <w:r>
        <w:rPr>
          <w:rFonts w:hint="eastAsia" w:ascii="楷体_GB2312" w:hAnsi="仿宋" w:eastAsia="楷体_GB2312"/>
          <w:b/>
          <w:sz w:val="28"/>
          <w:szCs w:val="28"/>
        </w:rPr>
        <w:t>（二）重点支出项目绩效自评报告</w:t>
      </w:r>
    </w:p>
    <w:p w14:paraId="2491230A">
      <w:pPr>
        <w:spacing w:line="580" w:lineRule="exact"/>
        <w:ind w:firstLine="560" w:firstLineChars="200"/>
        <w:outlineLvl w:val="0"/>
        <w:rPr>
          <w:rFonts w:hint="eastAsia" w:ascii="仿宋_GB2312" w:hAnsi="Calibri" w:eastAsia="仿宋_GB2312"/>
          <w:sz w:val="28"/>
          <w:szCs w:val="28"/>
          <w:highlight w:val="none"/>
        </w:rPr>
      </w:pPr>
      <w:r>
        <w:rPr>
          <w:rFonts w:hint="eastAsia" w:ascii="仿宋_GB2312" w:eastAsia="仿宋_GB2312"/>
          <w:sz w:val="28"/>
          <w:szCs w:val="28"/>
          <w:highlight w:val="none"/>
        </w:rPr>
        <w:t>参考《关于开展2025年度项目支出绩效自评工作的通知》（门财绩效[2026]72号）要求，将本部门撰写的《重点支出项目绩效自评报告》电子版汇总到1个文件夹中，作为部门决算草案的附件1，并随决算全部公开。</w:t>
      </w:r>
    </w:p>
    <w:p w14:paraId="19F80A9F">
      <w:pPr>
        <w:spacing w:line="580" w:lineRule="exact"/>
        <w:ind w:firstLine="640"/>
        <w:rPr>
          <w:rFonts w:hint="eastAsia" w:ascii="楷体_GB2312" w:hAnsi="仿宋" w:eastAsia="楷体_GB2312"/>
          <w:b/>
          <w:sz w:val="28"/>
          <w:szCs w:val="28"/>
          <w:highlight w:val="none"/>
        </w:rPr>
      </w:pPr>
      <w:r>
        <w:rPr>
          <w:rFonts w:hint="eastAsia" w:ascii="楷体_GB2312" w:hAnsi="仿宋" w:eastAsia="楷体_GB2312"/>
          <w:b/>
          <w:sz w:val="28"/>
          <w:szCs w:val="28"/>
          <w:highlight w:val="none"/>
        </w:rPr>
        <w:t>（三）项目支出绩效自评表</w:t>
      </w:r>
    </w:p>
    <w:p w14:paraId="4AFB435A">
      <w:pPr>
        <w:spacing w:line="580" w:lineRule="exact"/>
        <w:ind w:firstLine="560" w:firstLineChars="200"/>
        <w:outlineLvl w:val="0"/>
        <w:rPr>
          <w:rFonts w:hint="eastAsia" w:ascii="仿宋_GB2312" w:hAnsi="Calibri" w:eastAsia="仿宋_GB2312"/>
          <w:sz w:val="28"/>
          <w:szCs w:val="28"/>
          <w:highlight w:val="none"/>
        </w:rPr>
      </w:pPr>
      <w:r>
        <w:rPr>
          <w:rFonts w:hint="eastAsia" w:ascii="仿宋_GB2312" w:eastAsia="仿宋_GB2312"/>
          <w:sz w:val="28"/>
          <w:szCs w:val="28"/>
          <w:highlight w:val="none"/>
        </w:rPr>
        <w:t>参考《关于开展2025年度项目支出绩效自评工作的通知》（门财绩效[2026]72号）</w:t>
      </w:r>
      <w:r>
        <w:rPr>
          <w:rFonts w:hint="eastAsia" w:ascii="仿宋_GB2312" w:eastAsia="仿宋_GB2312"/>
          <w:b/>
          <w:sz w:val="28"/>
          <w:szCs w:val="28"/>
          <w:highlight w:val="none"/>
        </w:rPr>
        <w:t>及决算公开培训要求</w:t>
      </w:r>
      <w:r>
        <w:rPr>
          <w:rFonts w:hint="eastAsia" w:ascii="仿宋_GB2312" w:eastAsia="仿宋_GB2312"/>
          <w:sz w:val="28"/>
          <w:szCs w:val="28"/>
          <w:highlight w:val="none"/>
        </w:rPr>
        <w:t>，将本部门本单位拟公开的《项目支出绩效自评表》电子版汇总到1个文件夹中，作为部门决算草案的附件2，并随决算全部公开。</w:t>
      </w:r>
    </w:p>
    <w:p w14:paraId="7EC0CC82">
      <w:pPr>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附件：1.重点支出项目绩效自评报告</w:t>
      </w:r>
    </w:p>
    <w:p w14:paraId="40BC24CB">
      <w:pPr>
        <w:spacing w:line="580" w:lineRule="exact"/>
        <w:ind w:firstLine="1540" w:firstLineChars="550"/>
        <w:rPr>
          <w:rFonts w:hint="eastAsia" w:ascii="仿宋_GB2312" w:eastAsia="仿宋_GB2312"/>
          <w:sz w:val="28"/>
          <w:szCs w:val="28"/>
        </w:rPr>
      </w:pPr>
      <w:r>
        <w:rPr>
          <w:rFonts w:hint="eastAsia" w:ascii="仿宋_GB2312" w:eastAsia="仿宋_GB2312"/>
          <w:sz w:val="28"/>
          <w:szCs w:val="28"/>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38D3">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375E417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B0C38">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086DB73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C9E4F">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39919BFA">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0B3557"/>
    <w:multiLevelType w:val="singleLevel"/>
    <w:tmpl w:val="E20B3557"/>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6367FE"/>
    <w:rsid w:val="02F120AB"/>
    <w:rsid w:val="032B5196"/>
    <w:rsid w:val="04C3537C"/>
    <w:rsid w:val="079004AC"/>
    <w:rsid w:val="09972781"/>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9E6157"/>
    <w:rsid w:val="21AD613C"/>
    <w:rsid w:val="22467189"/>
    <w:rsid w:val="2357130E"/>
    <w:rsid w:val="257A14F5"/>
    <w:rsid w:val="27196C26"/>
    <w:rsid w:val="293A7D66"/>
    <w:rsid w:val="29EF086F"/>
    <w:rsid w:val="2A014A0F"/>
    <w:rsid w:val="2EFFE297"/>
    <w:rsid w:val="301437CA"/>
    <w:rsid w:val="31717D8A"/>
    <w:rsid w:val="32791381"/>
    <w:rsid w:val="347F0B0C"/>
    <w:rsid w:val="349D1F0A"/>
    <w:rsid w:val="34DD0473"/>
    <w:rsid w:val="35B653AF"/>
    <w:rsid w:val="374721AB"/>
    <w:rsid w:val="3BCE402B"/>
    <w:rsid w:val="3C181CA7"/>
    <w:rsid w:val="3C684897"/>
    <w:rsid w:val="41C6204F"/>
    <w:rsid w:val="433E495C"/>
    <w:rsid w:val="489F2FD7"/>
    <w:rsid w:val="49434C89"/>
    <w:rsid w:val="4AC27CB3"/>
    <w:rsid w:val="4BF72BEF"/>
    <w:rsid w:val="4FA90297"/>
    <w:rsid w:val="4FC41A43"/>
    <w:rsid w:val="51DB3C59"/>
    <w:rsid w:val="520E4D2A"/>
    <w:rsid w:val="550C0952"/>
    <w:rsid w:val="55762E42"/>
    <w:rsid w:val="57A7B272"/>
    <w:rsid w:val="580A43FE"/>
    <w:rsid w:val="58470068"/>
    <w:rsid w:val="58747CAC"/>
    <w:rsid w:val="5A1720F9"/>
    <w:rsid w:val="5B9C37C2"/>
    <w:rsid w:val="5BA7C654"/>
    <w:rsid w:val="60A54109"/>
    <w:rsid w:val="61D01CDF"/>
    <w:rsid w:val="64C0607C"/>
    <w:rsid w:val="65756C86"/>
    <w:rsid w:val="674D385B"/>
    <w:rsid w:val="675D57C4"/>
    <w:rsid w:val="676F09E1"/>
    <w:rsid w:val="699FDE6C"/>
    <w:rsid w:val="6A12244B"/>
    <w:rsid w:val="6A59597F"/>
    <w:rsid w:val="71793A80"/>
    <w:rsid w:val="7357290B"/>
    <w:rsid w:val="779E2108"/>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B3FDB18"/>
    <w:rsid w:val="FC8B9876"/>
    <w:rsid w:val="FEDFF218"/>
    <w:rsid w:val="FEDFFFFF"/>
    <w:rsid w:val="FFBF5753"/>
    <w:rsid w:val="FFFF5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6999.16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017f5c5-7229-464c-ad44-6306afdb624f}"/>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1246.82</c:v>
                </c:pt>
                <c:pt idx="1">
                  <c:v>5752.34</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932b0ad-fe90-44f8-958d-ea8bc194af97}"/>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252</Words>
  <Characters>270</Characters>
  <Lines>47</Lines>
  <Paragraphs>13</Paragraphs>
  <TotalTime>3</TotalTime>
  <ScaleCrop>false</ScaleCrop>
  <LinksUpToDate>false</LinksUpToDate>
  <CharactersWithSpaces>282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2017-07-11T23:16:00Z</dcterms:created>
  <dc:creator>常程</dc:creator>
  <cp:lastModifiedBy>nnn</cp:lastModifiedBy>
  <cp:lastPrinted>2020-08-07T19:39:00Z</cp:lastPrinted>
  <dcterms:modified xsi:type="dcterms:W3CDTF">2026-08-21T02:41:41Z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7A89A4D6631544D8977BF2102C6A9DCD_13</vt:lpwstr>
  </property>
  <property fmtid="{D5CDD505-2E9C-101B-9397-08002B2CF9AE}" pid="4" name="KSOTemplateDocerSaveRecord">
    <vt:lpwstr>eyJoZGlkIjoiNmEyZDkyNjZiZWFjNjFlNGZhMWY1MWVkY2YyMzFhMDIiLCJ1c2VySWQiOiIxNDgxMDc1NDE4In0=</vt:lpwstr>
  </property>
</Properties>
</file>