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6F0" w:rsidRDefault="005E36F0">
      <w:pPr>
        <w:jc w:val="center"/>
        <w:rPr>
          <w:rFonts w:ascii="仿宋_GB2312" w:eastAsia="仿宋_GB2312"/>
          <w:b/>
          <w:sz w:val="32"/>
          <w:szCs w:val="32"/>
        </w:rPr>
      </w:pPr>
    </w:p>
    <w:p w:rsidR="005E36F0" w:rsidRDefault="005E36F0">
      <w:pPr>
        <w:jc w:val="center"/>
        <w:rPr>
          <w:rFonts w:ascii="黑体" w:eastAsia="黑体"/>
          <w:sz w:val="72"/>
          <w:szCs w:val="72"/>
        </w:rPr>
      </w:pPr>
    </w:p>
    <w:p w:rsidR="005E36F0" w:rsidRDefault="005E36F0">
      <w:pPr>
        <w:jc w:val="center"/>
        <w:rPr>
          <w:rFonts w:ascii="黑体" w:eastAsia="黑体"/>
          <w:sz w:val="72"/>
          <w:szCs w:val="72"/>
        </w:rPr>
      </w:pPr>
    </w:p>
    <w:p w:rsidR="005E36F0" w:rsidRDefault="005E36F0">
      <w:pPr>
        <w:jc w:val="center"/>
        <w:rPr>
          <w:rFonts w:ascii="黑体" w:eastAsia="黑体"/>
          <w:sz w:val="72"/>
          <w:szCs w:val="72"/>
        </w:rPr>
      </w:pPr>
    </w:p>
    <w:p w:rsidR="005E36F0" w:rsidRDefault="005E36F0">
      <w:pPr>
        <w:jc w:val="center"/>
        <w:rPr>
          <w:rFonts w:ascii="黑体" w:eastAsia="黑体"/>
          <w:sz w:val="72"/>
          <w:szCs w:val="72"/>
        </w:rPr>
      </w:pPr>
    </w:p>
    <w:p w:rsidR="005E36F0" w:rsidRDefault="007D3E61">
      <w:pPr>
        <w:jc w:val="center"/>
        <w:rPr>
          <w:rFonts w:ascii="黑体" w:eastAsia="黑体"/>
          <w:sz w:val="52"/>
          <w:szCs w:val="52"/>
        </w:rPr>
      </w:pPr>
      <w:r>
        <w:rPr>
          <w:rFonts w:ascii="黑体" w:eastAsia="黑体" w:hint="eastAsia"/>
          <w:sz w:val="52"/>
          <w:szCs w:val="52"/>
        </w:rPr>
        <w:t>2025年度北京市门头沟区科学技术委员会</w:t>
      </w:r>
    </w:p>
    <w:p w:rsidR="005E36F0" w:rsidRDefault="007D3E61">
      <w:pPr>
        <w:jc w:val="center"/>
        <w:rPr>
          <w:rFonts w:ascii="黑体" w:eastAsia="黑体"/>
          <w:sz w:val="52"/>
          <w:szCs w:val="52"/>
        </w:rPr>
      </w:pPr>
      <w:r>
        <w:rPr>
          <w:rFonts w:ascii="黑体" w:eastAsia="黑体" w:hint="eastAsia"/>
          <w:sz w:val="52"/>
          <w:szCs w:val="52"/>
        </w:rPr>
        <w:t>部门决算（公开</w:t>
      </w:r>
      <w:r>
        <w:rPr>
          <w:rFonts w:ascii="黑体" w:eastAsia="黑体"/>
          <w:sz w:val="52"/>
          <w:szCs w:val="52"/>
        </w:rPr>
        <w:t>）</w:t>
      </w:r>
    </w:p>
    <w:p w:rsidR="005E36F0" w:rsidRDefault="005E36F0">
      <w:pPr>
        <w:jc w:val="center"/>
        <w:rPr>
          <w:rFonts w:ascii="黑体" w:eastAsia="黑体"/>
          <w:sz w:val="52"/>
          <w:szCs w:val="52"/>
        </w:rPr>
      </w:pPr>
    </w:p>
    <w:p w:rsidR="005E36F0" w:rsidRDefault="005E36F0">
      <w:pPr>
        <w:jc w:val="center"/>
        <w:rPr>
          <w:rFonts w:ascii="黑体" w:eastAsia="黑体"/>
          <w:sz w:val="52"/>
          <w:szCs w:val="52"/>
        </w:rPr>
      </w:pPr>
    </w:p>
    <w:p w:rsidR="005E36F0" w:rsidRDefault="005E36F0">
      <w:pPr>
        <w:jc w:val="center"/>
        <w:rPr>
          <w:rFonts w:ascii="黑体" w:eastAsia="黑体"/>
          <w:sz w:val="52"/>
          <w:szCs w:val="52"/>
        </w:rPr>
      </w:pPr>
    </w:p>
    <w:p w:rsidR="005E36F0" w:rsidRDefault="005E36F0">
      <w:pPr>
        <w:jc w:val="center"/>
        <w:rPr>
          <w:rFonts w:ascii="黑体" w:eastAsia="黑体"/>
          <w:sz w:val="52"/>
          <w:szCs w:val="52"/>
        </w:rPr>
      </w:pPr>
    </w:p>
    <w:p w:rsidR="005E36F0" w:rsidRDefault="005E36F0">
      <w:pPr>
        <w:jc w:val="center"/>
        <w:rPr>
          <w:rFonts w:ascii="黑体" w:eastAsia="黑体"/>
          <w:sz w:val="32"/>
          <w:szCs w:val="32"/>
        </w:rPr>
      </w:pPr>
    </w:p>
    <w:p w:rsidR="005E36F0" w:rsidRDefault="005E36F0">
      <w:pPr>
        <w:spacing w:line="500" w:lineRule="exact"/>
        <w:ind w:firstLine="645"/>
        <w:jc w:val="center"/>
        <w:rPr>
          <w:rFonts w:ascii="宋体" w:hAnsi="宋体" w:cs="宋体"/>
          <w:b/>
          <w:bCs/>
          <w:kern w:val="0"/>
          <w:sz w:val="44"/>
          <w:szCs w:val="36"/>
        </w:rPr>
      </w:pPr>
    </w:p>
    <w:p w:rsidR="005E36F0" w:rsidRDefault="005E36F0">
      <w:pPr>
        <w:spacing w:line="500" w:lineRule="exact"/>
        <w:ind w:firstLine="645"/>
        <w:jc w:val="center"/>
        <w:rPr>
          <w:rFonts w:ascii="宋体" w:hAnsi="宋体" w:cs="宋体"/>
          <w:b/>
          <w:bCs/>
          <w:kern w:val="0"/>
          <w:sz w:val="44"/>
          <w:szCs w:val="36"/>
        </w:rPr>
      </w:pPr>
    </w:p>
    <w:p w:rsidR="005E36F0" w:rsidRDefault="005E36F0">
      <w:pPr>
        <w:spacing w:line="500" w:lineRule="exact"/>
        <w:ind w:firstLine="645"/>
        <w:jc w:val="center"/>
        <w:rPr>
          <w:rFonts w:ascii="宋体" w:hAnsi="宋体" w:cs="宋体"/>
          <w:b/>
          <w:bCs/>
          <w:kern w:val="0"/>
          <w:sz w:val="44"/>
          <w:szCs w:val="36"/>
        </w:rPr>
      </w:pPr>
    </w:p>
    <w:p w:rsidR="005E36F0" w:rsidRDefault="005E36F0">
      <w:pPr>
        <w:spacing w:line="500" w:lineRule="exact"/>
        <w:ind w:firstLine="645"/>
        <w:jc w:val="center"/>
        <w:rPr>
          <w:rFonts w:ascii="宋体" w:hAnsi="宋体" w:cs="宋体"/>
          <w:b/>
          <w:bCs/>
          <w:kern w:val="0"/>
          <w:sz w:val="44"/>
          <w:szCs w:val="36"/>
        </w:rPr>
      </w:pPr>
    </w:p>
    <w:p w:rsidR="005E36F0" w:rsidRDefault="005E36F0">
      <w:pPr>
        <w:spacing w:line="500" w:lineRule="exact"/>
        <w:ind w:firstLine="645"/>
        <w:jc w:val="center"/>
        <w:rPr>
          <w:rFonts w:ascii="宋体" w:hAnsi="宋体" w:cs="宋体"/>
          <w:b/>
          <w:bCs/>
          <w:kern w:val="0"/>
          <w:sz w:val="44"/>
          <w:szCs w:val="36"/>
        </w:rPr>
      </w:pPr>
    </w:p>
    <w:p w:rsidR="005E36F0" w:rsidRDefault="005E36F0">
      <w:pPr>
        <w:spacing w:line="500" w:lineRule="exact"/>
        <w:ind w:firstLine="645"/>
        <w:jc w:val="center"/>
        <w:rPr>
          <w:rFonts w:ascii="宋体" w:hAnsi="宋体" w:cs="宋体"/>
          <w:b/>
          <w:bCs/>
          <w:kern w:val="0"/>
          <w:sz w:val="44"/>
          <w:szCs w:val="36"/>
        </w:rPr>
      </w:pPr>
    </w:p>
    <w:p w:rsidR="005E36F0" w:rsidRDefault="005E36F0">
      <w:pPr>
        <w:spacing w:line="500" w:lineRule="exact"/>
        <w:ind w:firstLine="645"/>
        <w:jc w:val="center"/>
        <w:rPr>
          <w:rFonts w:ascii="宋体" w:hAnsi="宋体" w:cs="宋体"/>
          <w:b/>
          <w:bCs/>
          <w:kern w:val="0"/>
          <w:sz w:val="44"/>
          <w:szCs w:val="36"/>
        </w:rPr>
      </w:pPr>
    </w:p>
    <w:p w:rsidR="005E36F0" w:rsidRDefault="007D3E61">
      <w:pPr>
        <w:spacing w:line="500" w:lineRule="exact"/>
        <w:ind w:firstLine="645"/>
        <w:jc w:val="center"/>
        <w:rPr>
          <w:rFonts w:ascii="宋体" w:hAnsi="宋体" w:cs="宋体"/>
          <w:b/>
          <w:bCs/>
          <w:kern w:val="0"/>
          <w:sz w:val="44"/>
          <w:szCs w:val="36"/>
        </w:rPr>
      </w:pPr>
      <w:r>
        <w:rPr>
          <w:rFonts w:ascii="宋体" w:hAnsi="宋体" w:cs="宋体" w:hint="eastAsia"/>
          <w:b/>
          <w:bCs/>
          <w:kern w:val="0"/>
          <w:sz w:val="44"/>
          <w:szCs w:val="36"/>
        </w:rPr>
        <w:lastRenderedPageBreak/>
        <w:t>目    录</w:t>
      </w:r>
    </w:p>
    <w:p w:rsidR="005E36F0" w:rsidRDefault="005E36F0">
      <w:pPr>
        <w:spacing w:line="500" w:lineRule="exact"/>
        <w:ind w:firstLine="645"/>
        <w:jc w:val="center"/>
        <w:rPr>
          <w:rFonts w:ascii="宋体" w:hAnsi="宋体" w:cs="宋体"/>
          <w:b/>
          <w:bCs/>
          <w:kern w:val="0"/>
          <w:sz w:val="36"/>
          <w:szCs w:val="36"/>
        </w:rPr>
      </w:pPr>
    </w:p>
    <w:p w:rsidR="005E36F0" w:rsidRDefault="007D3E61">
      <w:pPr>
        <w:tabs>
          <w:tab w:val="center" w:pos="6979"/>
        </w:tabs>
        <w:spacing w:line="500" w:lineRule="exact"/>
        <w:ind w:firstLineChars="400" w:firstLine="1600"/>
        <w:jc w:val="left"/>
        <w:rPr>
          <w:rFonts w:ascii="宋体" w:hAnsi="宋体" w:cs="宋体"/>
          <w:bCs/>
          <w:spacing w:val="40"/>
          <w:kern w:val="0"/>
          <w:sz w:val="32"/>
          <w:szCs w:val="32"/>
        </w:rPr>
      </w:pPr>
      <w:r>
        <w:rPr>
          <w:rFonts w:ascii="宋体" w:hAnsi="宋体" w:cs="宋体" w:hint="eastAsia"/>
          <w:bCs/>
          <w:spacing w:val="40"/>
          <w:kern w:val="0"/>
          <w:sz w:val="32"/>
          <w:szCs w:val="32"/>
        </w:rPr>
        <w:t>第一部分 2025年度部门决算报表</w:t>
      </w:r>
    </w:p>
    <w:p w:rsidR="005E36F0" w:rsidRDefault="007D3E61">
      <w:pPr>
        <w:tabs>
          <w:tab w:val="center" w:pos="6979"/>
        </w:tabs>
        <w:spacing w:line="500" w:lineRule="exact"/>
        <w:ind w:firstLineChars="400" w:firstLine="1600"/>
        <w:jc w:val="left"/>
        <w:rPr>
          <w:rFonts w:ascii="仿宋_GB2312" w:eastAsia="仿宋_GB2312" w:hAnsi="仿宋"/>
          <w:spacing w:val="40"/>
          <w:sz w:val="32"/>
          <w:szCs w:val="32"/>
        </w:rPr>
      </w:pPr>
      <w:r>
        <w:rPr>
          <w:rFonts w:ascii="仿宋_GB2312" w:eastAsia="仿宋_GB2312" w:hAnsi="仿宋" w:cs="宋体" w:hint="eastAsia"/>
          <w:bCs/>
          <w:spacing w:val="40"/>
          <w:kern w:val="0"/>
          <w:sz w:val="32"/>
          <w:szCs w:val="32"/>
        </w:rPr>
        <w:t>一、收入支出决算总表</w:t>
      </w:r>
    </w:p>
    <w:p w:rsidR="005E36F0" w:rsidRDefault="007D3E61">
      <w:pPr>
        <w:tabs>
          <w:tab w:val="center" w:pos="6979"/>
        </w:tabs>
        <w:spacing w:line="500" w:lineRule="exact"/>
        <w:ind w:firstLineChars="400" w:firstLine="1600"/>
        <w:jc w:val="left"/>
        <w:rPr>
          <w:rFonts w:ascii="仿宋_GB2312" w:eastAsia="仿宋_GB2312" w:hAnsi="仿宋" w:cs="宋体"/>
          <w:bCs/>
          <w:spacing w:val="40"/>
          <w:kern w:val="0"/>
          <w:sz w:val="32"/>
          <w:szCs w:val="32"/>
        </w:rPr>
      </w:pPr>
      <w:r>
        <w:rPr>
          <w:rFonts w:ascii="仿宋_GB2312" w:eastAsia="仿宋_GB2312" w:hAnsi="仿宋" w:cs="宋体" w:hint="eastAsia"/>
          <w:bCs/>
          <w:spacing w:val="40"/>
          <w:kern w:val="0"/>
          <w:sz w:val="32"/>
          <w:szCs w:val="32"/>
        </w:rPr>
        <w:t>二、收入决算表</w:t>
      </w:r>
    </w:p>
    <w:p w:rsidR="005E36F0" w:rsidRDefault="007D3E61">
      <w:pPr>
        <w:tabs>
          <w:tab w:val="center" w:pos="6979"/>
        </w:tabs>
        <w:spacing w:line="500" w:lineRule="exact"/>
        <w:ind w:firstLineChars="400" w:firstLine="1600"/>
        <w:jc w:val="left"/>
        <w:rPr>
          <w:rFonts w:ascii="仿宋_GB2312" w:eastAsia="仿宋_GB2312" w:hAnsi="仿宋" w:cs="宋体"/>
          <w:bCs/>
          <w:spacing w:val="40"/>
          <w:kern w:val="0"/>
          <w:sz w:val="32"/>
          <w:szCs w:val="32"/>
        </w:rPr>
      </w:pPr>
      <w:r>
        <w:rPr>
          <w:rFonts w:ascii="仿宋_GB2312" w:eastAsia="仿宋_GB2312" w:hAnsi="仿宋" w:cs="宋体" w:hint="eastAsia"/>
          <w:bCs/>
          <w:spacing w:val="40"/>
          <w:kern w:val="0"/>
          <w:sz w:val="32"/>
          <w:szCs w:val="32"/>
        </w:rPr>
        <w:t>三、支出决算表</w:t>
      </w:r>
    </w:p>
    <w:p w:rsidR="005E36F0" w:rsidRDefault="007D3E61">
      <w:pPr>
        <w:tabs>
          <w:tab w:val="center" w:pos="6979"/>
        </w:tabs>
        <w:spacing w:line="500" w:lineRule="exact"/>
        <w:ind w:firstLineChars="400" w:firstLine="1600"/>
        <w:jc w:val="left"/>
        <w:rPr>
          <w:rFonts w:ascii="仿宋_GB2312" w:eastAsia="仿宋_GB2312" w:hAnsi="仿宋" w:cs="宋体"/>
          <w:bCs/>
          <w:spacing w:val="40"/>
          <w:kern w:val="0"/>
          <w:sz w:val="32"/>
          <w:szCs w:val="32"/>
        </w:rPr>
      </w:pPr>
      <w:r>
        <w:rPr>
          <w:rFonts w:ascii="仿宋_GB2312" w:eastAsia="仿宋_GB2312" w:hAnsi="仿宋" w:cs="宋体" w:hint="eastAsia"/>
          <w:bCs/>
          <w:spacing w:val="40"/>
          <w:kern w:val="0"/>
          <w:sz w:val="32"/>
          <w:szCs w:val="32"/>
        </w:rPr>
        <w:t>四、财政拨款收入支出决算总表</w:t>
      </w:r>
    </w:p>
    <w:p w:rsidR="005E36F0" w:rsidRDefault="007D3E61">
      <w:pPr>
        <w:tabs>
          <w:tab w:val="center" w:pos="6979"/>
        </w:tabs>
        <w:spacing w:line="500" w:lineRule="exact"/>
        <w:ind w:firstLineChars="400" w:firstLine="1600"/>
        <w:jc w:val="left"/>
        <w:rPr>
          <w:rFonts w:ascii="仿宋_GB2312" w:eastAsia="仿宋_GB2312" w:hAnsi="仿宋" w:cs="宋体"/>
          <w:bCs/>
          <w:spacing w:val="40"/>
          <w:kern w:val="0"/>
          <w:sz w:val="32"/>
          <w:szCs w:val="32"/>
        </w:rPr>
      </w:pPr>
      <w:r>
        <w:rPr>
          <w:rFonts w:ascii="仿宋_GB2312" w:eastAsia="仿宋_GB2312" w:hAnsi="仿宋" w:cs="宋体" w:hint="eastAsia"/>
          <w:bCs/>
          <w:spacing w:val="40"/>
          <w:kern w:val="0"/>
          <w:sz w:val="32"/>
          <w:szCs w:val="32"/>
        </w:rPr>
        <w:t>五、一般公共预算财政拨款支出决算表</w:t>
      </w:r>
    </w:p>
    <w:p w:rsidR="005E36F0" w:rsidRDefault="007D3E61">
      <w:pPr>
        <w:tabs>
          <w:tab w:val="center" w:pos="6979"/>
        </w:tabs>
        <w:spacing w:line="500" w:lineRule="exact"/>
        <w:ind w:firstLineChars="400" w:firstLine="1600"/>
        <w:jc w:val="left"/>
        <w:rPr>
          <w:rFonts w:ascii="仿宋_GB2312" w:eastAsia="仿宋_GB2312" w:hAnsi="仿宋" w:cs="宋体"/>
          <w:bCs/>
          <w:spacing w:val="40"/>
          <w:kern w:val="0"/>
          <w:sz w:val="32"/>
          <w:szCs w:val="32"/>
        </w:rPr>
      </w:pPr>
      <w:r>
        <w:rPr>
          <w:rFonts w:ascii="仿宋_GB2312" w:eastAsia="仿宋_GB2312" w:hAnsi="仿宋" w:cs="宋体" w:hint="eastAsia"/>
          <w:bCs/>
          <w:spacing w:val="40"/>
          <w:kern w:val="0"/>
          <w:sz w:val="32"/>
          <w:szCs w:val="32"/>
        </w:rPr>
        <w:t>六、一般公共预算财政拨款</w:t>
      </w:r>
      <w:r>
        <w:rPr>
          <w:rFonts w:ascii="仿宋_GB2312" w:eastAsia="仿宋_GB2312" w:hAnsi="仿宋" w:cs="宋体"/>
          <w:bCs/>
          <w:spacing w:val="40"/>
          <w:kern w:val="0"/>
          <w:sz w:val="32"/>
          <w:szCs w:val="32"/>
        </w:rPr>
        <w:t>基本支出决算表</w:t>
      </w:r>
    </w:p>
    <w:p w:rsidR="005E36F0" w:rsidRDefault="007D3E61">
      <w:pPr>
        <w:tabs>
          <w:tab w:val="center" w:pos="6979"/>
        </w:tabs>
        <w:spacing w:line="500" w:lineRule="exact"/>
        <w:ind w:firstLineChars="400" w:firstLine="1600"/>
        <w:jc w:val="left"/>
        <w:rPr>
          <w:rFonts w:ascii="仿宋_GB2312" w:eastAsia="仿宋_GB2312" w:hAnsi="仿宋" w:cs="宋体"/>
          <w:bCs/>
          <w:spacing w:val="40"/>
          <w:kern w:val="0"/>
          <w:sz w:val="32"/>
          <w:szCs w:val="32"/>
        </w:rPr>
      </w:pPr>
      <w:r>
        <w:rPr>
          <w:rFonts w:ascii="仿宋_GB2312" w:eastAsia="仿宋_GB2312" w:hAnsi="仿宋" w:cs="宋体" w:hint="eastAsia"/>
          <w:bCs/>
          <w:spacing w:val="40"/>
          <w:kern w:val="0"/>
          <w:sz w:val="32"/>
          <w:szCs w:val="32"/>
        </w:rPr>
        <w:t>七</w:t>
      </w:r>
      <w:r>
        <w:rPr>
          <w:rFonts w:ascii="仿宋_GB2312" w:eastAsia="仿宋_GB2312" w:hAnsi="仿宋" w:cs="宋体"/>
          <w:bCs/>
          <w:spacing w:val="40"/>
          <w:kern w:val="0"/>
          <w:sz w:val="32"/>
          <w:szCs w:val="32"/>
        </w:rPr>
        <w:t>、</w:t>
      </w:r>
      <w:r>
        <w:rPr>
          <w:rFonts w:ascii="仿宋_GB2312" w:eastAsia="仿宋_GB2312" w:hAnsi="仿宋" w:cs="宋体" w:hint="eastAsia"/>
          <w:bCs/>
          <w:spacing w:val="40"/>
          <w:kern w:val="0"/>
          <w:sz w:val="32"/>
          <w:szCs w:val="32"/>
        </w:rPr>
        <w:t>政府性基金预算财政拨款收入支出决算表</w:t>
      </w:r>
    </w:p>
    <w:p w:rsidR="005E36F0" w:rsidRDefault="007D3E61">
      <w:pPr>
        <w:tabs>
          <w:tab w:val="center" w:pos="6979"/>
        </w:tabs>
        <w:spacing w:line="500" w:lineRule="exact"/>
        <w:ind w:firstLineChars="400" w:firstLine="1600"/>
        <w:jc w:val="left"/>
        <w:rPr>
          <w:rFonts w:ascii="仿宋_GB2312" w:eastAsia="仿宋_GB2312" w:hAnsi="仿宋" w:cs="宋体"/>
          <w:bCs/>
          <w:spacing w:val="40"/>
          <w:kern w:val="0"/>
          <w:sz w:val="32"/>
          <w:szCs w:val="32"/>
        </w:rPr>
      </w:pPr>
      <w:r>
        <w:rPr>
          <w:rFonts w:ascii="仿宋_GB2312" w:eastAsia="仿宋_GB2312" w:hAnsi="仿宋" w:cs="宋体" w:hint="eastAsia"/>
          <w:bCs/>
          <w:spacing w:val="40"/>
          <w:kern w:val="0"/>
          <w:sz w:val="32"/>
          <w:szCs w:val="32"/>
        </w:rPr>
        <w:t>八、</w:t>
      </w:r>
      <w:r>
        <w:rPr>
          <w:rFonts w:ascii="仿宋_GB2312" w:eastAsia="仿宋_GB2312" w:hAnsi="仿宋" w:cs="宋体"/>
          <w:bCs/>
          <w:spacing w:val="40"/>
          <w:kern w:val="0"/>
          <w:sz w:val="32"/>
          <w:szCs w:val="32"/>
        </w:rPr>
        <w:t>政府性基金</w:t>
      </w:r>
      <w:r>
        <w:rPr>
          <w:rFonts w:ascii="仿宋_GB2312" w:eastAsia="仿宋_GB2312" w:hAnsi="仿宋" w:cs="宋体" w:hint="eastAsia"/>
          <w:bCs/>
          <w:spacing w:val="40"/>
          <w:kern w:val="0"/>
          <w:sz w:val="32"/>
          <w:szCs w:val="32"/>
        </w:rPr>
        <w:t>预算</w:t>
      </w:r>
      <w:r>
        <w:rPr>
          <w:rFonts w:ascii="仿宋_GB2312" w:eastAsia="仿宋_GB2312" w:hAnsi="仿宋" w:cs="宋体"/>
          <w:bCs/>
          <w:spacing w:val="40"/>
          <w:kern w:val="0"/>
          <w:sz w:val="32"/>
          <w:szCs w:val="32"/>
        </w:rPr>
        <w:t>财政拨款基本支出决算表</w:t>
      </w:r>
    </w:p>
    <w:p w:rsidR="005E36F0" w:rsidRDefault="007D3E61">
      <w:pPr>
        <w:tabs>
          <w:tab w:val="center" w:pos="6979"/>
        </w:tabs>
        <w:spacing w:line="500" w:lineRule="exact"/>
        <w:ind w:firstLineChars="400" w:firstLine="1600"/>
        <w:jc w:val="left"/>
        <w:rPr>
          <w:rFonts w:ascii="仿宋_GB2312" w:eastAsia="仿宋_GB2312" w:hAnsi="仿宋" w:cs="宋体"/>
          <w:bCs/>
          <w:spacing w:val="40"/>
          <w:kern w:val="0"/>
          <w:sz w:val="32"/>
          <w:szCs w:val="32"/>
        </w:rPr>
      </w:pPr>
      <w:r>
        <w:rPr>
          <w:rFonts w:ascii="仿宋_GB2312" w:eastAsia="仿宋_GB2312" w:hAnsi="仿宋" w:cs="宋体" w:hint="eastAsia"/>
          <w:bCs/>
          <w:spacing w:val="40"/>
          <w:kern w:val="0"/>
          <w:sz w:val="32"/>
          <w:szCs w:val="32"/>
        </w:rPr>
        <w:t>九、国有资本经营预算财政拨款支出决算表</w:t>
      </w:r>
    </w:p>
    <w:p w:rsidR="005E36F0" w:rsidRDefault="007D3E61">
      <w:pPr>
        <w:tabs>
          <w:tab w:val="center" w:pos="6979"/>
        </w:tabs>
        <w:spacing w:line="500" w:lineRule="exact"/>
        <w:ind w:firstLineChars="400" w:firstLine="1600"/>
        <w:jc w:val="left"/>
        <w:rPr>
          <w:rFonts w:ascii="仿宋_GB2312" w:eastAsia="仿宋_GB2312" w:hAnsi="仿宋" w:cs="宋体"/>
          <w:bCs/>
          <w:spacing w:val="40"/>
          <w:kern w:val="0"/>
          <w:sz w:val="32"/>
          <w:szCs w:val="32"/>
        </w:rPr>
      </w:pPr>
      <w:r>
        <w:rPr>
          <w:rFonts w:ascii="仿宋_GB2312" w:eastAsia="仿宋_GB2312" w:hAnsi="仿宋" w:cs="宋体" w:hint="eastAsia"/>
          <w:bCs/>
          <w:spacing w:val="40"/>
          <w:kern w:val="0"/>
          <w:sz w:val="32"/>
          <w:szCs w:val="32"/>
        </w:rPr>
        <w:t>十、财政拨款“三公”经费支出决算表</w:t>
      </w:r>
    </w:p>
    <w:p w:rsidR="005E36F0" w:rsidRDefault="007D3E61">
      <w:pPr>
        <w:tabs>
          <w:tab w:val="center" w:pos="6979"/>
        </w:tabs>
        <w:spacing w:line="500" w:lineRule="exact"/>
        <w:ind w:firstLineChars="400" w:firstLine="1600"/>
        <w:jc w:val="left"/>
        <w:rPr>
          <w:rFonts w:ascii="仿宋_GB2312" w:eastAsia="仿宋_GB2312" w:hAnsi="仿宋" w:cs="宋体"/>
          <w:bCs/>
          <w:spacing w:val="40"/>
          <w:kern w:val="0"/>
          <w:sz w:val="32"/>
          <w:szCs w:val="32"/>
        </w:rPr>
      </w:pPr>
      <w:r>
        <w:rPr>
          <w:rFonts w:ascii="仿宋_GB2312" w:eastAsia="仿宋_GB2312" w:hAnsi="仿宋" w:cs="宋体" w:hint="eastAsia"/>
          <w:bCs/>
          <w:spacing w:val="40"/>
          <w:kern w:val="0"/>
          <w:sz w:val="32"/>
          <w:szCs w:val="32"/>
        </w:rPr>
        <w:t>十一、政府采购情况表</w:t>
      </w:r>
    </w:p>
    <w:p w:rsidR="005E36F0" w:rsidRDefault="007D3E61">
      <w:pPr>
        <w:tabs>
          <w:tab w:val="center" w:pos="6979"/>
        </w:tabs>
        <w:spacing w:line="500" w:lineRule="exact"/>
        <w:ind w:firstLineChars="400" w:firstLine="1600"/>
        <w:jc w:val="left"/>
        <w:rPr>
          <w:rFonts w:ascii="宋体" w:hAnsi="宋体" w:cs="宋体"/>
          <w:bCs/>
          <w:spacing w:val="40"/>
          <w:kern w:val="0"/>
          <w:sz w:val="32"/>
          <w:szCs w:val="32"/>
        </w:rPr>
      </w:pPr>
      <w:r>
        <w:rPr>
          <w:rFonts w:ascii="宋体" w:hAnsi="宋体" w:cs="宋体" w:hint="eastAsia"/>
          <w:bCs/>
          <w:spacing w:val="40"/>
          <w:kern w:val="0"/>
          <w:sz w:val="32"/>
          <w:szCs w:val="32"/>
        </w:rPr>
        <w:t xml:space="preserve">第二部分 </w:t>
      </w:r>
      <w:r>
        <w:rPr>
          <w:rFonts w:ascii="宋体" w:hAnsi="宋体" w:hint="eastAsia"/>
          <w:spacing w:val="40"/>
          <w:sz w:val="32"/>
          <w:szCs w:val="32"/>
        </w:rPr>
        <w:t>2025年度部门决算说明</w:t>
      </w:r>
    </w:p>
    <w:p w:rsidR="005E36F0" w:rsidRDefault="007D3E61">
      <w:pPr>
        <w:tabs>
          <w:tab w:val="center" w:pos="6979"/>
        </w:tabs>
        <w:spacing w:line="500" w:lineRule="exact"/>
        <w:ind w:firstLineChars="400" w:firstLine="1600"/>
        <w:jc w:val="left"/>
        <w:rPr>
          <w:rFonts w:ascii="宋体" w:hAnsi="宋体" w:cs="宋体"/>
          <w:spacing w:val="40"/>
          <w:kern w:val="0"/>
          <w:sz w:val="32"/>
          <w:szCs w:val="32"/>
        </w:rPr>
      </w:pPr>
      <w:r>
        <w:rPr>
          <w:rFonts w:ascii="宋体" w:hAnsi="宋体" w:cs="宋体" w:hint="eastAsia"/>
          <w:bCs/>
          <w:spacing w:val="40"/>
          <w:kern w:val="0"/>
          <w:sz w:val="32"/>
          <w:szCs w:val="32"/>
        </w:rPr>
        <w:t xml:space="preserve">第三部分 </w:t>
      </w:r>
      <w:r>
        <w:rPr>
          <w:rFonts w:ascii="宋体" w:hAnsi="宋体" w:hint="eastAsia"/>
          <w:spacing w:val="40"/>
          <w:sz w:val="32"/>
          <w:szCs w:val="32"/>
        </w:rPr>
        <w:t>2025年度</w:t>
      </w:r>
      <w:r>
        <w:rPr>
          <w:rFonts w:ascii="宋体" w:hAnsi="宋体" w:cs="宋体" w:hint="eastAsia"/>
          <w:spacing w:val="40"/>
          <w:kern w:val="0"/>
          <w:sz w:val="32"/>
          <w:szCs w:val="32"/>
        </w:rPr>
        <w:t>其他重要事项的情况说明</w:t>
      </w:r>
    </w:p>
    <w:p w:rsidR="005E36F0" w:rsidRDefault="007D3E61">
      <w:pPr>
        <w:tabs>
          <w:tab w:val="center" w:pos="6979"/>
        </w:tabs>
        <w:spacing w:line="500" w:lineRule="exact"/>
        <w:ind w:firstLineChars="400" w:firstLine="1600"/>
        <w:jc w:val="left"/>
        <w:rPr>
          <w:rFonts w:ascii="宋体" w:hAnsi="宋体" w:cs="宋体"/>
          <w:spacing w:val="40"/>
          <w:kern w:val="0"/>
          <w:sz w:val="36"/>
          <w:szCs w:val="32"/>
        </w:rPr>
      </w:pPr>
      <w:r>
        <w:rPr>
          <w:rFonts w:ascii="宋体" w:hAnsi="宋体" w:cs="宋体" w:hint="eastAsia"/>
          <w:spacing w:val="40"/>
          <w:kern w:val="0"/>
          <w:sz w:val="32"/>
          <w:szCs w:val="32"/>
        </w:rPr>
        <w:t>第四部分 2025年度部门绩效评价情况</w:t>
      </w:r>
    </w:p>
    <w:p w:rsidR="005E36F0" w:rsidRDefault="005E36F0" w:rsidP="00CB4CD3">
      <w:pPr>
        <w:tabs>
          <w:tab w:val="center" w:pos="6979"/>
        </w:tabs>
        <w:spacing w:beforeLines="50" w:afterLines="50"/>
        <w:jc w:val="center"/>
        <w:rPr>
          <w:rFonts w:ascii="宋体" w:hAnsi="宋体" w:cs="宋体"/>
          <w:b/>
          <w:bCs/>
          <w:spacing w:val="40"/>
          <w:kern w:val="0"/>
          <w:sz w:val="32"/>
          <w:szCs w:val="32"/>
        </w:rPr>
      </w:pPr>
    </w:p>
    <w:p w:rsidR="005E36F0" w:rsidRDefault="005E36F0" w:rsidP="00CB4CD3">
      <w:pPr>
        <w:tabs>
          <w:tab w:val="center" w:pos="6979"/>
        </w:tabs>
        <w:spacing w:beforeLines="50" w:afterLines="50"/>
        <w:jc w:val="center"/>
        <w:rPr>
          <w:rFonts w:ascii="宋体" w:hAnsi="宋体" w:cs="宋体"/>
          <w:b/>
          <w:bCs/>
          <w:spacing w:val="40"/>
          <w:kern w:val="0"/>
          <w:sz w:val="32"/>
          <w:szCs w:val="32"/>
        </w:rPr>
      </w:pPr>
    </w:p>
    <w:p w:rsidR="005E36F0" w:rsidRDefault="005E36F0" w:rsidP="00CB4CD3">
      <w:pPr>
        <w:tabs>
          <w:tab w:val="center" w:pos="6979"/>
        </w:tabs>
        <w:spacing w:beforeLines="50" w:afterLines="50"/>
        <w:jc w:val="center"/>
        <w:rPr>
          <w:rFonts w:ascii="宋体" w:hAnsi="宋体" w:cs="宋体"/>
          <w:b/>
          <w:bCs/>
          <w:spacing w:val="40"/>
          <w:kern w:val="0"/>
          <w:sz w:val="32"/>
          <w:szCs w:val="32"/>
        </w:rPr>
      </w:pPr>
    </w:p>
    <w:p w:rsidR="005E36F0" w:rsidRDefault="005E36F0" w:rsidP="00CB4CD3">
      <w:pPr>
        <w:tabs>
          <w:tab w:val="center" w:pos="6979"/>
        </w:tabs>
        <w:spacing w:beforeLines="50" w:afterLines="50"/>
        <w:jc w:val="center"/>
        <w:rPr>
          <w:rFonts w:ascii="宋体" w:hAnsi="宋体" w:cs="宋体"/>
          <w:b/>
          <w:bCs/>
          <w:spacing w:val="40"/>
          <w:kern w:val="0"/>
          <w:sz w:val="32"/>
          <w:szCs w:val="32"/>
        </w:rPr>
      </w:pPr>
    </w:p>
    <w:p w:rsidR="005E36F0" w:rsidRDefault="005E36F0" w:rsidP="00CB4CD3">
      <w:pPr>
        <w:tabs>
          <w:tab w:val="center" w:pos="6979"/>
        </w:tabs>
        <w:spacing w:beforeLines="50" w:afterLines="50"/>
        <w:jc w:val="center"/>
        <w:rPr>
          <w:rFonts w:ascii="宋体" w:hAnsi="宋体" w:cs="宋体"/>
          <w:b/>
          <w:bCs/>
          <w:spacing w:val="40"/>
          <w:kern w:val="0"/>
          <w:sz w:val="32"/>
          <w:szCs w:val="32"/>
        </w:rPr>
      </w:pPr>
    </w:p>
    <w:p w:rsidR="005E36F0" w:rsidRDefault="005E36F0" w:rsidP="00CB4CD3">
      <w:pPr>
        <w:tabs>
          <w:tab w:val="center" w:pos="6979"/>
        </w:tabs>
        <w:spacing w:beforeLines="50" w:afterLines="50"/>
        <w:jc w:val="center"/>
        <w:rPr>
          <w:rFonts w:ascii="宋体" w:hAnsi="宋体" w:cs="宋体"/>
          <w:b/>
          <w:bCs/>
          <w:spacing w:val="40"/>
          <w:kern w:val="0"/>
          <w:sz w:val="44"/>
          <w:szCs w:val="44"/>
        </w:rPr>
      </w:pPr>
    </w:p>
    <w:p w:rsidR="005E36F0" w:rsidRDefault="005E36F0" w:rsidP="00CB4CD3">
      <w:pPr>
        <w:tabs>
          <w:tab w:val="center" w:pos="6979"/>
        </w:tabs>
        <w:spacing w:beforeLines="50" w:afterLines="50"/>
        <w:jc w:val="center"/>
        <w:rPr>
          <w:rFonts w:ascii="宋体" w:hAnsi="宋体" w:cs="宋体"/>
          <w:b/>
          <w:bCs/>
          <w:spacing w:val="40"/>
          <w:kern w:val="0"/>
          <w:sz w:val="44"/>
          <w:szCs w:val="44"/>
        </w:rPr>
      </w:pPr>
    </w:p>
    <w:p w:rsidR="005E36F0" w:rsidRDefault="007D3E61" w:rsidP="00CB4CD3">
      <w:pPr>
        <w:tabs>
          <w:tab w:val="center" w:pos="6979"/>
        </w:tabs>
        <w:spacing w:beforeLines="50" w:afterLines="50"/>
        <w:jc w:val="center"/>
        <w:rPr>
          <w:rFonts w:ascii="宋体" w:hAnsi="宋体" w:cs="宋体"/>
          <w:b/>
          <w:bCs/>
          <w:spacing w:val="40"/>
          <w:kern w:val="0"/>
          <w:sz w:val="32"/>
          <w:szCs w:val="32"/>
        </w:rPr>
      </w:pPr>
      <w:r>
        <w:rPr>
          <w:rFonts w:ascii="宋体" w:hAnsi="宋体" w:cs="宋体" w:hint="eastAsia"/>
          <w:b/>
          <w:bCs/>
          <w:spacing w:val="40"/>
          <w:kern w:val="0"/>
          <w:sz w:val="44"/>
          <w:szCs w:val="44"/>
        </w:rPr>
        <w:lastRenderedPageBreak/>
        <w:t>第一部分 2025年度部门决算报表</w:t>
      </w:r>
    </w:p>
    <w:p w:rsidR="005E36F0" w:rsidRDefault="007D3E61">
      <w:pPr>
        <w:pStyle w:val="2"/>
        <w:rPr>
          <w:b w:val="0"/>
          <w:bCs w:val="0"/>
        </w:rPr>
        <w:sectPr w:rsidR="005E36F0">
          <w:footerReference w:type="default" r:id="rId8"/>
          <w:pgSz w:w="11906" w:h="16838"/>
          <w:pgMar w:top="1134" w:right="1134" w:bottom="1134" w:left="1134" w:header="851" w:footer="992" w:gutter="0"/>
          <w:cols w:space="720"/>
          <w:docGrid w:type="linesAndChars" w:linePitch="312"/>
        </w:sectPr>
      </w:pPr>
      <w:r>
        <w:rPr>
          <w:rFonts w:ascii="仿宋_GB2312" w:eastAsia="仿宋_GB2312" w:hint="eastAsia"/>
          <w:sz w:val="28"/>
          <w:szCs w:val="28"/>
        </w:rPr>
        <w:t xml:space="preserve">   </w:t>
      </w:r>
      <w:r>
        <w:rPr>
          <w:rFonts w:ascii="仿宋_GB2312" w:eastAsia="仿宋_GB2312" w:hint="eastAsia"/>
          <w:b w:val="0"/>
          <w:bCs w:val="0"/>
          <w:sz w:val="28"/>
          <w:szCs w:val="28"/>
        </w:rPr>
        <w:t>报表详见附件。</w:t>
      </w:r>
    </w:p>
    <w:p w:rsidR="005E36F0" w:rsidRDefault="007D3E61" w:rsidP="00CB4CD3">
      <w:pPr>
        <w:tabs>
          <w:tab w:val="center" w:pos="6979"/>
        </w:tabs>
        <w:spacing w:beforeLines="50" w:afterLines="50"/>
        <w:jc w:val="center"/>
        <w:rPr>
          <w:rFonts w:ascii="宋体" w:hAnsi="宋体"/>
          <w:b/>
          <w:sz w:val="32"/>
          <w:szCs w:val="32"/>
        </w:rPr>
      </w:pPr>
      <w:r>
        <w:rPr>
          <w:rFonts w:ascii="宋体" w:hAnsi="宋体" w:cs="宋体" w:hint="eastAsia"/>
          <w:b/>
          <w:bCs/>
          <w:spacing w:val="40"/>
          <w:kern w:val="0"/>
          <w:sz w:val="32"/>
          <w:szCs w:val="32"/>
        </w:rPr>
        <w:lastRenderedPageBreak/>
        <w:t xml:space="preserve">第二部分 </w:t>
      </w:r>
      <w:r>
        <w:rPr>
          <w:rFonts w:ascii="宋体" w:hAnsi="宋体" w:hint="eastAsia"/>
          <w:b/>
          <w:spacing w:val="40"/>
          <w:sz w:val="32"/>
          <w:szCs w:val="32"/>
        </w:rPr>
        <w:t>2025年度部门决算说明</w:t>
      </w:r>
    </w:p>
    <w:p w:rsidR="005E36F0" w:rsidRDefault="007D3E61" w:rsidP="00431DD9">
      <w:pPr>
        <w:tabs>
          <w:tab w:val="center" w:pos="6979"/>
        </w:tabs>
        <w:spacing w:line="580" w:lineRule="exact"/>
        <w:ind w:firstLineChars="196" w:firstLine="551"/>
        <w:rPr>
          <w:rFonts w:ascii="黑体" w:eastAsia="黑体"/>
          <w:b/>
          <w:sz w:val="28"/>
          <w:szCs w:val="28"/>
        </w:rPr>
      </w:pPr>
      <w:r>
        <w:rPr>
          <w:rFonts w:ascii="黑体" w:eastAsia="黑体" w:hint="eastAsia"/>
          <w:b/>
          <w:sz w:val="28"/>
          <w:szCs w:val="28"/>
        </w:rPr>
        <w:t>一、部门/单位基本情况</w:t>
      </w:r>
      <w:r>
        <w:rPr>
          <w:rFonts w:ascii="仿宋_GB2312" w:eastAsia="仿宋_GB2312" w:hint="eastAsia"/>
          <w:sz w:val="28"/>
          <w:szCs w:val="28"/>
        </w:rPr>
        <w:t>（比照</w:t>
      </w:r>
      <w:r>
        <w:rPr>
          <w:rFonts w:ascii="仿宋_GB2312" w:eastAsia="仿宋_GB2312"/>
          <w:sz w:val="28"/>
          <w:szCs w:val="28"/>
        </w:rPr>
        <w:t>预算公开</w:t>
      </w:r>
      <w:r>
        <w:rPr>
          <w:rFonts w:ascii="仿宋_GB2312" w:eastAsia="仿宋_GB2312" w:hint="eastAsia"/>
          <w:sz w:val="28"/>
          <w:szCs w:val="28"/>
        </w:rPr>
        <w:t>的内容</w:t>
      </w:r>
      <w:r>
        <w:rPr>
          <w:rFonts w:ascii="仿宋_GB2312" w:eastAsia="仿宋_GB2312"/>
          <w:sz w:val="28"/>
          <w:szCs w:val="28"/>
        </w:rPr>
        <w:t>格式）</w:t>
      </w:r>
    </w:p>
    <w:p w:rsidR="005E36F0" w:rsidRDefault="007D3E61">
      <w:pPr>
        <w:tabs>
          <w:tab w:val="center" w:pos="6979"/>
        </w:tabs>
        <w:spacing w:line="580" w:lineRule="exact"/>
        <w:ind w:firstLineChars="250" w:firstLine="700"/>
        <w:rPr>
          <w:rFonts w:ascii="仿宋_GB2312" w:eastAsia="仿宋_GB2312"/>
          <w:sz w:val="28"/>
          <w:szCs w:val="28"/>
        </w:rPr>
      </w:pPr>
      <w:r>
        <w:rPr>
          <w:rFonts w:ascii="仿宋_GB2312" w:eastAsia="仿宋_GB2312" w:hint="eastAsia"/>
          <w:sz w:val="28"/>
          <w:szCs w:val="28"/>
        </w:rPr>
        <w:t>（一</w:t>
      </w:r>
      <w:r>
        <w:rPr>
          <w:rFonts w:ascii="仿宋_GB2312" w:eastAsia="仿宋_GB2312"/>
          <w:sz w:val="28"/>
          <w:szCs w:val="28"/>
        </w:rPr>
        <w:t>）</w:t>
      </w:r>
      <w:r>
        <w:rPr>
          <w:rFonts w:ascii="仿宋_GB2312" w:eastAsia="仿宋_GB2312" w:hint="eastAsia"/>
          <w:sz w:val="28"/>
          <w:szCs w:val="28"/>
        </w:rPr>
        <w:t>本部门职责情况</w:t>
      </w:r>
    </w:p>
    <w:p w:rsidR="005E36F0" w:rsidRDefault="007D3E61">
      <w:pPr>
        <w:tabs>
          <w:tab w:val="center" w:pos="6979"/>
        </w:tabs>
        <w:spacing w:line="580" w:lineRule="exact"/>
        <w:ind w:firstLineChars="250" w:firstLine="700"/>
        <w:rPr>
          <w:rFonts w:ascii="仿宋_GB2312" w:eastAsia="仿宋_GB2312" w:hAnsi="Calibri" w:cs="仿宋_GB2312"/>
          <w:sz w:val="28"/>
          <w:szCs w:val="28"/>
        </w:rPr>
      </w:pPr>
      <w:r>
        <w:rPr>
          <w:rFonts w:ascii="仿宋_GB2312" w:eastAsia="仿宋_GB2312" w:hint="eastAsia"/>
          <w:sz w:val="28"/>
          <w:szCs w:val="28"/>
        </w:rPr>
        <w:t xml:space="preserve"> </w:t>
      </w:r>
      <w:r>
        <w:rPr>
          <w:rFonts w:ascii="仿宋_GB2312" w:eastAsia="仿宋_GB2312" w:hAnsi="Calibri" w:cs="仿宋_GB2312" w:hint="eastAsia"/>
          <w:sz w:val="28"/>
          <w:szCs w:val="28"/>
        </w:rPr>
        <w:t>门头沟区科委作为区政府工作部门，规格为正处级。主要负责全区科技工作。</w:t>
      </w:r>
    </w:p>
    <w:p w:rsidR="005E36F0" w:rsidRDefault="007D3E61">
      <w:pPr>
        <w:tabs>
          <w:tab w:val="center" w:pos="6979"/>
        </w:tabs>
        <w:spacing w:line="580" w:lineRule="exact"/>
        <w:ind w:firstLineChars="250" w:firstLine="700"/>
        <w:rPr>
          <w:rFonts w:ascii="仿宋_GB2312" w:eastAsia="仿宋_GB2312" w:hAnsi="Calibri" w:cs="仿宋_GB2312"/>
          <w:sz w:val="28"/>
          <w:szCs w:val="28"/>
        </w:rPr>
      </w:pPr>
      <w:r>
        <w:rPr>
          <w:rFonts w:ascii="仿宋_GB2312" w:eastAsia="仿宋_GB2312" w:hAnsi="Calibri" w:cs="仿宋_GB2312" w:hint="eastAsia"/>
          <w:sz w:val="28"/>
          <w:szCs w:val="28"/>
        </w:rPr>
        <w:t>1.贯彻落实国家创新驱动发展战略和科技工作方面的法律法规、规章和政策，落实北京市相关地方性法规、政府规章，组织拟订本区科技发展、科技促进经济社会发展等方面的规划计划、政策，并组织实施。</w:t>
      </w:r>
    </w:p>
    <w:p w:rsidR="005E36F0" w:rsidRDefault="007D3E61">
      <w:pPr>
        <w:tabs>
          <w:tab w:val="center" w:pos="6979"/>
        </w:tabs>
        <w:spacing w:line="580" w:lineRule="exact"/>
        <w:ind w:firstLineChars="250" w:firstLine="700"/>
        <w:rPr>
          <w:rFonts w:ascii="仿宋_GB2312" w:eastAsia="仿宋_GB2312" w:hAnsi="Calibri" w:cs="仿宋_GB2312"/>
          <w:sz w:val="28"/>
          <w:szCs w:val="28"/>
        </w:rPr>
      </w:pPr>
      <w:r>
        <w:rPr>
          <w:rFonts w:ascii="仿宋_GB2312" w:eastAsia="仿宋_GB2312" w:hAnsi="Calibri" w:cs="仿宋_GB2312" w:hint="eastAsia"/>
          <w:sz w:val="28"/>
          <w:szCs w:val="28"/>
        </w:rPr>
        <w:t>2.统筹推进本区北京国际科技创新中心工作任务。贯彻落实首都创新体系建设和科技体制改革有关精神，落实技术创新激励机制及相关政策。优化科研体系建设，指导科研机构改革发展。负责新型研发机构的筹建、管理及服务。牵头推动企业科技创新能力建设。承担推进科技军民融合发展相关工作。</w:t>
      </w:r>
    </w:p>
    <w:p w:rsidR="005E36F0" w:rsidRDefault="007D3E61">
      <w:pPr>
        <w:tabs>
          <w:tab w:val="center" w:pos="6979"/>
        </w:tabs>
        <w:spacing w:line="580" w:lineRule="exact"/>
        <w:ind w:firstLineChars="250" w:firstLine="700"/>
        <w:rPr>
          <w:rFonts w:ascii="仿宋_GB2312" w:eastAsia="仿宋_GB2312" w:hAnsi="Calibri" w:cs="仿宋_GB2312"/>
          <w:sz w:val="28"/>
          <w:szCs w:val="28"/>
        </w:rPr>
      </w:pPr>
      <w:r>
        <w:rPr>
          <w:rFonts w:ascii="仿宋_GB2312" w:eastAsia="仿宋_GB2312" w:hAnsi="Calibri" w:cs="仿宋_GB2312" w:hint="eastAsia"/>
          <w:sz w:val="28"/>
          <w:szCs w:val="28"/>
        </w:rPr>
        <w:t>3.落实北京市关于重大科技决策咨询制度，负责提出本区科技发展战略建议。提出本区科技发展的布局和优先发展领域。拟订本区促进科技文化融合发展、科学普及、科学传播政策、实施方案及行业标准等并组织实施。</w:t>
      </w:r>
    </w:p>
    <w:p w:rsidR="005E36F0" w:rsidRDefault="007D3E61">
      <w:pPr>
        <w:tabs>
          <w:tab w:val="center" w:pos="6979"/>
        </w:tabs>
        <w:spacing w:line="580" w:lineRule="exact"/>
        <w:ind w:firstLineChars="250" w:firstLine="700"/>
        <w:rPr>
          <w:rFonts w:ascii="仿宋_GB2312" w:eastAsia="仿宋_GB2312" w:cs="仿宋_GB2312"/>
          <w:sz w:val="28"/>
          <w:szCs w:val="28"/>
        </w:rPr>
      </w:pPr>
      <w:r>
        <w:rPr>
          <w:rFonts w:ascii="仿宋_GB2312" w:eastAsia="仿宋_GB2312" w:hAnsi="Calibri" w:cs="仿宋_GB2312" w:hint="eastAsia"/>
          <w:sz w:val="28"/>
          <w:szCs w:val="28"/>
        </w:rPr>
        <w:t>4.拟订本区关于基础研究的相关政策措施，牵头协调区级基础研究和应用基础研究。为重大科技基础设施建设和运行提供服务。提出本区科研条件保障规划和政策建议，推进科研条件保障建设和科技资源开放共享。组织开展本区重点领域技术发展需求分析，提出重大任务。为关键共性技术、前沿引领技术、现代工程技术、颠覆性技术研发和创新提供保障。</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t>5.负责本区科技管理工作。拟订本区科技管理平台和科研项目资金协调、评估、监管相关政策。拟订本区优化配</w:t>
      </w:r>
      <w:r>
        <w:rPr>
          <w:rFonts w:ascii="仿宋_GB2312" w:eastAsia="仿宋_GB2312" w:hAnsi="Calibri" w:cs="仿宋_GB2312" w:hint="eastAsia"/>
          <w:sz w:val="28"/>
          <w:szCs w:val="28"/>
        </w:rPr>
        <w:lastRenderedPageBreak/>
        <w:t>置科技资源的政策措施。推动多元化科技投入体系建设。协调财政科技计划（专项、基金等）实施。拟订本区科技金融相关政策，开展科技金融促进工作。</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t>6.研究拟订本区高新技术发展及产业化、科技服务业、科技促进城市和农业农村发展相关的规划、政策及措施。</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t>7.贯彻落实科技成果转移转化和促进产学研深度融合的相关政策措施，负责应用场景建设相关工作。鼓励企业进行技术攻关和成果应用示范。拟订本区促进技术市场发展的相关政策措施并组织实施，促进各类科技中介组织发展。</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t>8.落实科技项目管理的政策措施，拟订本区科技项目管理办法，围绕重点领域技术发展需求，实施科技项目。负责国家级、市级科学技术奖励的推荐申报工作。承担本区科技信息、科技统计、创新调查和科研成果报告工作。指导本区科技保密工作。</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t>9.落实北京市科技监督评价体系建设和科技评估管理的相关政策，开展科技评估评价和监督检查工作。统筹全区科研诚信建设工作。</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t>10.负责本区引进国外智力工作。根据本区实际拟订本区引进外国专家规划、计划并组织实施。拟订出国（境）培训规划、政策和年度计划，并组织实施。</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t>11.负责本区科技人才资源的合理配置，会同有关部门拟订本区科技人才队伍建设规划和政策，落实科技人才评价和激励机制，组织相关人才培训。组织实施科技人才计划，推动高端科技创新人才队伍建设。</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t>12.联系区有关部门科技创新工作。统筹推进跨区域的科技领域交流合作、科技协作、扶贫协作和支援合作工作。拟订本区科技对外交流与创新能力开放合作的规划、政策和措施。组织开展国际科技合作，推进国际技术转移。会同有关部门组织技术出口和技术引进工作。负责与港澳台科技合作交流。负责科技外事工作。</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lastRenderedPageBreak/>
        <w:t>13.指导本区科技安全相关工作。</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t>14.完成区委、区政府交办的其他任务。</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t>15.职能转变。</w:t>
      </w:r>
    </w:p>
    <w:p w:rsidR="005E36F0" w:rsidRDefault="007D3E61">
      <w:pPr>
        <w:spacing w:line="560" w:lineRule="exact"/>
        <w:ind w:firstLineChars="200" w:firstLine="560"/>
        <w:rPr>
          <w:rFonts w:ascii="仿宋_GB2312" w:eastAsia="仿宋_GB2312" w:cs="仿宋_GB2312"/>
          <w:sz w:val="28"/>
          <w:szCs w:val="28"/>
        </w:rPr>
      </w:pPr>
      <w:r>
        <w:rPr>
          <w:rFonts w:ascii="仿宋_GB2312" w:eastAsia="仿宋_GB2312" w:hAnsi="Calibri" w:cs="仿宋_GB2312" w:hint="eastAsia"/>
          <w:sz w:val="28"/>
          <w:szCs w:val="28"/>
        </w:rPr>
        <w:t>坚持创新驱动发展。区科委贯彻落实科教兴国战略、人才强国战略、创新驱动发展战略，坚持科技自立自强，优化创新资源布局，制定实施计划，服务北京国际科技创新中心建设，为科技强区建设提供支撑。</w:t>
      </w:r>
    </w:p>
    <w:p w:rsidR="005E36F0" w:rsidRDefault="007D3E61">
      <w:pPr>
        <w:spacing w:line="560" w:lineRule="exact"/>
        <w:ind w:firstLine="645"/>
        <w:rPr>
          <w:rFonts w:ascii="仿宋_GB2312" w:eastAsia="仿宋_GB2312" w:cs="仿宋_GB2312"/>
          <w:sz w:val="28"/>
          <w:szCs w:val="28"/>
        </w:rPr>
      </w:pPr>
      <w:r>
        <w:rPr>
          <w:rFonts w:ascii="仿宋_GB2312" w:eastAsia="仿宋_GB2312" w:hAnsi="Calibri" w:cs="仿宋_GB2312" w:hint="eastAsia"/>
          <w:sz w:val="28"/>
          <w:szCs w:val="28"/>
        </w:rPr>
        <w:t>深化科技体制改革。加快科技管理职能转变，加强宏观管理和统筹协调，减少微观管理。建立公开统一的科技管理平台。优化科技规划体系和运行机制，推动重点领域项目、基地、人才、资金一体化配置。改进科技项目组织管理方式，实行“揭榜挂帅”等制度。完善科技评价机制，优化科技奖励项目。扩大创新主体科研管理自主权。健全以创新能力、质量、实效、贡献为导向的科技人才评价体系。完善科研人员职务发明成果权益分享机制。弘扬科学家精神。实行更加开放的科技人才政策。</w:t>
      </w:r>
    </w:p>
    <w:p w:rsidR="005E36F0" w:rsidRDefault="007D3E61">
      <w:pPr>
        <w:spacing w:line="560" w:lineRule="exact"/>
        <w:ind w:firstLine="645"/>
        <w:rPr>
          <w:rFonts w:ascii="仿宋_GB2312" w:eastAsia="仿宋_GB2312" w:hAnsi="Calibri" w:cs="仿宋_GB2312"/>
          <w:sz w:val="28"/>
          <w:szCs w:val="28"/>
        </w:rPr>
      </w:pPr>
      <w:r>
        <w:rPr>
          <w:rFonts w:ascii="仿宋_GB2312" w:eastAsia="仿宋_GB2312" w:hAnsi="Calibri" w:cs="仿宋_GB2312" w:hint="eastAsia"/>
          <w:sz w:val="28"/>
          <w:szCs w:val="28"/>
        </w:rPr>
        <w:t>持续优化创新生态。完善科技治理体系，提高创新体系效能，增强创新策源功能。发挥政府制度创新的能动作用和市场配置资源的决定性作用，强化企业创新主体地位，激发创新创造活力。加强对创新主体的支持，促进产学研深度融合，加快科技成果转化。加强科技合作交流和智力引进。推进科研院所、高校、企业科研力量优化配置和资源共享。</w:t>
      </w:r>
    </w:p>
    <w:p w:rsidR="005E36F0" w:rsidRDefault="007D3E61">
      <w:pPr>
        <w:numPr>
          <w:ilvl w:val="0"/>
          <w:numId w:val="1"/>
        </w:numPr>
        <w:spacing w:line="560" w:lineRule="exact"/>
        <w:ind w:firstLine="645"/>
        <w:rPr>
          <w:rFonts w:ascii="仿宋_GB2312" w:eastAsia="仿宋_GB2312"/>
          <w:sz w:val="28"/>
          <w:szCs w:val="28"/>
        </w:rPr>
      </w:pPr>
      <w:r>
        <w:rPr>
          <w:rFonts w:ascii="仿宋_GB2312" w:eastAsia="仿宋_GB2312" w:hint="eastAsia"/>
          <w:sz w:val="28"/>
          <w:szCs w:val="28"/>
        </w:rPr>
        <w:t>机构</w:t>
      </w:r>
      <w:r>
        <w:rPr>
          <w:rFonts w:ascii="仿宋_GB2312" w:eastAsia="仿宋_GB2312"/>
          <w:sz w:val="28"/>
          <w:szCs w:val="28"/>
        </w:rPr>
        <w:t>设置</w:t>
      </w:r>
      <w:r>
        <w:rPr>
          <w:rFonts w:ascii="仿宋_GB2312" w:eastAsia="仿宋_GB2312" w:hint="eastAsia"/>
          <w:sz w:val="28"/>
          <w:szCs w:val="28"/>
        </w:rPr>
        <w:t>情况</w:t>
      </w:r>
    </w:p>
    <w:p w:rsidR="005E36F0" w:rsidRDefault="007D3E61">
      <w:pPr>
        <w:widowControl/>
        <w:spacing w:line="560" w:lineRule="exact"/>
        <w:ind w:firstLineChars="200" w:firstLine="560"/>
        <w:rPr>
          <w:rFonts w:ascii="仿宋_GB2312" w:eastAsia="仿宋_GB2312" w:hAnsi="Calibri" w:cs="仿宋_GB2312"/>
          <w:sz w:val="28"/>
          <w:szCs w:val="28"/>
        </w:rPr>
      </w:pPr>
      <w:r>
        <w:rPr>
          <w:rFonts w:ascii="仿宋_GB2312" w:eastAsia="仿宋_GB2312" w:hAnsi="Calibri" w:cs="仿宋_GB2312" w:hint="eastAsia"/>
          <w:sz w:val="28"/>
          <w:szCs w:val="28"/>
        </w:rPr>
        <w:t>本部门共设3个内设机构，分别为办公室、发展规划科、创新促进科。下设3个事业单位，分别为区科技开发实验基地、区科技开发服务中心、区可持续发展中心。</w:t>
      </w:r>
    </w:p>
    <w:p w:rsidR="005E36F0" w:rsidRDefault="007D3E61" w:rsidP="00431DD9">
      <w:pPr>
        <w:widowControl/>
        <w:spacing w:line="560" w:lineRule="exact"/>
        <w:ind w:firstLineChars="200" w:firstLine="562"/>
        <w:rPr>
          <w:rFonts w:ascii="黑体" w:eastAsia="黑体"/>
          <w:b/>
          <w:sz w:val="28"/>
          <w:szCs w:val="28"/>
        </w:rPr>
      </w:pPr>
      <w:r>
        <w:rPr>
          <w:rFonts w:ascii="黑体" w:eastAsia="黑体" w:hint="eastAsia"/>
          <w:b/>
          <w:sz w:val="28"/>
          <w:szCs w:val="28"/>
        </w:rPr>
        <w:t>二、收入支出决算总体情况说明</w:t>
      </w:r>
    </w:p>
    <w:p w:rsidR="005E36F0" w:rsidRDefault="007D3E61">
      <w:pPr>
        <w:tabs>
          <w:tab w:val="center" w:pos="6979"/>
        </w:tabs>
        <w:spacing w:line="580" w:lineRule="exact"/>
        <w:ind w:firstLine="570"/>
        <w:rPr>
          <w:rFonts w:ascii="仿宋_GB2312" w:eastAsia="仿宋_GB2312"/>
          <w:sz w:val="28"/>
          <w:szCs w:val="28"/>
        </w:rPr>
      </w:pPr>
      <w:r>
        <w:rPr>
          <w:rFonts w:ascii="仿宋_GB2312" w:eastAsia="仿宋_GB2312" w:hint="eastAsia"/>
          <w:sz w:val="28"/>
          <w:szCs w:val="28"/>
        </w:rPr>
        <w:lastRenderedPageBreak/>
        <w:t>2025年度收、</w:t>
      </w:r>
      <w:r>
        <w:rPr>
          <w:rFonts w:ascii="仿宋_GB2312" w:eastAsia="仿宋_GB2312"/>
          <w:sz w:val="28"/>
          <w:szCs w:val="28"/>
        </w:rPr>
        <w:t>支</w:t>
      </w:r>
      <w:r>
        <w:rPr>
          <w:rFonts w:ascii="仿宋_GB2312" w:eastAsia="仿宋_GB2312" w:hint="eastAsia"/>
          <w:sz w:val="28"/>
          <w:szCs w:val="28"/>
        </w:rPr>
        <w:t>总计</w:t>
      </w:r>
      <w:r>
        <w:rPr>
          <w:rFonts w:ascii="仿宋_GB2312" w:eastAsia="仿宋_GB2312"/>
          <w:sz w:val="28"/>
          <w:szCs w:val="28"/>
        </w:rPr>
        <w:t>38</w:t>
      </w:r>
      <w:r>
        <w:rPr>
          <w:rFonts w:ascii="仿宋_GB2312" w:eastAsia="仿宋_GB2312" w:hint="eastAsia"/>
          <w:sz w:val="28"/>
          <w:szCs w:val="28"/>
        </w:rPr>
        <w:t>,</w:t>
      </w:r>
      <w:r>
        <w:rPr>
          <w:rFonts w:ascii="仿宋_GB2312" w:eastAsia="仿宋_GB2312"/>
          <w:sz w:val="28"/>
          <w:szCs w:val="28"/>
        </w:rPr>
        <w:t>524</w:t>
      </w:r>
      <w:r>
        <w:rPr>
          <w:rFonts w:ascii="仿宋_GB2312" w:eastAsia="仿宋_GB2312" w:hint="eastAsia"/>
          <w:sz w:val="28"/>
          <w:szCs w:val="28"/>
        </w:rPr>
        <w:t>,</w:t>
      </w:r>
      <w:r>
        <w:rPr>
          <w:rFonts w:ascii="仿宋_GB2312" w:eastAsia="仿宋_GB2312"/>
          <w:sz w:val="28"/>
          <w:szCs w:val="28"/>
        </w:rPr>
        <w:t>242.99</w:t>
      </w:r>
      <w:r>
        <w:rPr>
          <w:rFonts w:ascii="仿宋_GB2312" w:eastAsia="仿宋_GB2312" w:hint="eastAsia"/>
          <w:sz w:val="28"/>
          <w:szCs w:val="28"/>
        </w:rPr>
        <w:t>元，</w:t>
      </w:r>
      <w:r>
        <w:rPr>
          <w:rFonts w:ascii="仿宋_GB2312" w:eastAsia="仿宋_GB2312"/>
          <w:sz w:val="28"/>
          <w:szCs w:val="28"/>
        </w:rPr>
        <w:t>比上年</w:t>
      </w:r>
      <w:r>
        <w:rPr>
          <w:rFonts w:ascii="仿宋_GB2312" w:eastAsia="仿宋_GB2312" w:hint="eastAsia"/>
          <w:sz w:val="28"/>
          <w:szCs w:val="28"/>
        </w:rPr>
        <w:t>减少7,435,636.34元，下降16.</w:t>
      </w:r>
      <w:r w:rsidR="00DA02F3">
        <w:rPr>
          <w:rFonts w:ascii="仿宋_GB2312" w:eastAsia="仿宋_GB2312" w:hint="eastAsia"/>
          <w:sz w:val="28"/>
          <w:szCs w:val="28"/>
        </w:rPr>
        <w:t>2</w:t>
      </w:r>
      <w:r>
        <w:rPr>
          <w:rFonts w:ascii="仿宋_GB2312" w:eastAsia="仿宋_GB2312" w:hint="eastAsia"/>
          <w:sz w:val="28"/>
          <w:szCs w:val="28"/>
        </w:rPr>
        <w:t>%。</w:t>
      </w:r>
    </w:p>
    <w:p w:rsidR="005E36F0" w:rsidRDefault="007D3E61">
      <w:pPr>
        <w:tabs>
          <w:tab w:val="center" w:pos="6979"/>
        </w:tabs>
        <w:spacing w:line="580" w:lineRule="exact"/>
        <w:ind w:firstLine="570"/>
        <w:rPr>
          <w:rFonts w:ascii="仿宋_GB2312" w:eastAsia="仿宋_GB2312"/>
          <w:sz w:val="28"/>
          <w:szCs w:val="28"/>
        </w:rPr>
      </w:pPr>
      <w:r>
        <w:rPr>
          <w:rFonts w:ascii="仿宋_GB2312" w:eastAsia="仿宋_GB2312" w:hint="eastAsia"/>
          <w:sz w:val="28"/>
          <w:szCs w:val="28"/>
        </w:rPr>
        <w:t>（一</w:t>
      </w:r>
      <w:r>
        <w:rPr>
          <w:rFonts w:ascii="仿宋_GB2312" w:eastAsia="仿宋_GB2312"/>
          <w:sz w:val="28"/>
          <w:szCs w:val="28"/>
        </w:rPr>
        <w:t>）</w:t>
      </w:r>
      <w:r>
        <w:rPr>
          <w:rFonts w:ascii="仿宋_GB2312" w:eastAsia="仿宋_GB2312" w:hint="eastAsia"/>
          <w:sz w:val="28"/>
          <w:szCs w:val="28"/>
        </w:rPr>
        <w:t>收入决算</w:t>
      </w:r>
      <w:r>
        <w:rPr>
          <w:rFonts w:ascii="仿宋_GB2312" w:eastAsia="仿宋_GB2312"/>
          <w:sz w:val="28"/>
          <w:szCs w:val="28"/>
        </w:rPr>
        <w:t>说明</w:t>
      </w:r>
    </w:p>
    <w:p w:rsidR="005E36F0" w:rsidRDefault="007D3E61">
      <w:pPr>
        <w:tabs>
          <w:tab w:val="center" w:pos="6979"/>
        </w:tabs>
        <w:spacing w:line="580" w:lineRule="exact"/>
        <w:ind w:firstLine="570"/>
        <w:rPr>
          <w:rFonts w:ascii="仿宋_GB2312" w:eastAsia="仿宋_GB2312"/>
          <w:sz w:val="28"/>
          <w:szCs w:val="28"/>
        </w:rPr>
      </w:pPr>
      <w:r>
        <w:rPr>
          <w:rFonts w:ascii="仿宋_GB2312" w:eastAsia="仿宋_GB2312" w:hint="eastAsia"/>
          <w:sz w:val="28"/>
          <w:szCs w:val="28"/>
        </w:rPr>
        <w:t>2025年度本年收入合计</w:t>
      </w:r>
      <w:r>
        <w:rPr>
          <w:rFonts w:ascii="仿宋_GB2312" w:eastAsia="仿宋_GB2312"/>
          <w:sz w:val="28"/>
          <w:szCs w:val="28"/>
        </w:rPr>
        <w:t>35</w:t>
      </w:r>
      <w:r>
        <w:rPr>
          <w:rFonts w:ascii="仿宋_GB2312" w:eastAsia="仿宋_GB2312" w:hint="eastAsia"/>
          <w:sz w:val="28"/>
          <w:szCs w:val="28"/>
        </w:rPr>
        <w:t>,</w:t>
      </w:r>
      <w:r>
        <w:rPr>
          <w:rFonts w:ascii="仿宋_GB2312" w:eastAsia="仿宋_GB2312"/>
          <w:sz w:val="28"/>
          <w:szCs w:val="28"/>
        </w:rPr>
        <w:t>868</w:t>
      </w:r>
      <w:r>
        <w:rPr>
          <w:rFonts w:ascii="仿宋_GB2312" w:eastAsia="仿宋_GB2312" w:hint="eastAsia"/>
          <w:sz w:val="28"/>
          <w:szCs w:val="28"/>
        </w:rPr>
        <w:t>,</w:t>
      </w:r>
      <w:r>
        <w:rPr>
          <w:rFonts w:ascii="仿宋_GB2312" w:eastAsia="仿宋_GB2312"/>
          <w:sz w:val="28"/>
          <w:szCs w:val="28"/>
        </w:rPr>
        <w:t>933.31</w:t>
      </w:r>
      <w:r>
        <w:rPr>
          <w:rFonts w:ascii="仿宋_GB2312" w:eastAsia="仿宋_GB2312" w:hint="eastAsia"/>
          <w:sz w:val="28"/>
          <w:szCs w:val="28"/>
        </w:rPr>
        <w:t>元，</w:t>
      </w:r>
      <w:r>
        <w:rPr>
          <w:rFonts w:ascii="仿宋_GB2312" w:eastAsia="仿宋_GB2312"/>
          <w:sz w:val="28"/>
          <w:szCs w:val="28"/>
        </w:rPr>
        <w:t>比上年</w:t>
      </w:r>
      <w:r>
        <w:rPr>
          <w:rFonts w:ascii="仿宋_GB2312" w:eastAsia="仿宋_GB2312" w:hint="eastAsia"/>
          <w:sz w:val="28"/>
          <w:szCs w:val="28"/>
        </w:rPr>
        <w:t>减少2,668,821.01元，下降6.9%。</w:t>
      </w:r>
    </w:p>
    <w:p w:rsidR="005E36F0" w:rsidRDefault="007D3E61">
      <w:pPr>
        <w:tabs>
          <w:tab w:val="center" w:pos="6979"/>
        </w:tabs>
        <w:spacing w:line="580" w:lineRule="exact"/>
        <w:ind w:firstLineChars="200" w:firstLine="560"/>
        <w:rPr>
          <w:rFonts w:ascii="仿宋_GB2312" w:eastAsia="仿宋_GB2312"/>
          <w:sz w:val="28"/>
          <w:szCs w:val="28"/>
        </w:rPr>
      </w:pPr>
      <w:r>
        <w:rPr>
          <w:rFonts w:ascii="仿宋_GB2312" w:eastAsia="仿宋_GB2312" w:hint="eastAsia"/>
          <w:sz w:val="28"/>
          <w:szCs w:val="28"/>
        </w:rPr>
        <w:t>1.财政拨款收入</w:t>
      </w:r>
      <w:r>
        <w:rPr>
          <w:rFonts w:ascii="仿宋_GB2312" w:eastAsia="仿宋_GB2312"/>
          <w:sz w:val="28"/>
          <w:szCs w:val="28"/>
        </w:rPr>
        <w:t>35</w:t>
      </w:r>
      <w:r>
        <w:rPr>
          <w:rFonts w:ascii="仿宋_GB2312" w:eastAsia="仿宋_GB2312" w:hint="eastAsia"/>
          <w:sz w:val="28"/>
          <w:szCs w:val="28"/>
        </w:rPr>
        <w:t>,</w:t>
      </w:r>
      <w:r>
        <w:rPr>
          <w:rFonts w:ascii="仿宋_GB2312" w:eastAsia="仿宋_GB2312"/>
          <w:sz w:val="28"/>
          <w:szCs w:val="28"/>
        </w:rPr>
        <w:t>291</w:t>
      </w:r>
      <w:r>
        <w:rPr>
          <w:rFonts w:ascii="仿宋_GB2312" w:eastAsia="仿宋_GB2312" w:hint="eastAsia"/>
          <w:sz w:val="28"/>
          <w:szCs w:val="28"/>
        </w:rPr>
        <w:t>,</w:t>
      </w:r>
      <w:r>
        <w:rPr>
          <w:rFonts w:ascii="仿宋_GB2312" w:eastAsia="仿宋_GB2312"/>
          <w:sz w:val="28"/>
          <w:szCs w:val="28"/>
        </w:rPr>
        <w:t>530.67</w:t>
      </w:r>
      <w:r>
        <w:rPr>
          <w:rFonts w:ascii="仿宋_GB2312" w:eastAsia="仿宋_GB2312" w:hint="eastAsia"/>
          <w:sz w:val="28"/>
          <w:szCs w:val="28"/>
        </w:rPr>
        <w:t>元，占收入合计的98.</w:t>
      </w:r>
      <w:r w:rsidR="00C66978">
        <w:rPr>
          <w:rFonts w:ascii="仿宋_GB2312" w:eastAsia="仿宋_GB2312" w:hint="eastAsia"/>
          <w:sz w:val="28"/>
          <w:szCs w:val="28"/>
        </w:rPr>
        <w:t>4</w:t>
      </w:r>
      <w:r>
        <w:rPr>
          <w:rFonts w:ascii="仿宋_GB2312" w:eastAsia="仿宋_GB2312" w:hint="eastAsia"/>
          <w:sz w:val="28"/>
          <w:szCs w:val="28"/>
        </w:rPr>
        <w:t>%。其中：一般公共预算财政拨款收入</w:t>
      </w:r>
      <w:r>
        <w:rPr>
          <w:rFonts w:ascii="仿宋_GB2312" w:eastAsia="仿宋_GB2312"/>
          <w:sz w:val="28"/>
          <w:szCs w:val="28"/>
        </w:rPr>
        <w:t>35</w:t>
      </w:r>
      <w:r>
        <w:rPr>
          <w:rFonts w:ascii="仿宋_GB2312" w:eastAsia="仿宋_GB2312" w:hint="eastAsia"/>
          <w:sz w:val="28"/>
          <w:szCs w:val="28"/>
        </w:rPr>
        <w:t>,</w:t>
      </w:r>
      <w:r>
        <w:rPr>
          <w:rFonts w:ascii="仿宋_GB2312" w:eastAsia="仿宋_GB2312"/>
          <w:sz w:val="28"/>
          <w:szCs w:val="28"/>
        </w:rPr>
        <w:t>291</w:t>
      </w:r>
      <w:r>
        <w:rPr>
          <w:rFonts w:ascii="仿宋_GB2312" w:eastAsia="仿宋_GB2312" w:hint="eastAsia"/>
          <w:sz w:val="28"/>
          <w:szCs w:val="28"/>
        </w:rPr>
        <w:t>,</w:t>
      </w:r>
      <w:r>
        <w:rPr>
          <w:rFonts w:ascii="仿宋_GB2312" w:eastAsia="仿宋_GB2312"/>
          <w:sz w:val="28"/>
          <w:szCs w:val="28"/>
        </w:rPr>
        <w:t>530.67</w:t>
      </w:r>
      <w:r>
        <w:rPr>
          <w:rFonts w:ascii="仿宋_GB2312" w:eastAsia="仿宋_GB2312" w:hint="eastAsia"/>
          <w:sz w:val="28"/>
          <w:szCs w:val="28"/>
        </w:rPr>
        <w:t>元，占收入合计的98.</w:t>
      </w:r>
      <w:r w:rsidR="00DA02F3">
        <w:rPr>
          <w:rFonts w:ascii="仿宋_GB2312" w:eastAsia="仿宋_GB2312" w:hint="eastAsia"/>
          <w:sz w:val="28"/>
          <w:szCs w:val="28"/>
        </w:rPr>
        <w:t>4</w:t>
      </w:r>
      <w:r>
        <w:rPr>
          <w:rFonts w:ascii="仿宋_GB2312" w:eastAsia="仿宋_GB2312" w:hint="eastAsia"/>
          <w:sz w:val="28"/>
          <w:szCs w:val="28"/>
        </w:rPr>
        <w:t>%；政府性基金预算财政拨款收入</w:t>
      </w:r>
      <w:r>
        <w:rPr>
          <w:rFonts w:ascii="仿宋_GB2312" w:eastAsia="仿宋_GB2312"/>
          <w:sz w:val="28"/>
          <w:szCs w:val="28"/>
        </w:rPr>
        <w:t>0</w:t>
      </w:r>
      <w:r>
        <w:rPr>
          <w:rFonts w:ascii="仿宋_GB2312" w:eastAsia="仿宋_GB2312" w:hint="eastAsia"/>
          <w:sz w:val="28"/>
          <w:szCs w:val="28"/>
        </w:rPr>
        <w:t>元，占收入合计的0%；国有资本经营预算财政拨款收入</w:t>
      </w:r>
      <w:r>
        <w:rPr>
          <w:rFonts w:ascii="仿宋_GB2312" w:eastAsia="仿宋_GB2312"/>
          <w:sz w:val="28"/>
          <w:szCs w:val="28"/>
        </w:rPr>
        <w:t>0</w:t>
      </w:r>
      <w:r>
        <w:rPr>
          <w:rFonts w:ascii="仿宋_GB2312" w:eastAsia="仿宋_GB2312" w:hint="eastAsia"/>
          <w:sz w:val="28"/>
          <w:szCs w:val="28"/>
        </w:rPr>
        <w:t>元，占收入合计的0%；</w:t>
      </w:r>
    </w:p>
    <w:p w:rsidR="005E36F0" w:rsidRDefault="007D3E61">
      <w:pPr>
        <w:tabs>
          <w:tab w:val="center" w:pos="6979"/>
        </w:tabs>
        <w:spacing w:line="580" w:lineRule="exact"/>
        <w:ind w:firstLineChars="200" w:firstLine="560"/>
        <w:rPr>
          <w:rFonts w:ascii="仿宋_GB2312" w:eastAsia="仿宋_GB2312"/>
          <w:sz w:val="28"/>
          <w:szCs w:val="28"/>
        </w:rPr>
      </w:pPr>
      <w:r>
        <w:rPr>
          <w:rFonts w:ascii="仿宋_GB2312" w:eastAsia="仿宋_GB2312" w:hint="eastAsia"/>
          <w:sz w:val="28"/>
          <w:szCs w:val="28"/>
        </w:rPr>
        <w:t>2.上级补助收入</w:t>
      </w:r>
      <w:r>
        <w:rPr>
          <w:rFonts w:ascii="仿宋_GB2312" w:eastAsia="仿宋_GB2312"/>
          <w:sz w:val="28"/>
          <w:szCs w:val="28"/>
        </w:rPr>
        <w:t>0</w:t>
      </w:r>
      <w:r>
        <w:rPr>
          <w:rFonts w:ascii="仿宋_GB2312" w:eastAsia="仿宋_GB2312" w:hint="eastAsia"/>
          <w:sz w:val="28"/>
          <w:szCs w:val="28"/>
        </w:rPr>
        <w:t>元，占收入合计的0%；</w:t>
      </w:r>
    </w:p>
    <w:p w:rsidR="005E36F0" w:rsidRDefault="007D3E61">
      <w:pPr>
        <w:tabs>
          <w:tab w:val="center" w:pos="6979"/>
        </w:tabs>
        <w:spacing w:line="580" w:lineRule="exact"/>
        <w:ind w:firstLineChars="200" w:firstLine="560"/>
        <w:rPr>
          <w:rFonts w:ascii="仿宋_GB2312" w:eastAsia="仿宋_GB2312"/>
          <w:sz w:val="28"/>
          <w:szCs w:val="28"/>
        </w:rPr>
      </w:pPr>
      <w:r>
        <w:rPr>
          <w:rFonts w:ascii="仿宋_GB2312" w:eastAsia="仿宋_GB2312" w:hint="eastAsia"/>
          <w:sz w:val="28"/>
          <w:szCs w:val="28"/>
        </w:rPr>
        <w:t>3.事业收入</w:t>
      </w:r>
      <w:r>
        <w:rPr>
          <w:rFonts w:ascii="仿宋_GB2312" w:eastAsia="仿宋_GB2312"/>
          <w:sz w:val="28"/>
          <w:szCs w:val="28"/>
        </w:rPr>
        <w:t>0</w:t>
      </w:r>
      <w:r>
        <w:rPr>
          <w:rFonts w:ascii="仿宋_GB2312" w:eastAsia="仿宋_GB2312" w:hint="eastAsia"/>
          <w:sz w:val="28"/>
          <w:szCs w:val="28"/>
        </w:rPr>
        <w:t>元，占收入合计的0%；</w:t>
      </w:r>
    </w:p>
    <w:p w:rsidR="005E36F0" w:rsidRDefault="007D3E61">
      <w:pPr>
        <w:tabs>
          <w:tab w:val="center" w:pos="6979"/>
        </w:tabs>
        <w:spacing w:line="580" w:lineRule="exact"/>
        <w:ind w:firstLineChars="200" w:firstLine="560"/>
        <w:rPr>
          <w:rFonts w:ascii="仿宋_GB2312" w:eastAsia="仿宋_GB2312"/>
          <w:sz w:val="28"/>
          <w:szCs w:val="28"/>
        </w:rPr>
      </w:pPr>
      <w:r>
        <w:rPr>
          <w:rFonts w:ascii="仿宋_GB2312" w:eastAsia="仿宋_GB2312" w:hint="eastAsia"/>
          <w:sz w:val="28"/>
          <w:szCs w:val="28"/>
        </w:rPr>
        <w:t>4.经营收入</w:t>
      </w:r>
      <w:r>
        <w:rPr>
          <w:rFonts w:ascii="仿宋_GB2312" w:eastAsia="仿宋_GB2312"/>
          <w:sz w:val="28"/>
          <w:szCs w:val="28"/>
        </w:rPr>
        <w:t>0</w:t>
      </w:r>
      <w:r>
        <w:rPr>
          <w:rFonts w:ascii="仿宋_GB2312" w:eastAsia="仿宋_GB2312" w:hint="eastAsia"/>
          <w:sz w:val="28"/>
          <w:szCs w:val="28"/>
        </w:rPr>
        <w:t>元，占收入合计的0%；</w:t>
      </w:r>
    </w:p>
    <w:p w:rsidR="005E36F0" w:rsidRDefault="007D3E61">
      <w:pPr>
        <w:tabs>
          <w:tab w:val="center" w:pos="6979"/>
        </w:tabs>
        <w:spacing w:line="580" w:lineRule="exact"/>
        <w:ind w:firstLineChars="200" w:firstLine="560"/>
        <w:rPr>
          <w:rFonts w:ascii="仿宋_GB2312" w:eastAsia="仿宋_GB2312"/>
          <w:sz w:val="28"/>
          <w:szCs w:val="28"/>
        </w:rPr>
      </w:pPr>
      <w:r>
        <w:rPr>
          <w:rFonts w:ascii="仿宋_GB2312" w:eastAsia="仿宋_GB2312" w:hint="eastAsia"/>
          <w:sz w:val="28"/>
          <w:szCs w:val="28"/>
        </w:rPr>
        <w:t>5.附属单位上缴收入</w:t>
      </w:r>
      <w:r>
        <w:rPr>
          <w:rFonts w:ascii="仿宋_GB2312" w:eastAsia="仿宋_GB2312"/>
          <w:sz w:val="28"/>
          <w:szCs w:val="28"/>
        </w:rPr>
        <w:t>0</w:t>
      </w:r>
      <w:r>
        <w:rPr>
          <w:rFonts w:ascii="仿宋_GB2312" w:eastAsia="仿宋_GB2312" w:hint="eastAsia"/>
          <w:sz w:val="28"/>
          <w:szCs w:val="28"/>
        </w:rPr>
        <w:t>元，占收入合计的0%；</w:t>
      </w:r>
    </w:p>
    <w:p w:rsidR="005E36F0" w:rsidRDefault="007D3E61">
      <w:pPr>
        <w:tabs>
          <w:tab w:val="center" w:pos="6979"/>
        </w:tabs>
        <w:spacing w:line="580" w:lineRule="exact"/>
        <w:ind w:firstLineChars="200" w:firstLine="560"/>
        <w:rPr>
          <w:rFonts w:ascii="仿宋_GB2312" w:eastAsia="仿宋_GB2312"/>
          <w:sz w:val="28"/>
          <w:szCs w:val="28"/>
        </w:rPr>
      </w:pPr>
      <w:r>
        <w:rPr>
          <w:rFonts w:ascii="仿宋_GB2312" w:eastAsia="仿宋_GB2312" w:hint="eastAsia"/>
          <w:sz w:val="28"/>
          <w:szCs w:val="28"/>
        </w:rPr>
        <w:t>6.其他收入</w:t>
      </w:r>
      <w:r>
        <w:rPr>
          <w:rFonts w:ascii="仿宋_GB2312" w:eastAsia="仿宋_GB2312"/>
          <w:sz w:val="28"/>
          <w:szCs w:val="28"/>
        </w:rPr>
        <w:t>577</w:t>
      </w:r>
      <w:r>
        <w:rPr>
          <w:rFonts w:ascii="仿宋_GB2312" w:eastAsia="仿宋_GB2312" w:hint="eastAsia"/>
          <w:sz w:val="28"/>
          <w:szCs w:val="28"/>
        </w:rPr>
        <w:t>,</w:t>
      </w:r>
      <w:r>
        <w:rPr>
          <w:rFonts w:ascii="仿宋_GB2312" w:eastAsia="仿宋_GB2312"/>
          <w:sz w:val="28"/>
          <w:szCs w:val="28"/>
        </w:rPr>
        <w:t>402.64</w:t>
      </w:r>
      <w:r>
        <w:rPr>
          <w:rFonts w:ascii="仿宋_GB2312" w:eastAsia="仿宋_GB2312" w:hint="eastAsia"/>
          <w:sz w:val="28"/>
          <w:szCs w:val="28"/>
        </w:rPr>
        <w:t>元，占收入合计的1.6%。</w:t>
      </w:r>
    </w:p>
    <w:p w:rsidR="005E36F0" w:rsidRDefault="005E36F0">
      <w:pPr>
        <w:spacing w:line="560" w:lineRule="exact"/>
        <w:ind w:firstLine="640"/>
        <w:rPr>
          <w:rFonts w:ascii="仿宋_GB2312" w:eastAsia="仿宋_GB2312" w:cs="Droid Sans"/>
          <w:color w:val="000000"/>
          <w:sz w:val="32"/>
          <w:szCs w:val="32"/>
        </w:rPr>
      </w:pPr>
    </w:p>
    <w:p w:rsidR="005E36F0" w:rsidRDefault="007D3E61">
      <w:pPr>
        <w:pStyle w:val="2"/>
        <w:jc w:val="center"/>
      </w:pPr>
      <w:r>
        <w:rPr>
          <w:rFonts w:ascii="仿宋_GB2312" w:eastAsia="仿宋_GB2312" w:hint="eastAsia"/>
          <w:color w:val="000000"/>
          <w:sz w:val="32"/>
        </w:rPr>
        <w:lastRenderedPageBreak/>
        <w:t>图1：收入决算</w:t>
      </w:r>
    </w:p>
    <w:p w:rsidR="005E36F0" w:rsidRDefault="007D3E61">
      <w:pPr>
        <w:pStyle w:val="a3"/>
        <w:ind w:firstLine="420"/>
        <w:jc w:val="center"/>
      </w:pPr>
      <w:r>
        <w:rPr>
          <w:noProof/>
        </w:rPr>
        <w:drawing>
          <wp:inline distT="0" distB="0" distL="0" distR="0">
            <wp:extent cx="4036695" cy="2328545"/>
            <wp:effectExtent l="0" t="0" r="20955" b="1460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E36F0" w:rsidRDefault="007D3E61">
      <w:pPr>
        <w:tabs>
          <w:tab w:val="center" w:pos="6979"/>
        </w:tabs>
        <w:spacing w:line="580" w:lineRule="exact"/>
        <w:ind w:firstLine="570"/>
        <w:rPr>
          <w:rFonts w:ascii="仿宋_GB2312" w:eastAsia="仿宋_GB2312"/>
          <w:sz w:val="28"/>
          <w:szCs w:val="28"/>
        </w:rPr>
      </w:pPr>
      <w:r>
        <w:rPr>
          <w:rFonts w:ascii="仿宋_GB2312" w:eastAsia="仿宋_GB2312" w:hint="eastAsia"/>
          <w:sz w:val="28"/>
          <w:szCs w:val="28"/>
        </w:rPr>
        <w:t>（二</w:t>
      </w:r>
      <w:r>
        <w:rPr>
          <w:rFonts w:ascii="仿宋_GB2312" w:eastAsia="仿宋_GB2312"/>
          <w:sz w:val="28"/>
          <w:szCs w:val="28"/>
        </w:rPr>
        <w:t>）</w:t>
      </w:r>
      <w:r>
        <w:rPr>
          <w:rFonts w:ascii="仿宋_GB2312" w:eastAsia="仿宋_GB2312" w:hint="eastAsia"/>
          <w:sz w:val="28"/>
          <w:szCs w:val="28"/>
        </w:rPr>
        <w:t>支出决算</w:t>
      </w:r>
      <w:r>
        <w:rPr>
          <w:rFonts w:ascii="仿宋_GB2312" w:eastAsia="仿宋_GB2312"/>
          <w:sz w:val="28"/>
          <w:szCs w:val="28"/>
        </w:rPr>
        <w:t>说明</w:t>
      </w:r>
    </w:p>
    <w:p w:rsidR="005E36F0" w:rsidRDefault="007D3E61">
      <w:pPr>
        <w:tabs>
          <w:tab w:val="center" w:pos="6979"/>
        </w:tabs>
        <w:spacing w:line="580" w:lineRule="exact"/>
        <w:ind w:firstLine="570"/>
        <w:rPr>
          <w:rFonts w:ascii="仿宋_GB2312" w:eastAsia="仿宋_GB2312"/>
          <w:sz w:val="28"/>
          <w:szCs w:val="28"/>
        </w:rPr>
      </w:pPr>
      <w:r>
        <w:rPr>
          <w:rFonts w:ascii="仿宋_GB2312" w:eastAsia="仿宋_GB2312" w:hint="eastAsia"/>
          <w:sz w:val="28"/>
          <w:szCs w:val="28"/>
        </w:rPr>
        <w:t>2025年度本年支出合计</w:t>
      </w:r>
      <w:r>
        <w:rPr>
          <w:rFonts w:ascii="仿宋_GB2312" w:eastAsia="仿宋_GB2312"/>
          <w:sz w:val="28"/>
          <w:szCs w:val="28"/>
        </w:rPr>
        <w:t>37</w:t>
      </w:r>
      <w:r>
        <w:rPr>
          <w:rFonts w:ascii="仿宋_GB2312" w:eastAsia="仿宋_GB2312" w:hint="eastAsia"/>
          <w:sz w:val="28"/>
          <w:szCs w:val="28"/>
        </w:rPr>
        <w:t>,</w:t>
      </w:r>
      <w:r>
        <w:rPr>
          <w:rFonts w:ascii="仿宋_GB2312" w:eastAsia="仿宋_GB2312"/>
          <w:sz w:val="28"/>
          <w:szCs w:val="28"/>
        </w:rPr>
        <w:t>854</w:t>
      </w:r>
      <w:r>
        <w:rPr>
          <w:rFonts w:ascii="仿宋_GB2312" w:eastAsia="仿宋_GB2312" w:hint="eastAsia"/>
          <w:sz w:val="28"/>
          <w:szCs w:val="28"/>
        </w:rPr>
        <w:t>,</w:t>
      </w:r>
      <w:r>
        <w:rPr>
          <w:rFonts w:ascii="仿宋_GB2312" w:eastAsia="仿宋_GB2312"/>
          <w:sz w:val="28"/>
          <w:szCs w:val="28"/>
        </w:rPr>
        <w:t>400.92</w:t>
      </w:r>
      <w:r>
        <w:rPr>
          <w:rFonts w:ascii="仿宋_GB2312" w:eastAsia="仿宋_GB2312" w:hint="eastAsia"/>
          <w:sz w:val="28"/>
          <w:szCs w:val="28"/>
        </w:rPr>
        <w:t>元，</w:t>
      </w:r>
      <w:r>
        <w:rPr>
          <w:rFonts w:ascii="仿宋_GB2312" w:eastAsia="仿宋_GB2312"/>
          <w:sz w:val="28"/>
          <w:szCs w:val="28"/>
        </w:rPr>
        <w:t>比上年</w:t>
      </w:r>
      <w:r>
        <w:rPr>
          <w:rFonts w:ascii="仿宋_GB2312" w:eastAsia="仿宋_GB2312" w:hint="eastAsia"/>
          <w:sz w:val="28"/>
          <w:szCs w:val="28"/>
        </w:rPr>
        <w:t>减少5,450,168.73元，下降12.</w:t>
      </w:r>
      <w:r w:rsidR="005A1D3F">
        <w:rPr>
          <w:rFonts w:ascii="仿宋_GB2312" w:eastAsia="仿宋_GB2312" w:hint="eastAsia"/>
          <w:sz w:val="28"/>
          <w:szCs w:val="28"/>
        </w:rPr>
        <w:t>6</w:t>
      </w:r>
      <w:r>
        <w:rPr>
          <w:rFonts w:ascii="仿宋_GB2312" w:eastAsia="仿宋_GB2312" w:hint="eastAsia"/>
          <w:sz w:val="28"/>
          <w:szCs w:val="28"/>
        </w:rPr>
        <w:t>%，其中：基本支出</w:t>
      </w:r>
      <w:r>
        <w:rPr>
          <w:rFonts w:ascii="仿宋_GB2312" w:eastAsia="仿宋_GB2312"/>
          <w:sz w:val="28"/>
          <w:szCs w:val="28"/>
        </w:rPr>
        <w:t>17</w:t>
      </w:r>
      <w:r>
        <w:rPr>
          <w:rFonts w:ascii="仿宋_GB2312" w:eastAsia="仿宋_GB2312" w:hint="eastAsia"/>
          <w:sz w:val="28"/>
          <w:szCs w:val="28"/>
        </w:rPr>
        <w:t>,</w:t>
      </w:r>
      <w:r>
        <w:rPr>
          <w:rFonts w:ascii="仿宋_GB2312" w:eastAsia="仿宋_GB2312"/>
          <w:sz w:val="28"/>
          <w:szCs w:val="28"/>
        </w:rPr>
        <w:t>221</w:t>
      </w:r>
      <w:r>
        <w:rPr>
          <w:rFonts w:ascii="仿宋_GB2312" w:eastAsia="仿宋_GB2312" w:hint="eastAsia"/>
          <w:sz w:val="28"/>
          <w:szCs w:val="28"/>
        </w:rPr>
        <w:t>,</w:t>
      </w:r>
      <w:r>
        <w:rPr>
          <w:rFonts w:ascii="仿宋_GB2312" w:eastAsia="仿宋_GB2312"/>
          <w:sz w:val="28"/>
          <w:szCs w:val="28"/>
        </w:rPr>
        <w:t>524.64</w:t>
      </w:r>
      <w:r>
        <w:rPr>
          <w:rFonts w:ascii="仿宋_GB2312" w:eastAsia="仿宋_GB2312" w:hint="eastAsia"/>
          <w:sz w:val="28"/>
          <w:szCs w:val="28"/>
        </w:rPr>
        <w:t>元，占支出合计的45.</w:t>
      </w:r>
      <w:r w:rsidR="005A1D3F">
        <w:rPr>
          <w:rFonts w:ascii="仿宋_GB2312" w:eastAsia="仿宋_GB2312" w:hint="eastAsia"/>
          <w:sz w:val="28"/>
          <w:szCs w:val="28"/>
        </w:rPr>
        <w:t>5</w:t>
      </w:r>
      <w:r>
        <w:rPr>
          <w:rFonts w:ascii="仿宋_GB2312" w:eastAsia="仿宋_GB2312" w:hint="eastAsia"/>
          <w:sz w:val="28"/>
          <w:szCs w:val="28"/>
        </w:rPr>
        <w:t>%；项目支出</w:t>
      </w:r>
      <w:r>
        <w:rPr>
          <w:rFonts w:ascii="仿宋_GB2312" w:eastAsia="仿宋_GB2312"/>
          <w:sz w:val="28"/>
          <w:szCs w:val="28"/>
        </w:rPr>
        <w:t>20</w:t>
      </w:r>
      <w:r>
        <w:rPr>
          <w:rFonts w:ascii="仿宋_GB2312" w:eastAsia="仿宋_GB2312" w:hint="eastAsia"/>
          <w:sz w:val="28"/>
          <w:szCs w:val="28"/>
        </w:rPr>
        <w:t>,</w:t>
      </w:r>
      <w:r>
        <w:rPr>
          <w:rFonts w:ascii="仿宋_GB2312" w:eastAsia="仿宋_GB2312"/>
          <w:sz w:val="28"/>
          <w:szCs w:val="28"/>
        </w:rPr>
        <w:t>632</w:t>
      </w:r>
      <w:r>
        <w:rPr>
          <w:rFonts w:ascii="仿宋_GB2312" w:eastAsia="仿宋_GB2312" w:hint="eastAsia"/>
          <w:sz w:val="28"/>
          <w:szCs w:val="28"/>
        </w:rPr>
        <w:t>,</w:t>
      </w:r>
      <w:r>
        <w:rPr>
          <w:rFonts w:ascii="仿宋_GB2312" w:eastAsia="仿宋_GB2312"/>
          <w:sz w:val="28"/>
          <w:szCs w:val="28"/>
        </w:rPr>
        <w:t>876.28</w:t>
      </w:r>
      <w:r>
        <w:rPr>
          <w:rFonts w:ascii="仿宋_GB2312" w:eastAsia="仿宋_GB2312" w:hint="eastAsia"/>
          <w:sz w:val="28"/>
          <w:szCs w:val="28"/>
        </w:rPr>
        <w:t>元，占支出合计的54.5%;上缴上级支出</w:t>
      </w:r>
      <w:r>
        <w:rPr>
          <w:rFonts w:ascii="仿宋_GB2312" w:eastAsia="仿宋_GB2312"/>
          <w:sz w:val="28"/>
          <w:szCs w:val="28"/>
        </w:rPr>
        <w:t>0</w:t>
      </w:r>
      <w:r>
        <w:rPr>
          <w:rFonts w:ascii="仿宋_GB2312" w:eastAsia="仿宋_GB2312" w:hint="eastAsia"/>
          <w:sz w:val="28"/>
          <w:szCs w:val="28"/>
        </w:rPr>
        <w:t>元，占支出合计的0%；经营支出</w:t>
      </w:r>
      <w:r>
        <w:rPr>
          <w:rFonts w:ascii="仿宋_GB2312" w:eastAsia="仿宋_GB2312"/>
          <w:sz w:val="28"/>
          <w:szCs w:val="28"/>
        </w:rPr>
        <w:t>0</w:t>
      </w:r>
      <w:r>
        <w:rPr>
          <w:rFonts w:ascii="仿宋_GB2312" w:eastAsia="仿宋_GB2312" w:hint="eastAsia"/>
          <w:sz w:val="28"/>
          <w:szCs w:val="28"/>
        </w:rPr>
        <w:t>元，占支出合计的0%；对附属单位补助支出</w:t>
      </w:r>
      <w:r>
        <w:rPr>
          <w:rFonts w:ascii="仿宋_GB2312" w:eastAsia="仿宋_GB2312"/>
          <w:sz w:val="28"/>
          <w:szCs w:val="28"/>
        </w:rPr>
        <w:t>0</w:t>
      </w:r>
      <w:r>
        <w:rPr>
          <w:rFonts w:ascii="仿宋_GB2312" w:eastAsia="仿宋_GB2312" w:hint="eastAsia"/>
          <w:sz w:val="28"/>
          <w:szCs w:val="28"/>
        </w:rPr>
        <w:t>元，占支出合计的0%。</w:t>
      </w:r>
    </w:p>
    <w:p w:rsidR="005E36F0" w:rsidRDefault="007D3E61" w:rsidP="00431DD9">
      <w:pPr>
        <w:pStyle w:val="2"/>
        <w:ind w:firstLineChars="1804" w:firstLine="5795"/>
        <w:rPr>
          <w:rFonts w:ascii="仿宋_GB2312" w:eastAsia="仿宋_GB2312"/>
          <w:color w:val="000000"/>
          <w:sz w:val="32"/>
        </w:rPr>
      </w:pPr>
      <w:r>
        <w:rPr>
          <w:rFonts w:ascii="仿宋_GB2312" w:eastAsia="仿宋_GB2312" w:hint="eastAsia"/>
          <w:color w:val="000000"/>
          <w:sz w:val="32"/>
        </w:rPr>
        <w:lastRenderedPageBreak/>
        <w:t>图2：支出决算</w:t>
      </w:r>
    </w:p>
    <w:p w:rsidR="005E36F0" w:rsidRDefault="007D3E61">
      <w:pPr>
        <w:jc w:val="center"/>
        <w:rPr>
          <w:rFonts w:ascii="黑体" w:eastAsia="黑体"/>
          <w:b/>
          <w:sz w:val="28"/>
          <w:szCs w:val="28"/>
        </w:rPr>
      </w:pPr>
      <w:r>
        <w:rPr>
          <w:noProof/>
        </w:rPr>
        <w:drawing>
          <wp:inline distT="0" distB="0" distL="114300" distR="114300">
            <wp:extent cx="4572000" cy="2743200"/>
            <wp:effectExtent l="4445" t="4445" r="14605" b="14605"/>
            <wp:docPr id="1" name="图表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E36F0" w:rsidRDefault="007D3E61" w:rsidP="00431DD9">
      <w:pPr>
        <w:tabs>
          <w:tab w:val="center" w:pos="6979"/>
        </w:tabs>
        <w:spacing w:line="580" w:lineRule="exact"/>
        <w:ind w:firstLineChars="196" w:firstLine="551"/>
        <w:rPr>
          <w:rFonts w:ascii="黑体" w:eastAsia="黑体"/>
          <w:b/>
          <w:sz w:val="28"/>
          <w:szCs w:val="28"/>
        </w:rPr>
      </w:pPr>
      <w:r>
        <w:rPr>
          <w:rFonts w:ascii="黑体" w:eastAsia="黑体" w:hint="eastAsia"/>
          <w:b/>
          <w:sz w:val="28"/>
          <w:szCs w:val="28"/>
        </w:rPr>
        <w:t>三</w:t>
      </w:r>
      <w:r>
        <w:rPr>
          <w:rFonts w:ascii="黑体" w:eastAsia="黑体"/>
          <w:b/>
          <w:sz w:val="28"/>
          <w:szCs w:val="28"/>
        </w:rPr>
        <w:t>、财政拨款</w:t>
      </w:r>
      <w:r>
        <w:rPr>
          <w:rFonts w:ascii="黑体" w:eastAsia="黑体" w:hint="eastAsia"/>
          <w:b/>
          <w:sz w:val="28"/>
          <w:szCs w:val="28"/>
        </w:rPr>
        <w:t>收入支出决算</w:t>
      </w:r>
      <w:r>
        <w:rPr>
          <w:rFonts w:ascii="黑体" w:eastAsia="黑体"/>
          <w:b/>
          <w:sz w:val="28"/>
          <w:szCs w:val="28"/>
        </w:rPr>
        <w:t>总体情况说明</w:t>
      </w:r>
    </w:p>
    <w:p w:rsidR="005E36F0" w:rsidRDefault="007D3E61">
      <w:pPr>
        <w:tabs>
          <w:tab w:val="center" w:pos="6979"/>
        </w:tabs>
        <w:spacing w:line="580" w:lineRule="exact"/>
        <w:ind w:firstLine="570"/>
        <w:rPr>
          <w:rFonts w:ascii="仿宋_GB2312" w:eastAsia="仿宋_GB2312"/>
          <w:sz w:val="28"/>
          <w:szCs w:val="28"/>
          <w:highlight w:val="yellow"/>
        </w:rPr>
      </w:pPr>
      <w:r>
        <w:rPr>
          <w:rFonts w:ascii="仿宋_GB2312" w:eastAsia="仿宋_GB2312" w:hint="eastAsia"/>
          <w:sz w:val="28"/>
          <w:szCs w:val="28"/>
        </w:rPr>
        <w:t>2025年度财政拨款收、</w:t>
      </w:r>
      <w:r>
        <w:rPr>
          <w:rFonts w:ascii="仿宋_GB2312" w:eastAsia="仿宋_GB2312"/>
          <w:sz w:val="28"/>
          <w:szCs w:val="28"/>
        </w:rPr>
        <w:t>支</w:t>
      </w:r>
      <w:r>
        <w:rPr>
          <w:rFonts w:ascii="仿宋_GB2312" w:eastAsia="仿宋_GB2312" w:hint="eastAsia"/>
          <w:sz w:val="28"/>
          <w:szCs w:val="28"/>
        </w:rPr>
        <w:t>总计</w:t>
      </w:r>
      <w:r>
        <w:rPr>
          <w:rFonts w:ascii="仿宋_GB2312" w:eastAsia="仿宋_GB2312"/>
          <w:sz w:val="28"/>
          <w:szCs w:val="28"/>
        </w:rPr>
        <w:t>35</w:t>
      </w:r>
      <w:r>
        <w:rPr>
          <w:rFonts w:ascii="仿宋_GB2312" w:eastAsia="仿宋_GB2312" w:hint="eastAsia"/>
          <w:sz w:val="28"/>
          <w:szCs w:val="28"/>
        </w:rPr>
        <w:t>,</w:t>
      </w:r>
      <w:r>
        <w:rPr>
          <w:rFonts w:ascii="仿宋_GB2312" w:eastAsia="仿宋_GB2312"/>
          <w:sz w:val="28"/>
          <w:szCs w:val="28"/>
        </w:rPr>
        <w:t>291</w:t>
      </w:r>
      <w:r>
        <w:rPr>
          <w:rFonts w:ascii="仿宋_GB2312" w:eastAsia="仿宋_GB2312" w:hint="eastAsia"/>
          <w:sz w:val="28"/>
          <w:szCs w:val="28"/>
        </w:rPr>
        <w:t>,</w:t>
      </w:r>
      <w:r>
        <w:rPr>
          <w:rFonts w:ascii="仿宋_GB2312" w:eastAsia="仿宋_GB2312"/>
          <w:sz w:val="28"/>
          <w:szCs w:val="28"/>
        </w:rPr>
        <w:t>530.67</w:t>
      </w:r>
      <w:r>
        <w:rPr>
          <w:rFonts w:ascii="仿宋_GB2312" w:eastAsia="仿宋_GB2312" w:hint="eastAsia"/>
          <w:sz w:val="28"/>
          <w:szCs w:val="28"/>
        </w:rPr>
        <w:t>元，比上年减少3,294,505.64元，下降8.5%。主要原因：</w:t>
      </w:r>
      <w:r>
        <w:rPr>
          <w:rFonts w:ascii="仿宋_GB2312" w:eastAsia="仿宋_GB2312" w:hAnsi="Calibri" w:cs="仿宋_GB2312" w:hint="eastAsia"/>
          <w:sz w:val="28"/>
          <w:szCs w:val="28"/>
        </w:rPr>
        <w:t>落实习惯过紧日子要求，减少非急需非刚性支出。</w:t>
      </w:r>
    </w:p>
    <w:p w:rsidR="005E36F0" w:rsidRDefault="007D3E61" w:rsidP="00431DD9">
      <w:pPr>
        <w:tabs>
          <w:tab w:val="center" w:pos="6979"/>
        </w:tabs>
        <w:spacing w:line="580" w:lineRule="exact"/>
        <w:ind w:firstLineChars="196" w:firstLine="551"/>
        <w:rPr>
          <w:rFonts w:ascii="黑体" w:eastAsia="黑体"/>
          <w:b/>
          <w:sz w:val="28"/>
          <w:szCs w:val="28"/>
        </w:rPr>
      </w:pPr>
      <w:r>
        <w:rPr>
          <w:rFonts w:ascii="黑体" w:eastAsia="黑体" w:hint="eastAsia"/>
          <w:b/>
          <w:sz w:val="28"/>
          <w:szCs w:val="28"/>
        </w:rPr>
        <w:t>四、一般公共预算财政拨款支出决算情况说明</w:t>
      </w:r>
    </w:p>
    <w:p w:rsidR="005E36F0" w:rsidRDefault="007D3E61">
      <w:pPr>
        <w:autoSpaceDE w:val="0"/>
        <w:autoSpaceDN w:val="0"/>
        <w:adjustRightInd w:val="0"/>
        <w:spacing w:line="580" w:lineRule="exact"/>
        <w:ind w:firstLineChars="200" w:firstLine="560"/>
        <w:jc w:val="left"/>
        <w:rPr>
          <w:rFonts w:ascii="仿宋_GB2312" w:eastAsia="仿宋_GB2312"/>
          <w:sz w:val="28"/>
          <w:szCs w:val="28"/>
        </w:rPr>
      </w:pPr>
      <w:r>
        <w:rPr>
          <w:rFonts w:ascii="仿宋_GB2312" w:eastAsia="仿宋_GB2312" w:hint="eastAsia"/>
          <w:sz w:val="28"/>
          <w:szCs w:val="28"/>
        </w:rPr>
        <w:t>（一）一般公共预算财政拨款支出决算总体情况</w:t>
      </w:r>
    </w:p>
    <w:p w:rsidR="005E36F0" w:rsidRDefault="007D3E61">
      <w:pPr>
        <w:tabs>
          <w:tab w:val="center" w:pos="6979"/>
        </w:tabs>
        <w:spacing w:line="520" w:lineRule="exact"/>
        <w:ind w:firstLineChars="200" w:firstLine="560"/>
        <w:rPr>
          <w:rFonts w:ascii="仿宋_GB2312" w:eastAsia="仿宋_GB2312" w:cs="仿宋_GB2312"/>
          <w:sz w:val="28"/>
          <w:szCs w:val="28"/>
        </w:rPr>
      </w:pPr>
      <w:r>
        <w:rPr>
          <w:rFonts w:ascii="仿宋_GB2312" w:eastAsia="仿宋_GB2312" w:hint="eastAsia"/>
          <w:sz w:val="28"/>
          <w:szCs w:val="28"/>
        </w:rPr>
        <w:t>2025年度一般公共预算财政拨款支出</w:t>
      </w:r>
      <w:r>
        <w:rPr>
          <w:rFonts w:ascii="仿宋_GB2312" w:eastAsia="仿宋_GB2312"/>
          <w:sz w:val="28"/>
          <w:szCs w:val="28"/>
        </w:rPr>
        <w:t>35</w:t>
      </w:r>
      <w:r>
        <w:rPr>
          <w:rFonts w:ascii="仿宋_GB2312" w:eastAsia="仿宋_GB2312" w:hint="eastAsia"/>
          <w:sz w:val="28"/>
          <w:szCs w:val="28"/>
        </w:rPr>
        <w:t>,</w:t>
      </w:r>
      <w:r>
        <w:rPr>
          <w:rFonts w:ascii="仿宋_GB2312" w:eastAsia="仿宋_GB2312"/>
          <w:sz w:val="28"/>
          <w:szCs w:val="28"/>
        </w:rPr>
        <w:t>291</w:t>
      </w:r>
      <w:r>
        <w:rPr>
          <w:rFonts w:ascii="仿宋_GB2312" w:eastAsia="仿宋_GB2312" w:hint="eastAsia"/>
          <w:sz w:val="28"/>
          <w:szCs w:val="28"/>
        </w:rPr>
        <w:t>,</w:t>
      </w:r>
      <w:r>
        <w:rPr>
          <w:rFonts w:ascii="仿宋_GB2312" w:eastAsia="仿宋_GB2312"/>
          <w:sz w:val="28"/>
          <w:szCs w:val="28"/>
        </w:rPr>
        <w:t>530.67</w:t>
      </w:r>
      <w:r>
        <w:rPr>
          <w:rFonts w:ascii="仿宋_GB2312" w:eastAsia="仿宋_GB2312" w:hint="eastAsia"/>
          <w:sz w:val="28"/>
          <w:szCs w:val="28"/>
        </w:rPr>
        <w:t>元，主要用于以下方面（按大类）：</w:t>
      </w:r>
      <w:r>
        <w:rPr>
          <w:rFonts w:ascii="仿宋_GB2312" w:eastAsia="仿宋_GB2312" w:hAnsi="Calibri" w:cs="仿宋_GB2312" w:hint="eastAsia"/>
          <w:sz w:val="28"/>
          <w:szCs w:val="28"/>
        </w:rPr>
        <w:t>科学技术支出34,779,014.67元，占本年财政拨款支出98.5%；社会保障和就业支出503,736元，占本年财政拨款支出1.4%；资源勘探工业信息等支</w:t>
      </w:r>
      <w:r>
        <w:rPr>
          <w:rFonts w:ascii="仿宋_GB2312" w:eastAsia="仿宋_GB2312" w:hAnsi="Calibri" w:cs="仿宋_GB2312" w:hint="eastAsia"/>
          <w:sz w:val="28"/>
          <w:szCs w:val="28"/>
        </w:rPr>
        <w:lastRenderedPageBreak/>
        <w:t>出8,780元，占本年财政拨款支出0.</w:t>
      </w:r>
      <w:r w:rsidR="005A1D3F">
        <w:rPr>
          <w:rFonts w:ascii="仿宋_GB2312" w:eastAsia="仿宋_GB2312" w:hAnsi="Calibri" w:cs="仿宋_GB2312" w:hint="eastAsia"/>
          <w:sz w:val="28"/>
          <w:szCs w:val="28"/>
        </w:rPr>
        <w:t>1</w:t>
      </w:r>
      <w:r>
        <w:rPr>
          <w:rFonts w:ascii="仿宋_GB2312" w:eastAsia="仿宋_GB2312" w:hAnsi="Calibri" w:cs="仿宋_GB2312" w:hint="eastAsia"/>
          <w:sz w:val="28"/>
          <w:szCs w:val="28"/>
        </w:rPr>
        <w:t>%。</w:t>
      </w:r>
    </w:p>
    <w:p w:rsidR="005E36F0" w:rsidRDefault="007D3E61">
      <w:pPr>
        <w:autoSpaceDE w:val="0"/>
        <w:autoSpaceDN w:val="0"/>
        <w:adjustRightInd w:val="0"/>
        <w:spacing w:line="580" w:lineRule="exact"/>
        <w:ind w:firstLineChars="200" w:firstLine="560"/>
        <w:jc w:val="left"/>
        <w:rPr>
          <w:rFonts w:ascii="仿宋_GB2312" w:eastAsia="仿宋_GB2312"/>
          <w:sz w:val="28"/>
          <w:szCs w:val="28"/>
        </w:rPr>
      </w:pPr>
      <w:r>
        <w:rPr>
          <w:rFonts w:ascii="仿宋_GB2312" w:eastAsia="仿宋_GB2312" w:hint="eastAsia"/>
          <w:sz w:val="28"/>
          <w:szCs w:val="28"/>
        </w:rPr>
        <w:t>（二）一般公共预算财政拨款支出决算具体情况</w:t>
      </w:r>
    </w:p>
    <w:p w:rsidR="005E36F0" w:rsidRDefault="007D3E61">
      <w:pPr>
        <w:tabs>
          <w:tab w:val="center" w:pos="6979"/>
        </w:tabs>
        <w:spacing w:line="520" w:lineRule="exact"/>
        <w:ind w:firstLineChars="200" w:firstLine="560"/>
        <w:rPr>
          <w:rFonts w:ascii="仿宋_GB2312" w:eastAsia="仿宋_GB2312" w:cs="仿宋_GB2312"/>
          <w:sz w:val="28"/>
          <w:szCs w:val="28"/>
        </w:rPr>
      </w:pPr>
      <w:r>
        <w:rPr>
          <w:rFonts w:ascii="仿宋_GB2312" w:eastAsia="仿宋_GB2312" w:hAnsi="Calibri" w:cs="仿宋_GB2312" w:hint="eastAsia"/>
          <w:sz w:val="28"/>
          <w:szCs w:val="28"/>
        </w:rPr>
        <w:t>1、“科学技术支出”（类）2025年年初预算19,574,168.48元,2025年度决算34,779,014.67元，</w:t>
      </w:r>
      <w:r>
        <w:rPr>
          <w:rFonts w:ascii="仿宋_GB2312" w:eastAsia="仿宋_GB2312" w:hint="eastAsia"/>
          <w:sz w:val="28"/>
          <w:szCs w:val="28"/>
        </w:rPr>
        <w:t>完成年初预算的177.</w:t>
      </w:r>
      <w:r w:rsidR="005A1D3F">
        <w:rPr>
          <w:rFonts w:ascii="仿宋_GB2312" w:eastAsia="仿宋_GB2312" w:hint="eastAsia"/>
          <w:sz w:val="28"/>
          <w:szCs w:val="28"/>
        </w:rPr>
        <w:t>7</w:t>
      </w:r>
      <w:r>
        <w:rPr>
          <w:rFonts w:ascii="仿宋_GB2312" w:eastAsia="仿宋_GB2312" w:hint="eastAsia"/>
          <w:sz w:val="28"/>
          <w:szCs w:val="28"/>
        </w:rPr>
        <w:t>%</w:t>
      </w:r>
      <w:r>
        <w:rPr>
          <w:rFonts w:ascii="仿宋_GB2312" w:eastAsia="仿宋_GB2312" w:hAnsi="Calibri" w:cs="仿宋_GB2312" w:hint="eastAsia"/>
          <w:sz w:val="28"/>
          <w:szCs w:val="28"/>
        </w:rPr>
        <w:t>。其中：</w:t>
      </w:r>
    </w:p>
    <w:p w:rsidR="005E36F0" w:rsidRDefault="007D3E61">
      <w:pPr>
        <w:tabs>
          <w:tab w:val="center" w:pos="6979"/>
        </w:tabs>
        <w:spacing w:line="520" w:lineRule="exact"/>
        <w:ind w:firstLineChars="200" w:firstLine="560"/>
        <w:rPr>
          <w:rFonts w:ascii="仿宋_GB2312" w:eastAsia="仿宋_GB2312" w:cs="仿宋_GB2312"/>
          <w:sz w:val="28"/>
          <w:szCs w:val="28"/>
        </w:rPr>
      </w:pPr>
      <w:r>
        <w:rPr>
          <w:rFonts w:ascii="仿宋_GB2312" w:eastAsia="仿宋_GB2312" w:hAnsi="Calibri" w:cs="仿宋_GB2312" w:hint="eastAsia"/>
          <w:sz w:val="28"/>
          <w:szCs w:val="28"/>
        </w:rPr>
        <w:t>“科学技术管理事务”（款）2025年年初预算4,071,686.14元，2025年度决算4,276,576.18元，</w:t>
      </w:r>
      <w:r>
        <w:rPr>
          <w:rFonts w:ascii="仿宋_GB2312" w:eastAsia="仿宋_GB2312" w:hint="eastAsia"/>
          <w:sz w:val="28"/>
          <w:szCs w:val="28"/>
        </w:rPr>
        <w:t>完成年初预算的105%</w:t>
      </w:r>
      <w:r>
        <w:rPr>
          <w:rFonts w:ascii="仿宋_GB2312" w:eastAsia="仿宋_GB2312" w:hAnsi="Calibri" w:cs="仿宋_GB2312" w:hint="eastAsia"/>
          <w:sz w:val="28"/>
          <w:szCs w:val="28"/>
        </w:rPr>
        <w:t>。主要原因：受人员增加等因素影响，实际支出相应增加；</w:t>
      </w:r>
    </w:p>
    <w:p w:rsidR="005E36F0" w:rsidRDefault="007D3E61">
      <w:pPr>
        <w:tabs>
          <w:tab w:val="center" w:pos="6979"/>
        </w:tabs>
        <w:spacing w:line="520" w:lineRule="exact"/>
        <w:ind w:firstLineChars="200" w:firstLine="560"/>
        <w:rPr>
          <w:rFonts w:ascii="仿宋_GB2312" w:eastAsia="仿宋_GB2312" w:cs="仿宋_GB2312"/>
          <w:sz w:val="28"/>
          <w:szCs w:val="28"/>
        </w:rPr>
      </w:pPr>
      <w:r>
        <w:rPr>
          <w:rFonts w:ascii="仿宋_GB2312" w:eastAsia="仿宋_GB2312" w:hAnsi="Calibri" w:cs="仿宋_GB2312" w:hint="eastAsia"/>
          <w:sz w:val="28"/>
          <w:szCs w:val="28"/>
        </w:rPr>
        <w:t>“技术研究与开发”（款）2025年年初预算7,296,361.10元，2025年度决算8,508,997.45元，</w:t>
      </w:r>
      <w:r>
        <w:rPr>
          <w:rFonts w:ascii="仿宋_GB2312" w:eastAsia="仿宋_GB2312" w:hint="eastAsia"/>
          <w:sz w:val="28"/>
          <w:szCs w:val="28"/>
        </w:rPr>
        <w:t>完成年初预算的116.6%</w:t>
      </w:r>
      <w:r>
        <w:rPr>
          <w:rFonts w:ascii="仿宋_GB2312" w:eastAsia="仿宋_GB2312" w:hAnsi="Calibri" w:cs="仿宋_GB2312" w:hint="eastAsia"/>
          <w:sz w:val="28"/>
          <w:szCs w:val="28"/>
        </w:rPr>
        <w:t>。主要原因：受人员增加等因素影响，实际支出相应增加；</w:t>
      </w:r>
    </w:p>
    <w:p w:rsidR="005E36F0" w:rsidRDefault="007D3E61">
      <w:pPr>
        <w:tabs>
          <w:tab w:val="center" w:pos="6979"/>
        </w:tabs>
        <w:spacing w:line="520" w:lineRule="exact"/>
        <w:ind w:firstLineChars="200" w:firstLine="560"/>
        <w:rPr>
          <w:rFonts w:ascii="仿宋_GB2312" w:eastAsia="仿宋_GB2312" w:cs="仿宋_GB2312"/>
          <w:sz w:val="28"/>
          <w:szCs w:val="28"/>
        </w:rPr>
      </w:pPr>
      <w:r>
        <w:rPr>
          <w:rFonts w:ascii="仿宋_GB2312" w:eastAsia="仿宋_GB2312" w:hAnsi="Calibri" w:cs="仿宋_GB2312" w:hint="eastAsia"/>
          <w:sz w:val="28"/>
          <w:szCs w:val="28"/>
        </w:rPr>
        <w:t>“科技条件与服务”（款）2025年年初预算4,641,121.24元，2025年度决算47,22,215.01元，</w:t>
      </w:r>
      <w:r>
        <w:rPr>
          <w:rFonts w:ascii="仿宋_GB2312" w:eastAsia="仿宋_GB2312" w:hint="eastAsia"/>
          <w:sz w:val="28"/>
          <w:szCs w:val="28"/>
        </w:rPr>
        <w:t>完成年初预算的</w:t>
      </w:r>
      <w:r w:rsidR="005A1D3F">
        <w:rPr>
          <w:rFonts w:ascii="仿宋_GB2312" w:eastAsia="仿宋_GB2312" w:hint="eastAsia"/>
          <w:sz w:val="28"/>
          <w:szCs w:val="28"/>
        </w:rPr>
        <w:t>101.7</w:t>
      </w:r>
      <w:r>
        <w:rPr>
          <w:rFonts w:ascii="仿宋_GB2312" w:eastAsia="仿宋_GB2312" w:hAnsi="Calibri" w:cs="仿宋_GB2312" w:hint="eastAsia"/>
          <w:sz w:val="28"/>
          <w:szCs w:val="28"/>
        </w:rPr>
        <w:t>%。主要原因：受人员增加等因素影响，实际支出相应增加；</w:t>
      </w:r>
    </w:p>
    <w:p w:rsidR="005E36F0" w:rsidRDefault="007D3E61">
      <w:pPr>
        <w:spacing w:line="500" w:lineRule="exact"/>
        <w:ind w:firstLineChars="200" w:firstLine="560"/>
        <w:rPr>
          <w:rFonts w:ascii="仿宋_GB2312" w:eastAsia="仿宋_GB2312" w:cs="仿宋_GB2312"/>
          <w:sz w:val="28"/>
          <w:szCs w:val="28"/>
        </w:rPr>
      </w:pPr>
      <w:r>
        <w:rPr>
          <w:rFonts w:ascii="仿宋_GB2312" w:eastAsia="仿宋_GB2312" w:hAnsi="Calibri" w:cs="仿宋_GB2312" w:hint="eastAsia"/>
          <w:sz w:val="28"/>
          <w:szCs w:val="28"/>
        </w:rPr>
        <w:t xml:space="preserve"> “科学技术普及”（款）2025年年初预算200,000元，2025年度决算139,808.80元，完成年初预算的69.9%。主要原因：落实习惯过紧日子要求，减少非急需非刚性支出；</w:t>
      </w:r>
    </w:p>
    <w:p w:rsidR="005E36F0" w:rsidRDefault="007D3E61">
      <w:pPr>
        <w:spacing w:line="500" w:lineRule="exact"/>
        <w:ind w:firstLineChars="200" w:firstLine="560"/>
        <w:rPr>
          <w:rFonts w:ascii="仿宋_GB2312" w:eastAsia="仿宋_GB2312" w:cs="仿宋_GB2312"/>
          <w:sz w:val="28"/>
          <w:szCs w:val="28"/>
        </w:rPr>
      </w:pPr>
      <w:r>
        <w:rPr>
          <w:rFonts w:ascii="仿宋_GB2312" w:eastAsia="仿宋_GB2312" w:hAnsi="Calibri" w:cs="仿宋_GB2312" w:hint="eastAsia"/>
          <w:sz w:val="28"/>
          <w:szCs w:val="28"/>
        </w:rPr>
        <w:t>“其他科学技术支出”（款）2025年年初预算3,365,000元，2025年度决算17,131,417.23元，</w:t>
      </w:r>
      <w:r>
        <w:rPr>
          <w:rFonts w:ascii="仿宋_GB2312" w:eastAsia="仿宋_GB2312" w:hint="eastAsia"/>
          <w:sz w:val="28"/>
          <w:szCs w:val="28"/>
        </w:rPr>
        <w:t>完成年初预算的</w:t>
      </w:r>
      <w:r w:rsidR="005A1D3F">
        <w:rPr>
          <w:rFonts w:ascii="仿宋_GB2312" w:eastAsia="仿宋_GB2312" w:hint="eastAsia"/>
          <w:sz w:val="28"/>
          <w:szCs w:val="28"/>
        </w:rPr>
        <w:t>509.1</w:t>
      </w:r>
      <w:r>
        <w:rPr>
          <w:rFonts w:ascii="仿宋_GB2312" w:eastAsia="仿宋_GB2312" w:hint="eastAsia"/>
          <w:sz w:val="28"/>
          <w:szCs w:val="28"/>
        </w:rPr>
        <w:t>%，</w:t>
      </w:r>
      <w:r>
        <w:rPr>
          <w:rFonts w:ascii="仿宋_GB2312" w:eastAsia="仿宋_GB2312" w:hAnsi="Calibri" w:cs="仿宋_GB2312" w:hint="eastAsia"/>
          <w:sz w:val="28"/>
          <w:szCs w:val="28"/>
        </w:rPr>
        <w:t>主要原因：本年度项目经费按比例下达。</w:t>
      </w:r>
    </w:p>
    <w:p w:rsidR="005E36F0" w:rsidRDefault="007D3E61">
      <w:pPr>
        <w:tabs>
          <w:tab w:val="center" w:pos="6979"/>
        </w:tabs>
        <w:spacing w:line="520" w:lineRule="exact"/>
        <w:ind w:firstLineChars="200" w:firstLine="560"/>
        <w:rPr>
          <w:rFonts w:ascii="仿宋_GB2312" w:eastAsia="仿宋_GB2312" w:cs="仿宋_GB2312"/>
          <w:sz w:val="28"/>
          <w:szCs w:val="28"/>
        </w:rPr>
      </w:pPr>
      <w:r>
        <w:rPr>
          <w:rFonts w:ascii="仿宋_GB2312" w:eastAsia="仿宋_GB2312" w:hAnsi="Calibri" w:cs="仿宋_GB2312" w:hint="eastAsia"/>
          <w:sz w:val="28"/>
          <w:szCs w:val="28"/>
        </w:rPr>
        <w:t>2、“社会保障和就业支出”(类)2025年年初预算</w:t>
      </w:r>
      <w:r w:rsidR="00AD495E">
        <w:rPr>
          <w:rFonts w:ascii="仿宋_GB2312" w:eastAsia="仿宋_GB2312" w:hAnsi="Calibri" w:cs="仿宋_GB2312" w:hint="eastAsia"/>
          <w:sz w:val="28"/>
          <w:szCs w:val="28"/>
        </w:rPr>
        <w:t>347,604元,</w:t>
      </w:r>
      <w:r>
        <w:rPr>
          <w:rFonts w:ascii="仿宋_GB2312" w:eastAsia="仿宋_GB2312" w:hAnsi="Calibri" w:cs="仿宋_GB2312" w:hint="eastAsia"/>
          <w:sz w:val="28"/>
          <w:szCs w:val="28"/>
        </w:rPr>
        <w:t>2025年度决算503,736元，</w:t>
      </w:r>
      <w:r>
        <w:rPr>
          <w:rFonts w:ascii="仿宋_GB2312" w:eastAsia="仿宋_GB2312" w:hint="eastAsia"/>
          <w:sz w:val="28"/>
          <w:szCs w:val="28"/>
        </w:rPr>
        <w:t>完成年初预算的</w:t>
      </w:r>
      <w:r w:rsidR="005A1D3F">
        <w:rPr>
          <w:rFonts w:ascii="仿宋_GB2312" w:eastAsia="仿宋_GB2312" w:hint="eastAsia"/>
          <w:sz w:val="28"/>
          <w:szCs w:val="28"/>
        </w:rPr>
        <w:t>144.9</w:t>
      </w:r>
      <w:r>
        <w:rPr>
          <w:rFonts w:ascii="仿宋_GB2312" w:eastAsia="仿宋_GB2312" w:hint="eastAsia"/>
          <w:sz w:val="28"/>
          <w:szCs w:val="28"/>
        </w:rPr>
        <w:t>%</w:t>
      </w:r>
      <w:r>
        <w:rPr>
          <w:rFonts w:ascii="仿宋_GB2312" w:eastAsia="仿宋_GB2312" w:hAnsi="Calibri" w:cs="仿宋_GB2312" w:hint="eastAsia"/>
          <w:sz w:val="28"/>
          <w:szCs w:val="28"/>
        </w:rPr>
        <w:t>。其中：</w:t>
      </w:r>
    </w:p>
    <w:p w:rsidR="005E36F0" w:rsidRDefault="007D3E61">
      <w:pPr>
        <w:tabs>
          <w:tab w:val="center" w:pos="6979"/>
        </w:tabs>
        <w:spacing w:line="520" w:lineRule="exact"/>
        <w:ind w:firstLineChars="200" w:firstLine="560"/>
        <w:rPr>
          <w:rFonts w:ascii="仿宋_GB2312" w:eastAsia="仿宋_GB2312" w:cs="仿宋_GB2312"/>
          <w:sz w:val="28"/>
          <w:szCs w:val="28"/>
        </w:rPr>
      </w:pPr>
      <w:r>
        <w:rPr>
          <w:rFonts w:ascii="仿宋_GB2312" w:eastAsia="仿宋_GB2312" w:hAnsi="Calibri" w:cs="仿宋_GB2312" w:hint="eastAsia"/>
          <w:sz w:val="28"/>
          <w:szCs w:val="28"/>
        </w:rPr>
        <w:t>“行政事业单位养老支出”（款）2025年年初预算347,604元，2025年度决算503,736元，</w:t>
      </w:r>
      <w:r>
        <w:rPr>
          <w:rFonts w:ascii="仿宋_GB2312" w:eastAsia="仿宋_GB2312" w:hint="eastAsia"/>
          <w:sz w:val="28"/>
          <w:szCs w:val="28"/>
        </w:rPr>
        <w:t>完成年初预算的</w:t>
      </w:r>
      <w:r w:rsidR="005A1D3F">
        <w:rPr>
          <w:rFonts w:ascii="仿宋_GB2312" w:eastAsia="仿宋_GB2312" w:hint="eastAsia"/>
          <w:sz w:val="28"/>
          <w:szCs w:val="28"/>
        </w:rPr>
        <w:t>144.9</w:t>
      </w:r>
      <w:r>
        <w:rPr>
          <w:rFonts w:ascii="仿宋_GB2312" w:eastAsia="仿宋_GB2312" w:hint="eastAsia"/>
          <w:sz w:val="28"/>
          <w:szCs w:val="28"/>
        </w:rPr>
        <w:t>%</w:t>
      </w:r>
      <w:r>
        <w:rPr>
          <w:rFonts w:ascii="仿宋_GB2312" w:eastAsia="仿宋_GB2312" w:hAnsi="Calibri" w:cs="仿宋_GB2312" w:hint="eastAsia"/>
          <w:sz w:val="28"/>
          <w:szCs w:val="28"/>
        </w:rPr>
        <w:t>。主要原因：本年度退休人员去世1人，实际支出相应增加。</w:t>
      </w:r>
    </w:p>
    <w:p w:rsidR="005E36F0" w:rsidRDefault="007D3E61">
      <w:pPr>
        <w:tabs>
          <w:tab w:val="center" w:pos="6979"/>
        </w:tabs>
        <w:spacing w:line="520" w:lineRule="exact"/>
        <w:ind w:firstLineChars="200" w:firstLine="560"/>
        <w:rPr>
          <w:rFonts w:ascii="仿宋_GB2312" w:eastAsia="仿宋_GB2312" w:cs="仿宋_GB2312"/>
          <w:sz w:val="28"/>
          <w:szCs w:val="28"/>
        </w:rPr>
      </w:pPr>
      <w:r>
        <w:rPr>
          <w:rFonts w:ascii="仿宋_GB2312" w:eastAsia="仿宋_GB2312" w:hAnsi="Calibri" w:cs="仿宋_GB2312" w:hint="eastAsia"/>
          <w:sz w:val="28"/>
          <w:szCs w:val="28"/>
        </w:rPr>
        <w:lastRenderedPageBreak/>
        <w:t>3、“资源勘探工业信息等支出”(类)2025年年初预算0元，2025年度决算8,780元。其中：</w:t>
      </w:r>
    </w:p>
    <w:p w:rsidR="005E36F0" w:rsidRDefault="007D3E61">
      <w:pPr>
        <w:spacing w:line="580" w:lineRule="exact"/>
        <w:ind w:firstLineChars="200" w:firstLine="560"/>
        <w:rPr>
          <w:rFonts w:ascii="仿宋_GB2312" w:eastAsia="仿宋_GB2312" w:cs="仿宋_GB2312"/>
          <w:sz w:val="28"/>
          <w:szCs w:val="28"/>
        </w:rPr>
      </w:pPr>
      <w:r>
        <w:rPr>
          <w:rFonts w:ascii="仿宋_GB2312" w:eastAsia="仿宋_GB2312" w:hAnsi="Calibri" w:cs="仿宋_GB2312" w:hint="eastAsia"/>
          <w:sz w:val="28"/>
          <w:szCs w:val="28"/>
        </w:rPr>
        <w:t>“制造业”（款）2025年年初预算0元，2025年度决算8,780元。主要原因：本年度项目经费按比例下达。</w:t>
      </w:r>
    </w:p>
    <w:p w:rsidR="005E36F0" w:rsidRDefault="007D3E61" w:rsidP="00431DD9">
      <w:pPr>
        <w:spacing w:line="580" w:lineRule="exact"/>
        <w:ind w:firstLineChars="200" w:firstLine="562"/>
        <w:rPr>
          <w:rFonts w:ascii="仿宋_GB2312" w:eastAsia="仿宋_GB2312"/>
          <w:sz w:val="28"/>
          <w:szCs w:val="28"/>
        </w:rPr>
      </w:pPr>
      <w:r>
        <w:rPr>
          <w:rFonts w:ascii="黑体" w:eastAsia="黑体" w:hint="eastAsia"/>
          <w:b/>
          <w:sz w:val="28"/>
          <w:szCs w:val="28"/>
        </w:rPr>
        <w:t>五、政府性基金预算财政拨款支出决算情况说明</w:t>
      </w:r>
    </w:p>
    <w:p w:rsidR="005E36F0" w:rsidRDefault="007D3E61">
      <w:pPr>
        <w:tabs>
          <w:tab w:val="center" w:pos="6979"/>
        </w:tabs>
        <w:spacing w:line="520" w:lineRule="exact"/>
        <w:ind w:firstLineChars="200" w:firstLine="560"/>
        <w:rPr>
          <w:rFonts w:ascii="仿宋_GB2312" w:eastAsia="仿宋_GB2312"/>
          <w:sz w:val="28"/>
          <w:szCs w:val="28"/>
        </w:rPr>
      </w:pPr>
      <w:r>
        <w:rPr>
          <w:rFonts w:ascii="仿宋_GB2312" w:eastAsia="仿宋_GB2312" w:hAnsi="Calibri" w:cs="仿宋_GB2312" w:hint="eastAsia"/>
          <w:sz w:val="28"/>
          <w:szCs w:val="28"/>
        </w:rPr>
        <w:t>本部门无此项经费支出。</w:t>
      </w:r>
    </w:p>
    <w:p w:rsidR="005E36F0" w:rsidRDefault="007D3E61" w:rsidP="00431DD9">
      <w:pPr>
        <w:spacing w:line="580" w:lineRule="exact"/>
        <w:ind w:firstLineChars="200" w:firstLine="562"/>
        <w:rPr>
          <w:rFonts w:ascii="黑体" w:eastAsia="黑体"/>
          <w:b/>
          <w:sz w:val="28"/>
          <w:szCs w:val="28"/>
        </w:rPr>
      </w:pPr>
      <w:r>
        <w:rPr>
          <w:rFonts w:ascii="黑体" w:eastAsia="黑体" w:hint="eastAsia"/>
          <w:b/>
          <w:sz w:val="28"/>
          <w:szCs w:val="28"/>
        </w:rPr>
        <w:t>六、国有资本经营预算财</w:t>
      </w:r>
      <w:r>
        <w:rPr>
          <w:rFonts w:ascii="黑体" w:eastAsia="黑体"/>
          <w:b/>
          <w:sz w:val="28"/>
          <w:szCs w:val="28"/>
        </w:rPr>
        <w:t>政拨款</w:t>
      </w:r>
      <w:r>
        <w:rPr>
          <w:rFonts w:ascii="黑体" w:eastAsia="黑体" w:hint="eastAsia"/>
          <w:b/>
          <w:sz w:val="28"/>
          <w:szCs w:val="28"/>
        </w:rPr>
        <w:t>收支情况</w:t>
      </w:r>
    </w:p>
    <w:p w:rsidR="005E36F0" w:rsidRDefault="007D3E61" w:rsidP="00431DD9">
      <w:pPr>
        <w:ind w:firstLineChars="192" w:firstLine="538"/>
        <w:rPr>
          <w:rFonts w:ascii="仿宋_GB2312" w:eastAsia="仿宋_GB2312"/>
          <w:sz w:val="28"/>
          <w:szCs w:val="28"/>
        </w:rPr>
      </w:pPr>
      <w:r>
        <w:rPr>
          <w:rFonts w:ascii="仿宋_GB2312" w:eastAsia="仿宋_GB2312" w:hint="eastAsia"/>
          <w:sz w:val="28"/>
          <w:szCs w:val="28"/>
        </w:rPr>
        <w:t>2025年度国有资本经营预算财政</w:t>
      </w:r>
      <w:r>
        <w:rPr>
          <w:rFonts w:ascii="仿宋_GB2312" w:eastAsia="仿宋_GB2312"/>
          <w:sz w:val="28"/>
          <w:szCs w:val="28"/>
        </w:rPr>
        <w:t>拨款</w:t>
      </w:r>
      <w:r>
        <w:rPr>
          <w:rFonts w:ascii="仿宋_GB2312" w:eastAsia="仿宋_GB2312" w:hint="eastAsia"/>
          <w:sz w:val="28"/>
          <w:szCs w:val="28"/>
        </w:rPr>
        <w:t>收入总</w:t>
      </w:r>
      <w:r>
        <w:rPr>
          <w:rFonts w:ascii="仿宋_GB2312" w:eastAsia="仿宋_GB2312"/>
          <w:sz w:val="28"/>
          <w:szCs w:val="28"/>
        </w:rPr>
        <w:t>计0</w:t>
      </w:r>
      <w:r>
        <w:rPr>
          <w:rFonts w:ascii="仿宋_GB2312" w:eastAsia="仿宋_GB2312" w:hint="eastAsia"/>
          <w:sz w:val="28"/>
          <w:szCs w:val="28"/>
        </w:rPr>
        <w:t>元，国有资本经营预算财政</w:t>
      </w:r>
      <w:r>
        <w:rPr>
          <w:rFonts w:ascii="仿宋_GB2312" w:eastAsia="仿宋_GB2312"/>
          <w:sz w:val="28"/>
          <w:szCs w:val="28"/>
        </w:rPr>
        <w:t>拨款</w:t>
      </w:r>
      <w:r>
        <w:rPr>
          <w:rFonts w:ascii="仿宋_GB2312" w:eastAsia="仿宋_GB2312" w:hint="eastAsia"/>
          <w:sz w:val="28"/>
          <w:szCs w:val="28"/>
        </w:rPr>
        <w:t>支出总</w:t>
      </w:r>
      <w:r>
        <w:rPr>
          <w:rFonts w:ascii="仿宋_GB2312" w:eastAsia="仿宋_GB2312"/>
          <w:sz w:val="28"/>
          <w:szCs w:val="28"/>
        </w:rPr>
        <w:t>计0</w:t>
      </w:r>
      <w:r>
        <w:rPr>
          <w:rFonts w:ascii="仿宋_GB2312" w:eastAsia="仿宋_GB2312" w:hint="eastAsia"/>
          <w:sz w:val="28"/>
          <w:szCs w:val="28"/>
        </w:rPr>
        <w:t>元。</w:t>
      </w:r>
    </w:p>
    <w:p w:rsidR="005E36F0" w:rsidRDefault="007D3E61" w:rsidP="00431DD9">
      <w:pPr>
        <w:spacing w:line="580" w:lineRule="exact"/>
        <w:ind w:firstLineChars="196" w:firstLine="551"/>
        <w:rPr>
          <w:rFonts w:ascii="黑体" w:eastAsia="黑体"/>
          <w:sz w:val="28"/>
          <w:szCs w:val="28"/>
        </w:rPr>
      </w:pPr>
      <w:r>
        <w:rPr>
          <w:rFonts w:ascii="黑体" w:eastAsia="黑体" w:hint="eastAsia"/>
          <w:b/>
          <w:sz w:val="28"/>
          <w:szCs w:val="28"/>
        </w:rPr>
        <w:t>七、财政拨款基本支出决算情况说明</w:t>
      </w:r>
    </w:p>
    <w:p w:rsidR="005E36F0" w:rsidRDefault="007D3E61" w:rsidP="00431DD9">
      <w:pPr>
        <w:tabs>
          <w:tab w:val="center" w:pos="6979"/>
        </w:tabs>
        <w:spacing w:line="580" w:lineRule="exact"/>
        <w:ind w:firstLineChars="196" w:firstLine="549"/>
        <w:rPr>
          <w:rFonts w:ascii="黑体" w:eastAsia="黑体"/>
          <w:b/>
          <w:sz w:val="28"/>
          <w:szCs w:val="28"/>
        </w:rPr>
      </w:pPr>
      <w:r>
        <w:rPr>
          <w:rFonts w:ascii="仿宋_GB2312" w:eastAsia="仿宋_GB2312" w:hint="eastAsia"/>
          <w:sz w:val="28"/>
          <w:szCs w:val="28"/>
        </w:rPr>
        <w:t>2025年度使用一般公共预算财政拨款安排基本支出</w:t>
      </w:r>
      <w:r>
        <w:rPr>
          <w:rFonts w:ascii="仿宋_GB2312" w:eastAsia="仿宋_GB2312"/>
          <w:sz w:val="28"/>
          <w:szCs w:val="28"/>
        </w:rPr>
        <w:t>17</w:t>
      </w:r>
      <w:r>
        <w:rPr>
          <w:rFonts w:ascii="仿宋_GB2312" w:eastAsia="仿宋_GB2312" w:hint="eastAsia"/>
          <w:sz w:val="28"/>
          <w:szCs w:val="28"/>
        </w:rPr>
        <w:t>,</w:t>
      </w:r>
      <w:r>
        <w:rPr>
          <w:rFonts w:ascii="仿宋_GB2312" w:eastAsia="仿宋_GB2312"/>
          <w:sz w:val="28"/>
          <w:szCs w:val="28"/>
        </w:rPr>
        <w:t>221</w:t>
      </w:r>
      <w:r>
        <w:rPr>
          <w:rFonts w:ascii="仿宋_GB2312" w:eastAsia="仿宋_GB2312" w:hint="eastAsia"/>
          <w:sz w:val="28"/>
          <w:szCs w:val="28"/>
        </w:rPr>
        <w:t>,</w:t>
      </w:r>
      <w:r>
        <w:rPr>
          <w:rFonts w:ascii="仿宋_GB2312" w:eastAsia="仿宋_GB2312"/>
          <w:sz w:val="28"/>
          <w:szCs w:val="28"/>
        </w:rPr>
        <w:t>524.64</w:t>
      </w:r>
      <w:r>
        <w:rPr>
          <w:rFonts w:ascii="仿宋_GB2312" w:eastAsia="仿宋_GB2312" w:hint="eastAsia"/>
          <w:sz w:val="28"/>
          <w:szCs w:val="28"/>
        </w:rPr>
        <w:t>元，使用政府性基金财政拨款安排基本支出</w:t>
      </w:r>
      <w:r>
        <w:rPr>
          <w:rFonts w:ascii="仿宋_GB2312" w:eastAsia="仿宋_GB2312"/>
          <w:sz w:val="28"/>
          <w:szCs w:val="28"/>
        </w:rPr>
        <w:t>0</w:t>
      </w:r>
      <w:r>
        <w:rPr>
          <w:rFonts w:ascii="仿宋_GB2312" w:eastAsia="仿宋_GB2312" w:hint="eastAsia"/>
          <w:sz w:val="28"/>
          <w:szCs w:val="28"/>
        </w:rPr>
        <w:t>元，（1）工资福利支出包括基本工资</w:t>
      </w:r>
      <w:r>
        <w:rPr>
          <w:rFonts w:ascii="仿宋_GB2312" w:eastAsia="仿宋_GB2312"/>
          <w:sz w:val="28"/>
          <w:szCs w:val="28"/>
        </w:rPr>
        <w:t>、津贴补贴、奖金、伙食补助费、绩效工资、</w:t>
      </w:r>
      <w:r>
        <w:rPr>
          <w:rFonts w:ascii="仿宋_GB2312" w:eastAsia="仿宋_GB2312" w:hint="eastAsia"/>
          <w:sz w:val="28"/>
          <w:szCs w:val="28"/>
        </w:rPr>
        <w:t>其他</w:t>
      </w:r>
      <w:r>
        <w:rPr>
          <w:rFonts w:ascii="仿宋_GB2312" w:eastAsia="仿宋_GB2312"/>
          <w:sz w:val="28"/>
          <w:szCs w:val="28"/>
        </w:rPr>
        <w:t>社会保障缴费、其他工资福利</w:t>
      </w:r>
      <w:r>
        <w:rPr>
          <w:rFonts w:ascii="仿宋_GB2312" w:eastAsia="仿宋_GB2312" w:hint="eastAsia"/>
          <w:sz w:val="28"/>
          <w:szCs w:val="28"/>
        </w:rPr>
        <w:t>等</w:t>
      </w:r>
      <w:r>
        <w:rPr>
          <w:rFonts w:ascii="仿宋_GB2312" w:eastAsia="仿宋_GB2312"/>
          <w:sz w:val="28"/>
          <w:szCs w:val="28"/>
        </w:rPr>
        <w:t>支出</w:t>
      </w:r>
      <w:r>
        <w:rPr>
          <w:rFonts w:ascii="仿宋_GB2312" w:eastAsia="仿宋_GB2312" w:hint="eastAsia"/>
          <w:sz w:val="28"/>
          <w:szCs w:val="28"/>
        </w:rPr>
        <w:t>15,897,487.36元；（2）商品和服务支出包括</w:t>
      </w:r>
      <w:r>
        <w:rPr>
          <w:rFonts w:ascii="仿宋_GB2312" w:eastAsia="仿宋_GB2312"/>
          <w:sz w:val="28"/>
          <w:szCs w:val="28"/>
        </w:rPr>
        <w:t>办公费、印刷费、手续费、水费、电费、邮电费、取暖费、物业管理费、差旅费、因公出国（境）费、维修（护）费、租赁费、会议费、培训费、公务接待费、专用材料费、劳务费、委托业务费、工会经费、福利费、公务用车运行维护费、其他交通费</w:t>
      </w:r>
      <w:r>
        <w:rPr>
          <w:rFonts w:ascii="仿宋_GB2312" w:eastAsia="仿宋_GB2312" w:hint="eastAsia"/>
          <w:sz w:val="28"/>
          <w:szCs w:val="28"/>
        </w:rPr>
        <w:t>用</w:t>
      </w:r>
      <w:r>
        <w:rPr>
          <w:rFonts w:ascii="仿宋_GB2312" w:eastAsia="仿宋_GB2312"/>
          <w:sz w:val="28"/>
          <w:szCs w:val="28"/>
        </w:rPr>
        <w:t>、其他商品和服务</w:t>
      </w:r>
      <w:r>
        <w:rPr>
          <w:rFonts w:ascii="仿宋_GB2312" w:eastAsia="仿宋_GB2312" w:hint="eastAsia"/>
          <w:sz w:val="28"/>
          <w:szCs w:val="28"/>
        </w:rPr>
        <w:t>等</w:t>
      </w:r>
      <w:r>
        <w:rPr>
          <w:rFonts w:ascii="仿宋_GB2312" w:eastAsia="仿宋_GB2312"/>
          <w:sz w:val="28"/>
          <w:szCs w:val="28"/>
        </w:rPr>
        <w:t>支出</w:t>
      </w:r>
      <w:r>
        <w:rPr>
          <w:rFonts w:ascii="仿宋_GB2312" w:eastAsia="仿宋_GB2312" w:hint="eastAsia"/>
          <w:sz w:val="28"/>
          <w:szCs w:val="28"/>
        </w:rPr>
        <w:t>678,351.28元；（3）对个人和家庭补助支出包括</w:t>
      </w:r>
      <w:r>
        <w:rPr>
          <w:rFonts w:ascii="仿宋_GB2312" w:eastAsia="仿宋_GB2312"/>
          <w:sz w:val="28"/>
          <w:szCs w:val="28"/>
        </w:rPr>
        <w:t>离休费、退休费、抚恤金、生活补助、</w:t>
      </w:r>
      <w:r>
        <w:rPr>
          <w:rFonts w:ascii="仿宋_GB2312" w:eastAsia="仿宋_GB2312" w:hint="eastAsia"/>
          <w:sz w:val="28"/>
          <w:szCs w:val="28"/>
        </w:rPr>
        <w:t>救济费</w:t>
      </w:r>
      <w:r>
        <w:rPr>
          <w:rFonts w:ascii="仿宋_GB2312" w:eastAsia="仿宋_GB2312"/>
          <w:sz w:val="28"/>
          <w:szCs w:val="28"/>
        </w:rPr>
        <w:t>、医疗费</w:t>
      </w:r>
      <w:r>
        <w:rPr>
          <w:rFonts w:ascii="仿宋_GB2312" w:eastAsia="仿宋_GB2312" w:hint="eastAsia"/>
          <w:sz w:val="28"/>
          <w:szCs w:val="28"/>
        </w:rPr>
        <w:t>补助</w:t>
      </w:r>
      <w:r>
        <w:rPr>
          <w:rFonts w:ascii="仿宋_GB2312" w:eastAsia="仿宋_GB2312"/>
          <w:sz w:val="28"/>
          <w:szCs w:val="28"/>
        </w:rPr>
        <w:t>、助学金、奖励金</w:t>
      </w:r>
      <w:r>
        <w:rPr>
          <w:rFonts w:ascii="仿宋_GB2312" w:eastAsia="仿宋_GB2312" w:hint="eastAsia"/>
          <w:sz w:val="28"/>
          <w:szCs w:val="28"/>
        </w:rPr>
        <w:t>、</w:t>
      </w:r>
      <w:r>
        <w:rPr>
          <w:rFonts w:ascii="仿宋_GB2312" w:eastAsia="仿宋_GB2312"/>
          <w:sz w:val="28"/>
          <w:szCs w:val="28"/>
        </w:rPr>
        <w:t>其他对个人和家庭的补助</w:t>
      </w:r>
      <w:r>
        <w:rPr>
          <w:rFonts w:ascii="仿宋_GB2312" w:eastAsia="仿宋_GB2312" w:hint="eastAsia"/>
          <w:sz w:val="28"/>
          <w:szCs w:val="28"/>
        </w:rPr>
        <w:t>等</w:t>
      </w:r>
      <w:r>
        <w:rPr>
          <w:rFonts w:ascii="仿宋_GB2312" w:eastAsia="仿宋_GB2312"/>
          <w:sz w:val="28"/>
          <w:szCs w:val="28"/>
        </w:rPr>
        <w:t>支出</w:t>
      </w:r>
      <w:r>
        <w:rPr>
          <w:rFonts w:ascii="仿宋_GB2312" w:eastAsia="仿宋_GB2312" w:hint="eastAsia"/>
          <w:sz w:val="28"/>
          <w:szCs w:val="28"/>
        </w:rPr>
        <w:t>645,686元。（4）其他资本性支出包括</w:t>
      </w:r>
      <w:r>
        <w:rPr>
          <w:rFonts w:ascii="仿宋_GB2312" w:eastAsia="仿宋_GB2312"/>
          <w:sz w:val="28"/>
          <w:szCs w:val="28"/>
        </w:rPr>
        <w:t>办公设备购置、专用设备购置</w:t>
      </w:r>
      <w:r>
        <w:rPr>
          <w:rFonts w:ascii="仿宋_GB2312" w:eastAsia="仿宋_GB2312" w:hint="eastAsia"/>
          <w:sz w:val="28"/>
          <w:szCs w:val="28"/>
        </w:rPr>
        <w:t>等支出0元</w:t>
      </w:r>
      <w:r>
        <w:rPr>
          <w:rFonts w:ascii="仿宋_GB2312" w:eastAsia="仿宋_GB2312"/>
          <w:sz w:val="28"/>
          <w:szCs w:val="28"/>
        </w:rPr>
        <w:t>。</w:t>
      </w:r>
    </w:p>
    <w:p w:rsidR="005E36F0" w:rsidRDefault="007D3E61">
      <w:pPr>
        <w:autoSpaceDE w:val="0"/>
        <w:autoSpaceDN w:val="0"/>
        <w:adjustRightInd w:val="0"/>
        <w:spacing w:line="580" w:lineRule="exact"/>
        <w:rPr>
          <w:rFonts w:ascii="宋体" w:hAnsi="宋体"/>
          <w:b/>
          <w:spacing w:val="40"/>
          <w:sz w:val="32"/>
          <w:szCs w:val="32"/>
        </w:rPr>
      </w:pPr>
      <w:r>
        <w:rPr>
          <w:rFonts w:ascii="仿宋_GB2312" w:eastAsia="仿宋_GB2312"/>
          <w:b/>
          <w:sz w:val="32"/>
          <w:szCs w:val="32"/>
        </w:rPr>
        <w:tab/>
      </w:r>
    </w:p>
    <w:p w:rsidR="005E36F0" w:rsidRDefault="007D3E61">
      <w:pPr>
        <w:tabs>
          <w:tab w:val="center" w:pos="6979"/>
        </w:tabs>
        <w:jc w:val="center"/>
        <w:rPr>
          <w:rFonts w:ascii="宋体" w:hAnsi="宋体" w:cs="宋体"/>
          <w:b/>
          <w:spacing w:val="40"/>
          <w:kern w:val="0"/>
          <w:sz w:val="32"/>
          <w:szCs w:val="32"/>
        </w:rPr>
      </w:pPr>
      <w:r>
        <w:rPr>
          <w:rFonts w:ascii="宋体" w:hAnsi="宋体" w:cs="宋体" w:hint="eastAsia"/>
          <w:b/>
          <w:bCs/>
          <w:spacing w:val="40"/>
          <w:kern w:val="0"/>
          <w:sz w:val="32"/>
          <w:szCs w:val="32"/>
        </w:rPr>
        <w:t>第三部分</w:t>
      </w:r>
      <w:r>
        <w:rPr>
          <w:rFonts w:ascii="宋体" w:hAnsi="宋体" w:hint="eastAsia"/>
          <w:b/>
          <w:spacing w:val="40"/>
          <w:sz w:val="32"/>
          <w:szCs w:val="32"/>
        </w:rPr>
        <w:t>2025年度</w:t>
      </w:r>
      <w:r>
        <w:rPr>
          <w:rFonts w:ascii="宋体" w:hAnsi="宋体" w:cs="宋体" w:hint="eastAsia"/>
          <w:b/>
          <w:spacing w:val="40"/>
          <w:kern w:val="0"/>
          <w:sz w:val="32"/>
          <w:szCs w:val="32"/>
        </w:rPr>
        <w:t>其他重要事项的情况说明</w:t>
      </w:r>
    </w:p>
    <w:p w:rsidR="005E36F0" w:rsidRDefault="007D3E61">
      <w:pPr>
        <w:spacing w:line="560" w:lineRule="exact"/>
        <w:ind w:firstLineChars="200" w:firstLine="560"/>
        <w:rPr>
          <w:rFonts w:ascii="黑体" w:eastAsia="黑体"/>
          <w:sz w:val="28"/>
          <w:szCs w:val="28"/>
        </w:rPr>
      </w:pPr>
      <w:r>
        <w:rPr>
          <w:rFonts w:ascii="黑体" w:eastAsia="黑体" w:hint="eastAsia"/>
          <w:sz w:val="28"/>
          <w:szCs w:val="28"/>
        </w:rPr>
        <w:lastRenderedPageBreak/>
        <w:t>一、“三公”经费财政拨款决算情况</w:t>
      </w:r>
    </w:p>
    <w:p w:rsidR="005E36F0" w:rsidRDefault="007D3E61">
      <w:pPr>
        <w:spacing w:line="560" w:lineRule="exact"/>
        <w:ind w:firstLine="600"/>
        <w:rPr>
          <w:rFonts w:ascii="仿宋_GB2312" w:eastAsia="仿宋_GB2312"/>
          <w:sz w:val="28"/>
          <w:szCs w:val="28"/>
        </w:rPr>
      </w:pPr>
      <w:r>
        <w:rPr>
          <w:rFonts w:ascii="仿宋_GB2312" w:eastAsia="仿宋_GB2312" w:hint="eastAsia"/>
          <w:sz w:val="28"/>
          <w:szCs w:val="28"/>
        </w:rPr>
        <w:t>2025年度“三公”经费财政拨款决算数</w:t>
      </w:r>
      <w:r>
        <w:rPr>
          <w:rFonts w:ascii="仿宋_GB2312" w:eastAsia="仿宋_GB2312"/>
          <w:sz w:val="28"/>
          <w:szCs w:val="28"/>
        </w:rPr>
        <w:t>43</w:t>
      </w:r>
      <w:r>
        <w:rPr>
          <w:rFonts w:ascii="仿宋_GB2312" w:eastAsia="仿宋_GB2312" w:hint="eastAsia"/>
          <w:sz w:val="28"/>
          <w:szCs w:val="28"/>
        </w:rPr>
        <w:t>,</w:t>
      </w:r>
      <w:r>
        <w:rPr>
          <w:rFonts w:ascii="仿宋_GB2312" w:eastAsia="仿宋_GB2312"/>
          <w:sz w:val="28"/>
          <w:szCs w:val="28"/>
        </w:rPr>
        <w:t>493.13</w:t>
      </w:r>
      <w:r>
        <w:rPr>
          <w:rFonts w:ascii="仿宋_GB2312" w:eastAsia="仿宋_GB2312" w:hint="eastAsia"/>
          <w:sz w:val="28"/>
          <w:szCs w:val="28"/>
        </w:rPr>
        <w:t>元，比2025年度“三公”经费财政拨款年初预算</w:t>
      </w:r>
      <w:r>
        <w:rPr>
          <w:rFonts w:ascii="仿宋_GB2312" w:eastAsia="仿宋_GB2312"/>
          <w:sz w:val="28"/>
          <w:szCs w:val="28"/>
        </w:rPr>
        <w:t>80</w:t>
      </w:r>
      <w:r>
        <w:rPr>
          <w:rFonts w:ascii="仿宋_GB2312" w:eastAsia="仿宋_GB2312" w:hint="eastAsia"/>
          <w:sz w:val="28"/>
          <w:szCs w:val="28"/>
        </w:rPr>
        <w:t>,</w:t>
      </w:r>
      <w:r>
        <w:rPr>
          <w:rFonts w:ascii="仿宋_GB2312" w:eastAsia="仿宋_GB2312"/>
          <w:sz w:val="28"/>
          <w:szCs w:val="28"/>
        </w:rPr>
        <w:t>082</w:t>
      </w:r>
      <w:r>
        <w:rPr>
          <w:rFonts w:ascii="仿宋_GB2312" w:eastAsia="仿宋_GB2312" w:hint="eastAsia"/>
          <w:sz w:val="28"/>
          <w:szCs w:val="28"/>
        </w:rPr>
        <w:t>元减少</w:t>
      </w:r>
      <w:r>
        <w:rPr>
          <w:rFonts w:ascii="仿宋_GB2312" w:eastAsia="仿宋_GB2312"/>
          <w:sz w:val="28"/>
          <w:szCs w:val="28"/>
        </w:rPr>
        <w:t>36</w:t>
      </w:r>
      <w:r>
        <w:rPr>
          <w:rFonts w:ascii="仿宋_GB2312" w:eastAsia="仿宋_GB2312" w:hint="eastAsia"/>
          <w:sz w:val="28"/>
          <w:szCs w:val="28"/>
        </w:rPr>
        <w:t>,</w:t>
      </w:r>
      <w:r>
        <w:rPr>
          <w:rFonts w:ascii="仿宋_GB2312" w:eastAsia="仿宋_GB2312"/>
          <w:sz w:val="28"/>
          <w:szCs w:val="28"/>
        </w:rPr>
        <w:t>588.87</w:t>
      </w:r>
      <w:r>
        <w:rPr>
          <w:rFonts w:ascii="仿宋_GB2312" w:eastAsia="仿宋_GB2312" w:hint="eastAsia"/>
          <w:sz w:val="28"/>
          <w:szCs w:val="28"/>
        </w:rPr>
        <w:t>元。其中：</w:t>
      </w:r>
    </w:p>
    <w:p w:rsidR="005E36F0" w:rsidRDefault="007D3E61">
      <w:pPr>
        <w:spacing w:line="560" w:lineRule="exact"/>
        <w:ind w:firstLineChars="200" w:firstLine="560"/>
        <w:rPr>
          <w:rFonts w:ascii="仿宋_GB2312" w:eastAsia="仿宋_GB2312" w:hAnsi="Calibri"/>
          <w:sz w:val="28"/>
          <w:szCs w:val="28"/>
        </w:rPr>
      </w:pPr>
      <w:r>
        <w:rPr>
          <w:rFonts w:ascii="仿宋_GB2312" w:eastAsia="仿宋_GB2312" w:hint="eastAsia"/>
          <w:sz w:val="28"/>
          <w:szCs w:val="28"/>
        </w:rPr>
        <w:t>1.因公出国（境）费用。2025年度决算数</w:t>
      </w:r>
      <w:r>
        <w:rPr>
          <w:rFonts w:ascii="仿宋_GB2312" w:eastAsia="仿宋_GB2312"/>
          <w:sz w:val="28"/>
          <w:szCs w:val="28"/>
        </w:rPr>
        <w:t>0</w:t>
      </w:r>
      <w:r>
        <w:rPr>
          <w:rFonts w:ascii="仿宋_GB2312" w:eastAsia="仿宋_GB2312" w:hint="eastAsia"/>
          <w:sz w:val="28"/>
          <w:szCs w:val="28"/>
        </w:rPr>
        <w:t>元，比2025年度年初预算数</w:t>
      </w:r>
      <w:r>
        <w:rPr>
          <w:rFonts w:ascii="仿宋_GB2312" w:eastAsia="仿宋_GB2312"/>
          <w:sz w:val="28"/>
          <w:szCs w:val="28"/>
        </w:rPr>
        <w:t>0</w:t>
      </w:r>
      <w:r>
        <w:rPr>
          <w:rFonts w:ascii="仿宋_GB2312" w:eastAsia="仿宋_GB2312" w:hint="eastAsia"/>
          <w:sz w:val="28"/>
          <w:szCs w:val="28"/>
        </w:rPr>
        <w:t>元增加（减少）</w:t>
      </w:r>
      <w:r>
        <w:rPr>
          <w:rFonts w:ascii="仿宋_GB2312" w:eastAsia="仿宋_GB2312"/>
          <w:sz w:val="28"/>
          <w:szCs w:val="28"/>
        </w:rPr>
        <w:t>0</w:t>
      </w:r>
      <w:r>
        <w:rPr>
          <w:rFonts w:ascii="仿宋_GB2312" w:eastAsia="仿宋_GB2312" w:hint="eastAsia"/>
          <w:sz w:val="28"/>
          <w:szCs w:val="28"/>
        </w:rPr>
        <w:t>元。主要原因：</w:t>
      </w:r>
      <w:r>
        <w:rPr>
          <w:rFonts w:ascii="仿宋_GB2312" w:eastAsia="仿宋_GB2312" w:hAnsi="Calibri" w:hint="eastAsia"/>
          <w:color w:val="000000"/>
          <w:sz w:val="28"/>
          <w:szCs w:val="28"/>
        </w:rPr>
        <w:t>本年无此项预算支出</w:t>
      </w:r>
      <w:r>
        <w:rPr>
          <w:rFonts w:ascii="仿宋_GB2312" w:eastAsia="仿宋_GB2312" w:hAnsi="Calibri" w:hint="eastAsia"/>
          <w:sz w:val="28"/>
          <w:szCs w:val="28"/>
        </w:rPr>
        <w:t>；</w:t>
      </w:r>
    </w:p>
    <w:p w:rsidR="005E36F0" w:rsidRDefault="007D3E61">
      <w:pPr>
        <w:spacing w:line="560" w:lineRule="exact"/>
        <w:ind w:firstLineChars="200" w:firstLine="560"/>
        <w:rPr>
          <w:rFonts w:ascii="仿宋_GB2312" w:eastAsia="仿宋_GB2312"/>
          <w:sz w:val="28"/>
          <w:szCs w:val="28"/>
        </w:rPr>
      </w:pPr>
      <w:r>
        <w:rPr>
          <w:rFonts w:ascii="仿宋_GB2312" w:eastAsia="仿宋_GB2312" w:hint="eastAsia"/>
          <w:sz w:val="28"/>
          <w:szCs w:val="28"/>
        </w:rPr>
        <w:t>2.公务接待费。2025年度决算数</w:t>
      </w:r>
      <w:r>
        <w:rPr>
          <w:rFonts w:ascii="仿宋_GB2312" w:eastAsia="仿宋_GB2312"/>
          <w:sz w:val="28"/>
          <w:szCs w:val="28"/>
        </w:rPr>
        <w:t>0</w:t>
      </w:r>
      <w:r>
        <w:rPr>
          <w:rFonts w:ascii="仿宋_GB2312" w:eastAsia="仿宋_GB2312" w:hint="eastAsia"/>
          <w:sz w:val="28"/>
          <w:szCs w:val="28"/>
        </w:rPr>
        <w:t>元，比2025年度年初预算数</w:t>
      </w:r>
      <w:r>
        <w:rPr>
          <w:rFonts w:ascii="仿宋_GB2312" w:eastAsia="仿宋_GB2312"/>
          <w:sz w:val="28"/>
          <w:szCs w:val="28"/>
        </w:rPr>
        <w:t>8</w:t>
      </w:r>
      <w:r>
        <w:rPr>
          <w:rFonts w:ascii="仿宋_GB2312" w:eastAsia="仿宋_GB2312" w:hint="eastAsia"/>
          <w:sz w:val="28"/>
          <w:szCs w:val="28"/>
        </w:rPr>
        <w:t>,</w:t>
      </w:r>
      <w:r>
        <w:rPr>
          <w:rFonts w:ascii="仿宋_GB2312" w:eastAsia="仿宋_GB2312"/>
          <w:sz w:val="28"/>
          <w:szCs w:val="28"/>
        </w:rPr>
        <w:t>082</w:t>
      </w:r>
      <w:r>
        <w:rPr>
          <w:rFonts w:ascii="仿宋_GB2312" w:eastAsia="仿宋_GB2312" w:hint="eastAsia"/>
          <w:sz w:val="28"/>
          <w:szCs w:val="28"/>
        </w:rPr>
        <w:t>元减少</w:t>
      </w:r>
      <w:r>
        <w:rPr>
          <w:rFonts w:ascii="仿宋_GB2312" w:eastAsia="仿宋_GB2312"/>
          <w:sz w:val="28"/>
          <w:szCs w:val="28"/>
        </w:rPr>
        <w:t>8</w:t>
      </w:r>
      <w:r>
        <w:rPr>
          <w:rFonts w:ascii="仿宋_GB2312" w:eastAsia="仿宋_GB2312" w:hint="eastAsia"/>
          <w:sz w:val="28"/>
          <w:szCs w:val="28"/>
        </w:rPr>
        <w:t>,</w:t>
      </w:r>
      <w:r>
        <w:rPr>
          <w:rFonts w:ascii="仿宋_GB2312" w:eastAsia="仿宋_GB2312"/>
          <w:sz w:val="28"/>
          <w:szCs w:val="28"/>
        </w:rPr>
        <w:t>082</w:t>
      </w:r>
      <w:r>
        <w:rPr>
          <w:rFonts w:ascii="仿宋_GB2312" w:eastAsia="仿宋_GB2312" w:hint="eastAsia"/>
          <w:sz w:val="28"/>
          <w:szCs w:val="28"/>
        </w:rPr>
        <w:t>元。主要原因：</w:t>
      </w:r>
      <w:r>
        <w:rPr>
          <w:rFonts w:ascii="仿宋_GB2312" w:eastAsia="仿宋_GB2312" w:hAnsi="Calibri" w:hint="eastAsia"/>
          <w:sz w:val="28"/>
          <w:szCs w:val="28"/>
        </w:rPr>
        <w:t>主要原因</w:t>
      </w:r>
      <w:r>
        <w:rPr>
          <w:rFonts w:ascii="仿宋_GB2312" w:eastAsia="仿宋_GB2312" w:hAnsi="Calibri" w:hint="eastAsia"/>
          <w:color w:val="000000"/>
          <w:sz w:val="28"/>
          <w:szCs w:val="28"/>
        </w:rPr>
        <w:t>本年无此项支出</w:t>
      </w:r>
      <w:r>
        <w:rPr>
          <w:rFonts w:ascii="仿宋_GB2312" w:eastAsia="仿宋_GB2312" w:hAnsi="Calibri" w:hint="eastAsia"/>
          <w:sz w:val="28"/>
          <w:szCs w:val="28"/>
        </w:rPr>
        <w:t>；</w:t>
      </w:r>
    </w:p>
    <w:p w:rsidR="005E36F0" w:rsidRDefault="007D3E61">
      <w:pPr>
        <w:spacing w:line="560" w:lineRule="exact"/>
        <w:ind w:firstLineChars="200" w:firstLine="560"/>
        <w:rPr>
          <w:rFonts w:ascii="仿宋_GB2312" w:eastAsia="仿宋_GB2312"/>
          <w:sz w:val="28"/>
          <w:szCs w:val="28"/>
        </w:rPr>
      </w:pPr>
      <w:r>
        <w:rPr>
          <w:rFonts w:ascii="仿宋_GB2312" w:eastAsia="仿宋_GB2312" w:hint="eastAsia"/>
          <w:sz w:val="28"/>
          <w:szCs w:val="28"/>
        </w:rPr>
        <w:t>3.公务用车购置及运行维护费。2025年度决算数</w:t>
      </w:r>
      <w:r>
        <w:rPr>
          <w:rFonts w:ascii="仿宋_GB2312" w:eastAsia="仿宋_GB2312"/>
          <w:sz w:val="28"/>
          <w:szCs w:val="28"/>
        </w:rPr>
        <w:t>43</w:t>
      </w:r>
      <w:r>
        <w:rPr>
          <w:rFonts w:ascii="仿宋_GB2312" w:eastAsia="仿宋_GB2312" w:hint="eastAsia"/>
          <w:sz w:val="28"/>
          <w:szCs w:val="28"/>
        </w:rPr>
        <w:t>,</w:t>
      </w:r>
      <w:r>
        <w:rPr>
          <w:rFonts w:ascii="仿宋_GB2312" w:eastAsia="仿宋_GB2312"/>
          <w:sz w:val="28"/>
          <w:szCs w:val="28"/>
        </w:rPr>
        <w:t>493.13</w:t>
      </w:r>
      <w:r>
        <w:rPr>
          <w:rFonts w:ascii="仿宋_GB2312" w:eastAsia="仿宋_GB2312" w:hint="eastAsia"/>
          <w:sz w:val="28"/>
          <w:szCs w:val="28"/>
        </w:rPr>
        <w:t>元，比2025年度年初预算数</w:t>
      </w:r>
      <w:r>
        <w:rPr>
          <w:rFonts w:ascii="仿宋_GB2312" w:eastAsia="仿宋_GB2312"/>
          <w:sz w:val="28"/>
          <w:szCs w:val="28"/>
        </w:rPr>
        <w:t>72</w:t>
      </w:r>
      <w:r>
        <w:rPr>
          <w:rFonts w:ascii="仿宋_GB2312" w:eastAsia="仿宋_GB2312" w:hint="eastAsia"/>
          <w:sz w:val="28"/>
          <w:szCs w:val="28"/>
        </w:rPr>
        <w:t>,</w:t>
      </w:r>
      <w:r>
        <w:rPr>
          <w:rFonts w:ascii="仿宋_GB2312" w:eastAsia="仿宋_GB2312"/>
          <w:sz w:val="28"/>
          <w:szCs w:val="28"/>
        </w:rPr>
        <w:t>000</w:t>
      </w:r>
      <w:r>
        <w:rPr>
          <w:rFonts w:ascii="仿宋_GB2312" w:eastAsia="仿宋_GB2312" w:hint="eastAsia"/>
          <w:sz w:val="28"/>
          <w:szCs w:val="28"/>
        </w:rPr>
        <w:t>元减少</w:t>
      </w:r>
      <w:r>
        <w:rPr>
          <w:rFonts w:ascii="仿宋_GB2312" w:eastAsia="仿宋_GB2312"/>
          <w:sz w:val="28"/>
          <w:szCs w:val="28"/>
        </w:rPr>
        <w:t>28</w:t>
      </w:r>
      <w:r>
        <w:rPr>
          <w:rFonts w:ascii="仿宋_GB2312" w:eastAsia="仿宋_GB2312" w:hint="eastAsia"/>
          <w:sz w:val="28"/>
          <w:szCs w:val="28"/>
        </w:rPr>
        <w:t>,</w:t>
      </w:r>
      <w:r>
        <w:rPr>
          <w:rFonts w:ascii="仿宋_GB2312" w:eastAsia="仿宋_GB2312"/>
          <w:sz w:val="28"/>
          <w:szCs w:val="28"/>
        </w:rPr>
        <w:t>506.87</w:t>
      </w:r>
      <w:r>
        <w:rPr>
          <w:rFonts w:ascii="仿宋_GB2312" w:eastAsia="仿宋_GB2312" w:hint="eastAsia"/>
          <w:sz w:val="28"/>
          <w:szCs w:val="28"/>
        </w:rPr>
        <w:t>元。其中，公务用车购置费2025年度决算数0元，主要原因：</w:t>
      </w:r>
      <w:r>
        <w:rPr>
          <w:rFonts w:ascii="仿宋_GB2312" w:eastAsia="仿宋_GB2312" w:hAnsi="Calibri" w:hint="eastAsia"/>
          <w:sz w:val="28"/>
          <w:szCs w:val="28"/>
        </w:rPr>
        <w:t>本年无此项预算</w:t>
      </w:r>
      <w:r>
        <w:rPr>
          <w:rFonts w:ascii="仿宋_GB2312" w:eastAsia="仿宋_GB2312" w:hint="eastAsia"/>
          <w:sz w:val="28"/>
          <w:szCs w:val="28"/>
        </w:rPr>
        <w:t>，2025年度购置（更新）0辆。公务用车运行维护费2025年度决算数43,493.13元，主要原因：</w:t>
      </w:r>
      <w:r>
        <w:rPr>
          <w:rFonts w:ascii="仿宋_GB2312" w:eastAsia="仿宋_GB2312" w:hAnsi="Calibri" w:cs="仿宋_GB2312" w:hint="eastAsia"/>
          <w:color w:val="000000"/>
          <w:sz w:val="28"/>
          <w:szCs w:val="28"/>
        </w:rPr>
        <w:t>本年只发生公务用车运行维护费，未购置公务用车</w:t>
      </w:r>
      <w:r>
        <w:rPr>
          <w:rFonts w:ascii="仿宋_GB2312" w:eastAsia="仿宋_GB2312" w:hAnsi="Calibri" w:cs="仿宋_GB2312" w:hint="eastAsia"/>
          <w:sz w:val="28"/>
          <w:szCs w:val="28"/>
        </w:rPr>
        <w:t>。</w:t>
      </w:r>
      <w:r>
        <w:rPr>
          <w:rFonts w:ascii="仿宋_GB2312" w:eastAsia="仿宋_GB2312" w:hint="eastAsia"/>
          <w:sz w:val="28"/>
          <w:szCs w:val="28"/>
        </w:rPr>
        <w:t>2025年度公务用车保有量</w:t>
      </w:r>
      <w:r>
        <w:rPr>
          <w:rFonts w:ascii="仿宋_GB2312" w:eastAsia="仿宋_GB2312"/>
          <w:sz w:val="28"/>
          <w:szCs w:val="28"/>
        </w:rPr>
        <w:t>4</w:t>
      </w:r>
      <w:r>
        <w:rPr>
          <w:rFonts w:ascii="仿宋_GB2312" w:eastAsia="仿宋_GB2312" w:hint="eastAsia"/>
          <w:sz w:val="28"/>
          <w:szCs w:val="28"/>
        </w:rPr>
        <w:t>辆。</w:t>
      </w:r>
    </w:p>
    <w:p w:rsidR="005E36F0" w:rsidRDefault="007D3E61">
      <w:pPr>
        <w:tabs>
          <w:tab w:val="center" w:pos="6979"/>
        </w:tabs>
        <w:ind w:firstLineChars="198" w:firstLine="554"/>
        <w:rPr>
          <w:rFonts w:ascii="黑体" w:eastAsia="黑体"/>
          <w:sz w:val="28"/>
          <w:szCs w:val="28"/>
        </w:rPr>
      </w:pPr>
      <w:r>
        <w:rPr>
          <w:rFonts w:ascii="黑体" w:eastAsia="黑体" w:hint="eastAsia"/>
          <w:sz w:val="28"/>
          <w:szCs w:val="28"/>
        </w:rPr>
        <w:t>二、机关运行经费支出情况</w:t>
      </w:r>
    </w:p>
    <w:p w:rsidR="005E36F0" w:rsidRDefault="007D3E61" w:rsidP="00431DD9">
      <w:pPr>
        <w:ind w:firstLineChars="192" w:firstLine="538"/>
        <w:rPr>
          <w:rFonts w:ascii="仿宋_GB2312" w:eastAsia="仿宋_GB2312"/>
          <w:sz w:val="28"/>
          <w:szCs w:val="28"/>
        </w:rPr>
      </w:pPr>
      <w:r>
        <w:rPr>
          <w:rFonts w:ascii="仿宋_GB2312" w:eastAsia="仿宋_GB2312" w:hint="eastAsia"/>
          <w:sz w:val="28"/>
          <w:szCs w:val="28"/>
        </w:rPr>
        <w:t>2025年度机关运行经费支出合计248,200.04元，比上年减少22,751.27元，减少原因：落实政府过紧日子要求，</w:t>
      </w:r>
      <w:r>
        <w:rPr>
          <w:rFonts w:ascii="仿宋_GB2312" w:eastAsia="仿宋_GB2312" w:hAnsi="Calibri" w:hint="eastAsia"/>
          <w:sz w:val="28"/>
          <w:szCs w:val="28"/>
        </w:rPr>
        <w:t>严格公用经费支出管理</w:t>
      </w:r>
      <w:r>
        <w:rPr>
          <w:rFonts w:ascii="仿宋_GB2312" w:eastAsia="仿宋_GB2312" w:hint="eastAsia"/>
          <w:sz w:val="28"/>
          <w:szCs w:val="28"/>
        </w:rPr>
        <w:t>。</w:t>
      </w:r>
    </w:p>
    <w:p w:rsidR="005E36F0" w:rsidRDefault="007D3E61">
      <w:pPr>
        <w:ind w:left="540"/>
        <w:rPr>
          <w:rFonts w:ascii="黑体" w:eastAsia="黑体"/>
          <w:sz w:val="28"/>
          <w:szCs w:val="28"/>
        </w:rPr>
      </w:pPr>
      <w:r>
        <w:rPr>
          <w:rFonts w:ascii="黑体" w:eastAsia="黑体" w:hint="eastAsia"/>
          <w:sz w:val="28"/>
          <w:szCs w:val="28"/>
        </w:rPr>
        <w:t>三、政府采购支出情况</w:t>
      </w:r>
    </w:p>
    <w:p w:rsidR="005E36F0" w:rsidRDefault="007D3E61" w:rsidP="00431DD9">
      <w:pPr>
        <w:ind w:firstLineChars="192" w:firstLine="538"/>
        <w:rPr>
          <w:rFonts w:ascii="仿宋_GB2312" w:eastAsia="仿宋_GB2312"/>
          <w:sz w:val="28"/>
          <w:szCs w:val="28"/>
        </w:rPr>
      </w:pPr>
      <w:r>
        <w:rPr>
          <w:rFonts w:ascii="仿宋_GB2312" w:eastAsia="仿宋_GB2312" w:hint="eastAsia"/>
          <w:sz w:val="28"/>
          <w:szCs w:val="28"/>
        </w:rPr>
        <w:t>2025年度政府采购支出总额</w:t>
      </w:r>
      <w:r>
        <w:rPr>
          <w:rFonts w:ascii="仿宋_GB2312" w:eastAsia="仿宋_GB2312"/>
          <w:sz w:val="28"/>
          <w:szCs w:val="28"/>
        </w:rPr>
        <w:t>151</w:t>
      </w:r>
      <w:r>
        <w:rPr>
          <w:rFonts w:ascii="仿宋_GB2312" w:eastAsia="仿宋_GB2312" w:hint="eastAsia"/>
          <w:sz w:val="28"/>
          <w:szCs w:val="28"/>
        </w:rPr>
        <w:t>,</w:t>
      </w:r>
      <w:r>
        <w:rPr>
          <w:rFonts w:ascii="仿宋_GB2312" w:eastAsia="仿宋_GB2312"/>
          <w:sz w:val="28"/>
          <w:szCs w:val="28"/>
        </w:rPr>
        <w:t>841.42</w:t>
      </w:r>
      <w:r>
        <w:rPr>
          <w:rFonts w:ascii="仿宋_GB2312" w:eastAsia="仿宋_GB2312" w:hint="eastAsia"/>
          <w:sz w:val="28"/>
          <w:szCs w:val="28"/>
        </w:rPr>
        <w:t>元，其中：政府采购货物支出</w:t>
      </w:r>
      <w:r>
        <w:rPr>
          <w:rFonts w:ascii="仿宋_GB2312" w:eastAsia="仿宋_GB2312"/>
          <w:sz w:val="28"/>
          <w:szCs w:val="28"/>
        </w:rPr>
        <w:t>60</w:t>
      </w:r>
      <w:r>
        <w:rPr>
          <w:rFonts w:ascii="仿宋_GB2312" w:eastAsia="仿宋_GB2312" w:hint="eastAsia"/>
          <w:sz w:val="28"/>
          <w:szCs w:val="28"/>
        </w:rPr>
        <w:t>,</w:t>
      </w:r>
      <w:r>
        <w:rPr>
          <w:rFonts w:ascii="仿宋_GB2312" w:eastAsia="仿宋_GB2312"/>
          <w:sz w:val="28"/>
          <w:szCs w:val="28"/>
        </w:rPr>
        <w:t>737.5</w:t>
      </w:r>
      <w:r>
        <w:rPr>
          <w:rFonts w:ascii="仿宋_GB2312" w:eastAsia="仿宋_GB2312" w:hint="eastAsia"/>
          <w:sz w:val="28"/>
          <w:szCs w:val="28"/>
        </w:rPr>
        <w:t>元，政府采购工程支出</w:t>
      </w:r>
      <w:r>
        <w:rPr>
          <w:rFonts w:ascii="仿宋_GB2312" w:eastAsia="仿宋_GB2312"/>
          <w:sz w:val="28"/>
          <w:szCs w:val="28"/>
        </w:rPr>
        <w:t>0</w:t>
      </w:r>
      <w:r>
        <w:rPr>
          <w:rFonts w:ascii="仿宋_GB2312" w:eastAsia="仿宋_GB2312" w:hint="eastAsia"/>
          <w:sz w:val="28"/>
          <w:szCs w:val="28"/>
        </w:rPr>
        <w:t>元，政府</w:t>
      </w:r>
      <w:r>
        <w:rPr>
          <w:rFonts w:ascii="仿宋_GB2312" w:eastAsia="仿宋_GB2312" w:hint="eastAsia"/>
          <w:sz w:val="28"/>
          <w:szCs w:val="28"/>
        </w:rPr>
        <w:lastRenderedPageBreak/>
        <w:t>采购服务支出</w:t>
      </w:r>
      <w:r>
        <w:rPr>
          <w:rFonts w:ascii="仿宋_GB2312" w:eastAsia="仿宋_GB2312"/>
          <w:sz w:val="28"/>
          <w:szCs w:val="28"/>
        </w:rPr>
        <w:t>91</w:t>
      </w:r>
      <w:r>
        <w:rPr>
          <w:rFonts w:ascii="仿宋_GB2312" w:eastAsia="仿宋_GB2312" w:hint="eastAsia"/>
          <w:sz w:val="28"/>
          <w:szCs w:val="28"/>
        </w:rPr>
        <w:t>,</w:t>
      </w:r>
      <w:r>
        <w:rPr>
          <w:rFonts w:ascii="仿宋_GB2312" w:eastAsia="仿宋_GB2312"/>
          <w:sz w:val="28"/>
          <w:szCs w:val="28"/>
        </w:rPr>
        <w:t>103.92</w:t>
      </w:r>
      <w:r>
        <w:rPr>
          <w:rFonts w:ascii="仿宋_GB2312" w:eastAsia="仿宋_GB2312" w:hint="eastAsia"/>
          <w:sz w:val="28"/>
          <w:szCs w:val="28"/>
        </w:rPr>
        <w:t>元。授予中小企业合同金额</w:t>
      </w:r>
      <w:r>
        <w:rPr>
          <w:rFonts w:ascii="仿宋_GB2312" w:eastAsia="仿宋_GB2312"/>
          <w:sz w:val="28"/>
          <w:szCs w:val="28"/>
        </w:rPr>
        <w:t>131</w:t>
      </w:r>
      <w:r>
        <w:rPr>
          <w:rFonts w:ascii="仿宋_GB2312" w:eastAsia="仿宋_GB2312" w:hint="eastAsia"/>
          <w:sz w:val="28"/>
          <w:szCs w:val="28"/>
        </w:rPr>
        <w:t>,</w:t>
      </w:r>
      <w:r>
        <w:rPr>
          <w:rFonts w:ascii="仿宋_GB2312" w:eastAsia="仿宋_GB2312"/>
          <w:sz w:val="28"/>
          <w:szCs w:val="28"/>
        </w:rPr>
        <w:t>091.81</w:t>
      </w:r>
      <w:r>
        <w:rPr>
          <w:rFonts w:ascii="仿宋_GB2312" w:eastAsia="仿宋_GB2312" w:hint="eastAsia"/>
          <w:sz w:val="28"/>
          <w:szCs w:val="28"/>
        </w:rPr>
        <w:t>元，占政府采购支出总额的86.33%，其中：授予小微企业合同金额</w:t>
      </w:r>
      <w:r>
        <w:rPr>
          <w:rFonts w:ascii="仿宋_GB2312" w:eastAsia="仿宋_GB2312"/>
          <w:sz w:val="28"/>
          <w:szCs w:val="28"/>
        </w:rPr>
        <w:t>131</w:t>
      </w:r>
      <w:r>
        <w:rPr>
          <w:rFonts w:ascii="仿宋_GB2312" w:eastAsia="仿宋_GB2312" w:hint="eastAsia"/>
          <w:sz w:val="28"/>
          <w:szCs w:val="28"/>
        </w:rPr>
        <w:t>,</w:t>
      </w:r>
      <w:r>
        <w:rPr>
          <w:rFonts w:ascii="仿宋_GB2312" w:eastAsia="仿宋_GB2312"/>
          <w:sz w:val="28"/>
          <w:szCs w:val="28"/>
        </w:rPr>
        <w:t>091.81</w:t>
      </w:r>
      <w:r>
        <w:rPr>
          <w:rFonts w:ascii="仿宋_GB2312" w:eastAsia="仿宋_GB2312" w:hint="eastAsia"/>
          <w:sz w:val="28"/>
          <w:szCs w:val="28"/>
        </w:rPr>
        <w:t>元，占政府采购支出总额的</w:t>
      </w:r>
      <w:r>
        <w:rPr>
          <w:rFonts w:ascii="仿宋_GB2312" w:eastAsia="仿宋_GB2312"/>
          <w:sz w:val="28"/>
          <w:szCs w:val="28"/>
        </w:rPr>
        <w:t>86.33</w:t>
      </w:r>
      <w:r>
        <w:rPr>
          <w:rFonts w:ascii="仿宋_GB2312" w:eastAsia="仿宋_GB2312" w:hint="eastAsia"/>
          <w:sz w:val="28"/>
          <w:szCs w:val="28"/>
        </w:rPr>
        <w:t>%。</w:t>
      </w:r>
    </w:p>
    <w:p w:rsidR="005E36F0" w:rsidRDefault="007D3E61">
      <w:pPr>
        <w:ind w:firstLineChars="200" w:firstLine="560"/>
        <w:rPr>
          <w:rFonts w:ascii="黑体" w:eastAsia="黑体"/>
          <w:sz w:val="28"/>
          <w:szCs w:val="28"/>
          <w:highlight w:val="yellow"/>
        </w:rPr>
      </w:pPr>
      <w:r>
        <w:rPr>
          <w:rFonts w:ascii="黑体" w:eastAsia="黑体" w:hint="eastAsia"/>
          <w:sz w:val="28"/>
          <w:szCs w:val="28"/>
        </w:rPr>
        <w:t>四、国有资产占用情况</w:t>
      </w:r>
    </w:p>
    <w:p w:rsidR="005E36F0" w:rsidRDefault="007D3E61">
      <w:pPr>
        <w:ind w:firstLineChars="200" w:firstLine="560"/>
        <w:rPr>
          <w:rFonts w:ascii="仿宋_GB2312" w:eastAsia="仿宋_GB2312"/>
          <w:sz w:val="32"/>
          <w:szCs w:val="32"/>
        </w:rPr>
      </w:pPr>
      <w:r>
        <w:rPr>
          <w:rFonts w:ascii="仿宋_GB2312" w:eastAsia="仿宋_GB2312" w:hint="eastAsia"/>
          <w:sz w:val="28"/>
          <w:szCs w:val="28"/>
        </w:rPr>
        <w:t>截至12月31日，北京市门头沟区科学技术委员会（部门）共有车辆4台；单位价值100</w:t>
      </w:r>
      <w:r w:rsidR="00CB4CD3">
        <w:rPr>
          <w:rFonts w:ascii="仿宋_GB2312" w:eastAsia="仿宋_GB2312" w:hint="eastAsia"/>
          <w:sz w:val="28"/>
          <w:szCs w:val="28"/>
        </w:rPr>
        <w:t>万</w:t>
      </w:r>
      <w:r>
        <w:rPr>
          <w:rFonts w:ascii="仿宋_GB2312" w:eastAsia="仿宋_GB2312" w:hint="eastAsia"/>
          <w:sz w:val="28"/>
          <w:szCs w:val="28"/>
        </w:rPr>
        <w:t>元（含）以上的设备0台（套）。</w:t>
      </w:r>
    </w:p>
    <w:p w:rsidR="005E36F0" w:rsidRDefault="007D3E61">
      <w:pPr>
        <w:ind w:firstLineChars="200" w:firstLine="560"/>
        <w:jc w:val="left"/>
        <w:rPr>
          <w:rFonts w:ascii="仿宋_GB2312" w:eastAsia="仿宋_GB2312"/>
          <w:color w:val="000000"/>
          <w:sz w:val="32"/>
          <w:szCs w:val="32"/>
        </w:rPr>
      </w:pPr>
      <w:r>
        <w:rPr>
          <w:rFonts w:ascii="黑体" w:eastAsia="黑体" w:hint="eastAsia"/>
          <w:sz w:val="28"/>
          <w:szCs w:val="28"/>
        </w:rPr>
        <w:t>五、</w:t>
      </w:r>
      <w:r>
        <w:rPr>
          <w:rFonts w:ascii="黑体" w:eastAsia="黑体"/>
          <w:sz w:val="28"/>
          <w:szCs w:val="28"/>
        </w:rPr>
        <w:t>专业名词解释</w:t>
      </w:r>
    </w:p>
    <w:p w:rsidR="005E36F0" w:rsidRDefault="007D3E61">
      <w:pPr>
        <w:ind w:firstLineChars="200" w:firstLine="560"/>
        <w:rPr>
          <w:rFonts w:ascii="仿宋_GB2312" w:eastAsia="仿宋_GB2312"/>
          <w:sz w:val="28"/>
          <w:szCs w:val="28"/>
        </w:rPr>
      </w:pPr>
      <w:r>
        <w:rPr>
          <w:rFonts w:ascii="仿宋_GB2312" w:eastAsia="仿宋_GB2312" w:hint="eastAsia"/>
          <w:sz w:val="28"/>
          <w:szCs w:val="28"/>
        </w:rPr>
        <w:t>1.基本支出：指为保障机构正常运转、完成日常工作任务而发生的人员支出和公用支出。</w:t>
      </w:r>
    </w:p>
    <w:p w:rsidR="005E36F0" w:rsidRDefault="007D3E61">
      <w:pPr>
        <w:ind w:firstLineChars="200" w:firstLine="560"/>
        <w:rPr>
          <w:rFonts w:ascii="仿宋_GB2312" w:eastAsia="仿宋_GB2312"/>
          <w:sz w:val="28"/>
          <w:szCs w:val="28"/>
        </w:rPr>
      </w:pPr>
      <w:r>
        <w:rPr>
          <w:rFonts w:ascii="仿宋_GB2312" w:eastAsia="仿宋_GB2312" w:hint="eastAsia"/>
          <w:sz w:val="28"/>
          <w:szCs w:val="28"/>
        </w:rPr>
        <w:t>2.项目支出：指在基本支出之外为完成特定行政任务或事业发展目标所发生的支出。</w:t>
      </w:r>
    </w:p>
    <w:p w:rsidR="005E36F0" w:rsidRDefault="007D3E61">
      <w:pPr>
        <w:ind w:firstLineChars="200" w:firstLine="560"/>
        <w:rPr>
          <w:rFonts w:ascii="仿宋_GB2312" w:eastAsia="仿宋_GB2312"/>
          <w:sz w:val="28"/>
          <w:szCs w:val="28"/>
        </w:rPr>
      </w:pPr>
      <w:r>
        <w:rPr>
          <w:rFonts w:ascii="仿宋_GB2312" w:eastAsia="仿宋_GB2312" w:hint="eastAsia"/>
          <w:sz w:val="28"/>
          <w:szCs w:val="28"/>
        </w:rPr>
        <w:t>3.“三公”经费：是指单位通过财政拨款资金安排的因公出国（境）费、公务用车购置及运行费和公务接待费。</w:t>
      </w:r>
    </w:p>
    <w:p w:rsidR="005E36F0" w:rsidRDefault="007D3E61">
      <w:pPr>
        <w:ind w:firstLineChars="200" w:firstLine="560"/>
      </w:pPr>
      <w:r>
        <w:rPr>
          <w:rFonts w:ascii="仿宋_GB2312" w:eastAsia="仿宋_GB2312" w:hint="eastAsia"/>
          <w:sz w:val="28"/>
          <w:szCs w:val="28"/>
        </w:rPr>
        <w:t>4.机关运行经费：反映为保障行政单位（包括参照公务员法管理的事业单位）运行用于购买货物和服务的各项资金，包括办公费、会议费、培训费、委托业务费、公务接待费、公务用车运行维护费、维修（护）费及其他费用。</w:t>
      </w:r>
    </w:p>
    <w:p w:rsidR="005E36F0" w:rsidRDefault="007D3E61">
      <w:pPr>
        <w:ind w:firstLineChars="200" w:firstLine="560"/>
        <w:rPr>
          <w:rFonts w:ascii="仿宋_GB2312" w:eastAsia="仿宋_GB2312"/>
          <w:sz w:val="28"/>
          <w:szCs w:val="28"/>
        </w:rPr>
      </w:pPr>
      <w:r>
        <w:rPr>
          <w:rFonts w:ascii="仿宋_GB2312" w:eastAsia="仿宋_GB2312" w:hint="eastAsia"/>
          <w:sz w:val="28"/>
          <w:szCs w:val="28"/>
        </w:rPr>
        <w:t>5.政府采购：指各级国家机关、事业单位和团体组织，使用财政性资金采购依法制定的集中目录以内的或者采购限额标准以上的货物、工程和服务的行为，是规范财政支出管理和强化预算约束的有效措施。</w:t>
      </w:r>
    </w:p>
    <w:p w:rsidR="005E36F0" w:rsidRDefault="007D3E61">
      <w:pPr>
        <w:ind w:firstLineChars="200" w:firstLine="560"/>
        <w:rPr>
          <w:rFonts w:ascii="仿宋_GB2312" w:eastAsia="仿宋_GB2312" w:cs="仿宋_GB2312"/>
          <w:sz w:val="28"/>
          <w:szCs w:val="28"/>
        </w:rPr>
      </w:pPr>
      <w:r>
        <w:rPr>
          <w:rFonts w:ascii="仿宋_GB2312" w:eastAsia="仿宋_GB2312" w:hint="eastAsia"/>
          <w:sz w:val="28"/>
          <w:szCs w:val="28"/>
        </w:rPr>
        <w:t>6.</w:t>
      </w:r>
      <w:r>
        <w:rPr>
          <w:rFonts w:ascii="仿宋_GB2312" w:eastAsia="仿宋_GB2312" w:cs="仿宋_GB2312" w:hint="eastAsia"/>
          <w:sz w:val="28"/>
          <w:szCs w:val="28"/>
        </w:rPr>
        <w:t>科技专项经费支出：指用于科学技术管理事务方面的支出、科学技术普及方面支出、应用技术研究与开发支出以及其他科技方面的支出。</w:t>
      </w:r>
    </w:p>
    <w:p w:rsidR="005E36F0" w:rsidRDefault="005E36F0">
      <w:pPr>
        <w:tabs>
          <w:tab w:val="center" w:pos="6979"/>
        </w:tabs>
        <w:spacing w:line="580" w:lineRule="exact"/>
        <w:jc w:val="center"/>
        <w:rPr>
          <w:rFonts w:asciiTheme="minorEastAsia" w:eastAsiaTheme="minorEastAsia" w:hAnsiTheme="minorEastAsia"/>
          <w:b/>
          <w:sz w:val="36"/>
          <w:szCs w:val="36"/>
        </w:rPr>
      </w:pPr>
    </w:p>
    <w:p w:rsidR="005E36F0" w:rsidRDefault="007D3E61">
      <w:pPr>
        <w:tabs>
          <w:tab w:val="center" w:pos="6979"/>
        </w:tabs>
        <w:spacing w:line="580" w:lineRule="exact"/>
        <w:jc w:val="center"/>
        <w:rPr>
          <w:rFonts w:asciiTheme="minorEastAsia" w:eastAsiaTheme="minorEastAsia" w:hAnsiTheme="minorEastAsia"/>
          <w:b/>
          <w:sz w:val="36"/>
          <w:szCs w:val="36"/>
        </w:rPr>
      </w:pPr>
      <w:r>
        <w:rPr>
          <w:rFonts w:asciiTheme="minorEastAsia" w:eastAsiaTheme="minorEastAsia" w:hAnsiTheme="minorEastAsia" w:hint="eastAsia"/>
          <w:b/>
          <w:sz w:val="36"/>
          <w:szCs w:val="36"/>
        </w:rPr>
        <w:t>第四部分2025年度部门绩效评价情况</w:t>
      </w:r>
    </w:p>
    <w:p w:rsidR="005E36F0" w:rsidRDefault="005E36F0">
      <w:pPr>
        <w:tabs>
          <w:tab w:val="center" w:pos="6979"/>
        </w:tabs>
        <w:spacing w:line="580" w:lineRule="exact"/>
        <w:ind w:firstLineChars="200" w:firstLine="560"/>
        <w:jc w:val="center"/>
        <w:rPr>
          <w:rFonts w:ascii="华文中宋" w:eastAsia="华文中宋" w:hAnsi="华文中宋"/>
          <w:sz w:val="28"/>
          <w:szCs w:val="28"/>
        </w:rPr>
      </w:pPr>
    </w:p>
    <w:p w:rsidR="005E36F0" w:rsidRDefault="007D3E61">
      <w:pPr>
        <w:spacing w:line="580" w:lineRule="exact"/>
        <w:ind w:firstLineChars="200" w:firstLine="640"/>
        <w:rPr>
          <w:rFonts w:ascii="黑体" w:eastAsia="黑体" w:hAnsi="黑体"/>
          <w:sz w:val="32"/>
          <w:szCs w:val="32"/>
        </w:rPr>
      </w:pPr>
      <w:r>
        <w:rPr>
          <w:rFonts w:ascii="黑体" w:eastAsia="黑体" w:hint="eastAsia"/>
          <w:sz w:val="32"/>
          <w:szCs w:val="32"/>
        </w:rPr>
        <w:t xml:space="preserve"> </w:t>
      </w:r>
      <w:r>
        <w:rPr>
          <w:rFonts w:ascii="黑体" w:eastAsia="黑体" w:hAnsi="黑体" w:hint="eastAsia"/>
          <w:sz w:val="32"/>
          <w:szCs w:val="32"/>
        </w:rPr>
        <w:t>一、部门整体绩效评价报告</w:t>
      </w:r>
    </w:p>
    <w:p w:rsidR="005E36F0" w:rsidRDefault="007D3E61">
      <w:pPr>
        <w:spacing w:line="580" w:lineRule="exact"/>
        <w:ind w:firstLine="641"/>
        <w:rPr>
          <w:rFonts w:ascii="楷体_GB2312" w:eastAsia="楷体_GB2312"/>
          <w:b/>
          <w:sz w:val="32"/>
          <w:szCs w:val="32"/>
        </w:rPr>
      </w:pPr>
      <w:bookmarkStart w:id="0" w:name="_Toc268005755"/>
      <w:r>
        <w:rPr>
          <w:rFonts w:ascii="楷体_GB2312" w:eastAsia="楷体_GB2312" w:hint="eastAsia"/>
          <w:b/>
          <w:sz w:val="32"/>
          <w:szCs w:val="32"/>
        </w:rPr>
        <w:t>(一)2025年主要工作任务</w:t>
      </w:r>
      <w:bookmarkStart w:id="1" w:name="OLE_LINK5"/>
    </w:p>
    <w:p w:rsidR="005E36F0" w:rsidRDefault="007D3E61">
      <w:pPr>
        <w:spacing w:line="580" w:lineRule="exact"/>
        <w:ind w:firstLine="641"/>
        <w:rPr>
          <w:rFonts w:ascii="仿宋_GB2312" w:eastAsia="仿宋_GB2312"/>
          <w:sz w:val="32"/>
          <w:szCs w:val="32"/>
        </w:rPr>
      </w:pPr>
      <w:r>
        <w:rPr>
          <w:rFonts w:ascii="仿宋_GB2312" w:eastAsia="仿宋_GB2312" w:hint="eastAsia"/>
          <w:sz w:val="32"/>
          <w:szCs w:val="32"/>
        </w:rPr>
        <w:t>2025年，在区委区政府的科学决策和坚强领导下，在市科委、中关村管委会的悉心关怀和鼎力支持下，区科委以习近平新时代中国特色社会主义思想为指导，紧扣“决胜‘十四五’、跑出加速度”主题，在党的二十大及二十届二中、三中、四中全会精神指引下，深入实施“生态立区、文化兴区、科技强区”发展战略，推进区域经济绿色高质量转型发展，全力塑造“京西福地”新形象。</w:t>
      </w:r>
    </w:p>
    <w:bookmarkEnd w:id="1"/>
    <w:p w:rsidR="005E36F0" w:rsidRDefault="007D3E61">
      <w:pPr>
        <w:spacing w:line="560" w:lineRule="exact"/>
        <w:ind w:firstLine="634"/>
        <w:rPr>
          <w:rFonts w:ascii="仿宋_GB2312" w:eastAsia="仿宋_GB2312"/>
          <w:sz w:val="32"/>
          <w:szCs w:val="32"/>
        </w:rPr>
      </w:pPr>
      <w:r>
        <w:rPr>
          <w:rFonts w:ascii="仿宋_GB2312" w:eastAsia="仿宋_GB2312" w:hint="eastAsia"/>
          <w:sz w:val="32"/>
          <w:szCs w:val="32"/>
        </w:rPr>
        <w:t>（1）推进党建与业务互融互促；</w:t>
      </w:r>
    </w:p>
    <w:p w:rsidR="005E36F0" w:rsidRDefault="007D3E61">
      <w:pPr>
        <w:spacing w:line="560" w:lineRule="exact"/>
        <w:ind w:firstLine="634"/>
        <w:rPr>
          <w:rFonts w:ascii="仿宋_GB2312" w:eastAsia="仿宋_GB2312"/>
          <w:sz w:val="32"/>
          <w:szCs w:val="32"/>
        </w:rPr>
      </w:pPr>
      <w:r>
        <w:rPr>
          <w:rFonts w:ascii="仿宋_GB2312" w:eastAsia="仿宋_GB2312" w:hint="eastAsia"/>
          <w:sz w:val="32"/>
          <w:szCs w:val="32"/>
        </w:rPr>
        <w:t>（2）产业培育与经济指标稳步提升;</w:t>
      </w:r>
    </w:p>
    <w:p w:rsidR="005E36F0" w:rsidRDefault="007D3E61">
      <w:pPr>
        <w:spacing w:line="560" w:lineRule="exact"/>
        <w:ind w:firstLine="634"/>
        <w:rPr>
          <w:rFonts w:ascii="仿宋_GB2312" w:eastAsia="仿宋_GB2312"/>
          <w:sz w:val="32"/>
          <w:szCs w:val="32"/>
        </w:rPr>
      </w:pPr>
      <w:r>
        <w:rPr>
          <w:rFonts w:ascii="仿宋_GB2312" w:eastAsia="仿宋_GB2312" w:hint="eastAsia"/>
          <w:sz w:val="32"/>
          <w:szCs w:val="32"/>
        </w:rPr>
        <w:t>（3）多措并举护航区域经济高质量发展；</w:t>
      </w:r>
    </w:p>
    <w:p w:rsidR="005E36F0" w:rsidRDefault="007D3E61">
      <w:pPr>
        <w:spacing w:line="560" w:lineRule="exact"/>
        <w:ind w:firstLine="634"/>
        <w:rPr>
          <w:rFonts w:ascii="仿宋_GB2312" w:eastAsia="仿宋_GB2312"/>
          <w:sz w:val="32"/>
          <w:szCs w:val="32"/>
        </w:rPr>
      </w:pPr>
      <w:r>
        <w:rPr>
          <w:rFonts w:ascii="仿宋_GB2312" w:eastAsia="仿宋_GB2312" w:hint="eastAsia"/>
          <w:sz w:val="32"/>
          <w:szCs w:val="32"/>
        </w:rPr>
        <w:t>（4） 科普教育与科技交流全面拓展；</w:t>
      </w:r>
    </w:p>
    <w:p w:rsidR="005E36F0" w:rsidRDefault="007D3E61">
      <w:pPr>
        <w:widowControl/>
        <w:ind w:firstLineChars="200" w:firstLine="640"/>
        <w:jc w:val="left"/>
        <w:rPr>
          <w:rFonts w:ascii="仿宋_GB2312" w:eastAsia="仿宋_GB2312"/>
          <w:sz w:val="32"/>
          <w:szCs w:val="32"/>
        </w:rPr>
      </w:pPr>
      <w:r>
        <w:rPr>
          <w:rFonts w:ascii="仿宋_GB2312" w:eastAsia="仿宋_GB2312" w:hint="eastAsia"/>
          <w:sz w:val="32"/>
          <w:szCs w:val="32"/>
        </w:rPr>
        <w:t>（5）科技项目稳步推进助推区域发展。</w:t>
      </w:r>
      <w:bookmarkStart w:id="2" w:name="_Toc268005759"/>
      <w:bookmarkStart w:id="3" w:name="_Toc263686375"/>
      <w:bookmarkEnd w:id="0"/>
    </w:p>
    <w:p w:rsidR="005E36F0" w:rsidRDefault="007D3E61">
      <w:pPr>
        <w:spacing w:line="580" w:lineRule="exact"/>
        <w:ind w:firstLine="641"/>
        <w:rPr>
          <w:rFonts w:ascii="楷体_GB2312" w:eastAsia="楷体_GB2312"/>
          <w:b/>
          <w:sz w:val="32"/>
          <w:szCs w:val="32"/>
        </w:rPr>
      </w:pPr>
      <w:r>
        <w:rPr>
          <w:rFonts w:ascii="楷体_GB2312" w:eastAsia="楷体_GB2312" w:hint="eastAsia"/>
          <w:b/>
          <w:sz w:val="32"/>
          <w:szCs w:val="32"/>
        </w:rPr>
        <w:t>（二）部门</w:t>
      </w:r>
      <w:bookmarkEnd w:id="2"/>
      <w:r>
        <w:rPr>
          <w:rFonts w:ascii="楷体_GB2312" w:eastAsia="楷体_GB2312" w:hint="eastAsia"/>
          <w:b/>
          <w:sz w:val="32"/>
          <w:szCs w:val="32"/>
        </w:rPr>
        <w:t>整体绩效目标设立情况</w:t>
      </w:r>
    </w:p>
    <w:p w:rsidR="005E36F0" w:rsidRDefault="005E36F0">
      <w:pPr>
        <w:spacing w:line="520" w:lineRule="exact"/>
        <w:ind w:firstLineChars="200" w:firstLine="640"/>
        <w:rPr>
          <w:rFonts w:ascii="楷体_GB2312" w:eastAsia="楷体_GB2312" w:hAnsi="Calibri"/>
          <w:sz w:val="32"/>
          <w:szCs w:val="32"/>
        </w:rPr>
      </w:pPr>
    </w:p>
    <w:p w:rsidR="005E36F0" w:rsidRDefault="005E36F0">
      <w:pPr>
        <w:spacing w:line="520" w:lineRule="exact"/>
        <w:ind w:firstLineChars="200" w:firstLine="640"/>
        <w:rPr>
          <w:rFonts w:ascii="楷体_GB2312" w:eastAsia="楷体_GB2312" w:hAnsi="Calibri"/>
          <w:sz w:val="32"/>
          <w:szCs w:val="32"/>
        </w:rPr>
      </w:pPr>
    </w:p>
    <w:p w:rsidR="005E36F0" w:rsidRDefault="005E36F0">
      <w:pPr>
        <w:spacing w:line="520" w:lineRule="exact"/>
        <w:ind w:firstLineChars="200" w:firstLine="640"/>
        <w:rPr>
          <w:rFonts w:ascii="楷体_GB2312" w:eastAsia="楷体_GB2312" w:hAnsi="Calibri"/>
          <w:sz w:val="32"/>
          <w:szCs w:val="32"/>
        </w:rPr>
      </w:pPr>
    </w:p>
    <w:tbl>
      <w:tblPr>
        <w:tblW w:w="4821" w:type="pct"/>
        <w:tblLook w:val="04A0"/>
      </w:tblPr>
      <w:tblGrid>
        <w:gridCol w:w="1939"/>
        <w:gridCol w:w="2683"/>
        <w:gridCol w:w="2433"/>
        <w:gridCol w:w="1948"/>
        <w:gridCol w:w="2439"/>
        <w:gridCol w:w="2815"/>
      </w:tblGrid>
      <w:tr w:rsidR="005E36F0">
        <w:trPr>
          <w:trHeight w:val="90"/>
        </w:trPr>
        <w:tc>
          <w:tcPr>
            <w:tcW w:w="1939" w:type="dxa"/>
            <w:tcBorders>
              <w:top w:val="single" w:sz="4" w:space="0" w:color="auto"/>
              <w:left w:val="single" w:sz="4" w:space="0" w:color="auto"/>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序号</w:t>
            </w:r>
          </w:p>
        </w:tc>
        <w:tc>
          <w:tcPr>
            <w:tcW w:w="2683" w:type="dxa"/>
            <w:tcBorders>
              <w:top w:val="single" w:sz="4" w:space="0" w:color="auto"/>
              <w:left w:val="nil"/>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三级指标</w:t>
            </w:r>
          </w:p>
        </w:tc>
        <w:tc>
          <w:tcPr>
            <w:tcW w:w="2433" w:type="dxa"/>
            <w:tcBorders>
              <w:top w:val="single" w:sz="4" w:space="0" w:color="auto"/>
              <w:left w:val="nil"/>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指标性质</w:t>
            </w:r>
          </w:p>
        </w:tc>
        <w:tc>
          <w:tcPr>
            <w:tcW w:w="1948" w:type="dxa"/>
            <w:tcBorders>
              <w:top w:val="single" w:sz="4" w:space="0" w:color="auto"/>
              <w:left w:val="nil"/>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指标值</w:t>
            </w:r>
          </w:p>
        </w:tc>
        <w:tc>
          <w:tcPr>
            <w:tcW w:w="2439" w:type="dxa"/>
            <w:tcBorders>
              <w:top w:val="single" w:sz="4" w:space="0" w:color="auto"/>
              <w:left w:val="nil"/>
              <w:bottom w:val="single" w:sz="4" w:space="0" w:color="auto"/>
              <w:right w:val="single" w:sz="4" w:space="0" w:color="auto"/>
            </w:tcBorders>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度量单位</w:t>
            </w:r>
          </w:p>
        </w:tc>
        <w:tc>
          <w:tcPr>
            <w:tcW w:w="2816" w:type="dxa"/>
            <w:tcBorders>
              <w:top w:val="single" w:sz="4" w:space="0" w:color="auto"/>
              <w:left w:val="nil"/>
              <w:bottom w:val="single" w:sz="4" w:space="0" w:color="auto"/>
              <w:right w:val="single" w:sz="4" w:space="0" w:color="auto"/>
            </w:tcBorders>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指标权重</w:t>
            </w:r>
          </w:p>
        </w:tc>
      </w:tr>
      <w:tr w:rsidR="005E36F0">
        <w:trPr>
          <w:trHeight w:val="564"/>
        </w:trPr>
        <w:tc>
          <w:tcPr>
            <w:tcW w:w="1939" w:type="dxa"/>
            <w:tcBorders>
              <w:top w:val="nil"/>
              <w:left w:val="single" w:sz="4" w:space="0" w:color="auto"/>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1</w:t>
            </w:r>
          </w:p>
        </w:tc>
        <w:tc>
          <w:tcPr>
            <w:tcW w:w="2683" w:type="dxa"/>
            <w:tcBorders>
              <w:top w:val="nil"/>
              <w:left w:val="nil"/>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4"/>
              </w:rPr>
              <w:t>保证人员工资发放到位</w:t>
            </w:r>
          </w:p>
        </w:tc>
        <w:tc>
          <w:tcPr>
            <w:tcW w:w="2433" w:type="dxa"/>
            <w:tcBorders>
              <w:top w:val="nil"/>
              <w:left w:val="nil"/>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w:t>
            </w:r>
          </w:p>
        </w:tc>
        <w:tc>
          <w:tcPr>
            <w:tcW w:w="1948" w:type="dxa"/>
            <w:tcBorders>
              <w:top w:val="nil"/>
              <w:left w:val="nil"/>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90</w:t>
            </w:r>
          </w:p>
        </w:tc>
        <w:tc>
          <w:tcPr>
            <w:tcW w:w="2439" w:type="dxa"/>
            <w:tcBorders>
              <w:top w:val="nil"/>
              <w:left w:val="nil"/>
              <w:bottom w:val="single" w:sz="4" w:space="0" w:color="auto"/>
              <w:right w:val="single" w:sz="4" w:space="0" w:color="auto"/>
            </w:tcBorders>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w:t>
            </w:r>
          </w:p>
        </w:tc>
        <w:tc>
          <w:tcPr>
            <w:tcW w:w="2816" w:type="dxa"/>
            <w:tcBorders>
              <w:top w:val="nil"/>
              <w:left w:val="nil"/>
              <w:bottom w:val="single" w:sz="4" w:space="0" w:color="auto"/>
              <w:right w:val="single" w:sz="4" w:space="0" w:color="auto"/>
            </w:tcBorders>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50</w:t>
            </w:r>
          </w:p>
        </w:tc>
      </w:tr>
      <w:tr w:rsidR="005E36F0">
        <w:trPr>
          <w:trHeight w:val="90"/>
        </w:trPr>
        <w:tc>
          <w:tcPr>
            <w:tcW w:w="1939" w:type="dxa"/>
            <w:tcBorders>
              <w:top w:val="nil"/>
              <w:left w:val="single" w:sz="4" w:space="0" w:color="auto"/>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2</w:t>
            </w:r>
          </w:p>
        </w:tc>
        <w:tc>
          <w:tcPr>
            <w:tcW w:w="2683" w:type="dxa"/>
            <w:tcBorders>
              <w:top w:val="nil"/>
              <w:left w:val="nil"/>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保障项目实施</w:t>
            </w:r>
          </w:p>
        </w:tc>
        <w:tc>
          <w:tcPr>
            <w:tcW w:w="2433" w:type="dxa"/>
            <w:tcBorders>
              <w:top w:val="nil"/>
              <w:left w:val="nil"/>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w:t>
            </w:r>
          </w:p>
        </w:tc>
        <w:tc>
          <w:tcPr>
            <w:tcW w:w="1948" w:type="dxa"/>
            <w:tcBorders>
              <w:top w:val="nil"/>
              <w:left w:val="nil"/>
              <w:bottom w:val="single" w:sz="4" w:space="0" w:color="auto"/>
              <w:right w:val="single" w:sz="4" w:space="0" w:color="auto"/>
            </w:tcBorders>
            <w:noWrap/>
            <w:vAlign w:val="bottom"/>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90</w:t>
            </w:r>
          </w:p>
        </w:tc>
        <w:tc>
          <w:tcPr>
            <w:tcW w:w="2439" w:type="dxa"/>
            <w:tcBorders>
              <w:top w:val="nil"/>
              <w:left w:val="nil"/>
              <w:bottom w:val="single" w:sz="4" w:space="0" w:color="auto"/>
              <w:right w:val="single" w:sz="4" w:space="0" w:color="auto"/>
            </w:tcBorders>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w:t>
            </w:r>
          </w:p>
        </w:tc>
        <w:tc>
          <w:tcPr>
            <w:tcW w:w="2816" w:type="dxa"/>
            <w:tcBorders>
              <w:top w:val="nil"/>
              <w:left w:val="nil"/>
              <w:bottom w:val="single" w:sz="4" w:space="0" w:color="auto"/>
              <w:right w:val="single" w:sz="4" w:space="0" w:color="auto"/>
            </w:tcBorders>
          </w:tcPr>
          <w:p w:rsidR="005E36F0" w:rsidRDefault="007D3E61">
            <w:pPr>
              <w:widowControl/>
              <w:jc w:val="center"/>
              <w:rPr>
                <w:rFonts w:ascii="仿宋_GB2312" w:eastAsia="仿宋_GB2312"/>
                <w:sz w:val="28"/>
                <w:szCs w:val="28"/>
              </w:rPr>
            </w:pPr>
            <w:r>
              <w:rPr>
                <w:rFonts w:ascii="仿宋_GB2312" w:eastAsia="仿宋_GB2312" w:hAnsi="仿宋" w:cs="仿宋_GB2312" w:hint="eastAsia"/>
                <w:sz w:val="28"/>
                <w:szCs w:val="28"/>
              </w:rPr>
              <w:t>50</w:t>
            </w:r>
          </w:p>
        </w:tc>
      </w:tr>
    </w:tbl>
    <w:p w:rsidR="005E36F0" w:rsidRDefault="007D3E61">
      <w:pPr>
        <w:spacing w:line="580" w:lineRule="exact"/>
        <w:ind w:firstLine="641"/>
        <w:rPr>
          <w:rFonts w:ascii="楷体_GB2312" w:eastAsia="楷体_GB2312"/>
          <w:b/>
          <w:sz w:val="32"/>
          <w:szCs w:val="32"/>
        </w:rPr>
      </w:pPr>
      <w:r>
        <w:rPr>
          <w:rFonts w:ascii="楷体_GB2312" w:eastAsia="楷体_GB2312" w:hint="eastAsia"/>
          <w:b/>
          <w:sz w:val="32"/>
          <w:szCs w:val="32"/>
        </w:rPr>
        <w:t>（三）整体绩效目标实现情况</w:t>
      </w:r>
    </w:p>
    <w:p w:rsidR="005E36F0" w:rsidRDefault="007D3E61">
      <w:pPr>
        <w:spacing w:line="580" w:lineRule="exact"/>
        <w:ind w:firstLine="641"/>
        <w:rPr>
          <w:rFonts w:ascii="仿宋_GB2312" w:eastAsia="仿宋_GB2312"/>
          <w:sz w:val="32"/>
          <w:szCs w:val="32"/>
        </w:rPr>
      </w:pPr>
      <w:r>
        <w:rPr>
          <w:rFonts w:ascii="仿宋_GB2312" w:eastAsia="仿宋_GB2312" w:hint="eastAsia"/>
          <w:sz w:val="32"/>
          <w:szCs w:val="32"/>
        </w:rPr>
        <w:t>1.产出完成情况分析</w:t>
      </w:r>
    </w:p>
    <w:p w:rsidR="005E36F0" w:rsidRDefault="007D3E61">
      <w:pPr>
        <w:spacing w:line="580" w:lineRule="exact"/>
        <w:ind w:firstLine="641"/>
        <w:rPr>
          <w:rFonts w:ascii="仿宋_GB2312" w:eastAsia="仿宋_GB2312"/>
          <w:sz w:val="32"/>
          <w:szCs w:val="32"/>
        </w:rPr>
      </w:pPr>
      <w:r>
        <w:rPr>
          <w:rFonts w:ascii="仿宋_GB2312" w:eastAsia="仿宋_GB2312" w:hint="eastAsia"/>
          <w:sz w:val="32"/>
          <w:szCs w:val="32"/>
        </w:rPr>
        <w:t>（1）产出数量</w:t>
      </w:r>
    </w:p>
    <w:tbl>
      <w:tblPr>
        <w:tblW w:w="13497" w:type="dxa"/>
        <w:tblInd w:w="748" w:type="dxa"/>
        <w:tblLook w:val="04A0"/>
      </w:tblPr>
      <w:tblGrid>
        <w:gridCol w:w="496"/>
        <w:gridCol w:w="1928"/>
        <w:gridCol w:w="3009"/>
        <w:gridCol w:w="3864"/>
        <w:gridCol w:w="4200"/>
      </w:tblGrid>
      <w:tr w:rsidR="005E36F0">
        <w:trPr>
          <w:trHeight w:val="510"/>
        </w:trPr>
        <w:tc>
          <w:tcPr>
            <w:tcW w:w="496" w:type="dxa"/>
            <w:tcBorders>
              <w:top w:val="single" w:sz="4" w:space="0" w:color="auto"/>
              <w:left w:val="single" w:sz="4" w:space="0" w:color="auto"/>
              <w:bottom w:val="single" w:sz="4" w:space="0" w:color="auto"/>
              <w:right w:val="single" w:sz="4" w:space="0" w:color="auto"/>
            </w:tcBorders>
            <w:vAlign w:val="center"/>
          </w:tcPr>
          <w:p w:rsidR="005E36F0" w:rsidRDefault="007D3E61">
            <w:pPr>
              <w:widowControl/>
              <w:spacing w:line="520" w:lineRule="exact"/>
              <w:jc w:val="center"/>
              <w:rPr>
                <w:rFonts w:ascii="仿宋_GB2312" w:eastAsia="仿宋_GB2312"/>
                <w:sz w:val="28"/>
                <w:szCs w:val="28"/>
              </w:rPr>
            </w:pPr>
            <w:r>
              <w:rPr>
                <w:rFonts w:ascii="仿宋" w:eastAsia="仿宋" w:hAnsi="仿宋" w:cs="仿宋" w:hint="eastAsia"/>
                <w:sz w:val="28"/>
                <w:szCs w:val="28"/>
              </w:rPr>
              <w:t>序号</w:t>
            </w:r>
          </w:p>
        </w:tc>
        <w:tc>
          <w:tcPr>
            <w:tcW w:w="1928" w:type="dxa"/>
            <w:tcBorders>
              <w:top w:val="single" w:sz="4" w:space="0" w:color="auto"/>
              <w:left w:val="nil"/>
              <w:bottom w:val="single" w:sz="4" w:space="0" w:color="auto"/>
              <w:right w:val="single" w:sz="4" w:space="0" w:color="auto"/>
            </w:tcBorders>
            <w:vAlign w:val="center"/>
          </w:tcPr>
          <w:p w:rsidR="005E36F0" w:rsidRDefault="007D3E61">
            <w:pPr>
              <w:widowControl/>
              <w:spacing w:line="520" w:lineRule="exact"/>
              <w:jc w:val="center"/>
              <w:rPr>
                <w:rFonts w:ascii="仿宋_GB2312" w:eastAsia="仿宋_GB2312"/>
                <w:sz w:val="28"/>
                <w:szCs w:val="28"/>
              </w:rPr>
            </w:pPr>
            <w:r>
              <w:rPr>
                <w:rFonts w:ascii="仿宋" w:eastAsia="仿宋" w:hAnsi="仿宋" w:cs="仿宋" w:hint="eastAsia"/>
                <w:sz w:val="28"/>
                <w:szCs w:val="28"/>
              </w:rPr>
              <w:t>绩效指标</w:t>
            </w:r>
          </w:p>
        </w:tc>
        <w:tc>
          <w:tcPr>
            <w:tcW w:w="3009" w:type="dxa"/>
            <w:tcBorders>
              <w:top w:val="single" w:sz="4" w:space="0" w:color="auto"/>
              <w:left w:val="nil"/>
              <w:bottom w:val="single" w:sz="4" w:space="0" w:color="auto"/>
              <w:right w:val="single" w:sz="4" w:space="0" w:color="auto"/>
            </w:tcBorders>
            <w:vAlign w:val="center"/>
          </w:tcPr>
          <w:p w:rsidR="005E36F0" w:rsidRDefault="007D3E61">
            <w:pPr>
              <w:widowControl/>
              <w:spacing w:line="520" w:lineRule="exact"/>
              <w:jc w:val="center"/>
              <w:rPr>
                <w:rFonts w:ascii="仿宋_GB2312" w:eastAsia="仿宋_GB2312"/>
                <w:sz w:val="28"/>
                <w:szCs w:val="28"/>
              </w:rPr>
            </w:pPr>
            <w:r>
              <w:rPr>
                <w:rFonts w:ascii="仿宋" w:eastAsia="仿宋" w:hAnsi="仿宋" w:cs="仿宋" w:hint="eastAsia"/>
                <w:sz w:val="28"/>
                <w:szCs w:val="28"/>
              </w:rPr>
              <w:t>计划值</w:t>
            </w:r>
          </w:p>
        </w:tc>
        <w:tc>
          <w:tcPr>
            <w:tcW w:w="3864" w:type="dxa"/>
            <w:tcBorders>
              <w:top w:val="single" w:sz="4" w:space="0" w:color="auto"/>
              <w:left w:val="nil"/>
              <w:bottom w:val="single" w:sz="4" w:space="0" w:color="auto"/>
              <w:right w:val="single" w:sz="4" w:space="0" w:color="auto"/>
            </w:tcBorders>
            <w:vAlign w:val="center"/>
          </w:tcPr>
          <w:p w:rsidR="005E36F0" w:rsidRDefault="007D3E61">
            <w:pPr>
              <w:widowControl/>
              <w:spacing w:line="520" w:lineRule="exact"/>
              <w:jc w:val="center"/>
              <w:rPr>
                <w:rFonts w:ascii="仿宋_GB2312" w:eastAsia="仿宋_GB2312"/>
                <w:sz w:val="28"/>
                <w:szCs w:val="28"/>
              </w:rPr>
            </w:pPr>
            <w:r>
              <w:rPr>
                <w:rFonts w:ascii="仿宋" w:eastAsia="仿宋" w:hAnsi="仿宋" w:cs="仿宋" w:hint="eastAsia"/>
                <w:sz w:val="28"/>
                <w:szCs w:val="28"/>
              </w:rPr>
              <w:t>完成值</w:t>
            </w:r>
          </w:p>
        </w:tc>
        <w:tc>
          <w:tcPr>
            <w:tcW w:w="4200" w:type="dxa"/>
            <w:tcBorders>
              <w:top w:val="single" w:sz="4" w:space="0" w:color="auto"/>
              <w:left w:val="nil"/>
              <w:bottom w:val="single" w:sz="4" w:space="0" w:color="auto"/>
              <w:right w:val="single" w:sz="4" w:space="0" w:color="auto"/>
            </w:tcBorders>
            <w:vAlign w:val="center"/>
          </w:tcPr>
          <w:p w:rsidR="005E36F0" w:rsidRDefault="007D3E61">
            <w:pPr>
              <w:widowControl/>
              <w:spacing w:line="520" w:lineRule="exact"/>
              <w:jc w:val="center"/>
              <w:rPr>
                <w:rFonts w:ascii="仿宋_GB2312" w:eastAsia="仿宋_GB2312"/>
                <w:sz w:val="28"/>
                <w:szCs w:val="28"/>
              </w:rPr>
            </w:pPr>
            <w:r>
              <w:rPr>
                <w:rFonts w:ascii="仿宋" w:eastAsia="仿宋" w:hAnsi="仿宋" w:cs="仿宋" w:hint="eastAsia"/>
                <w:sz w:val="28"/>
                <w:szCs w:val="28"/>
              </w:rPr>
              <w:t>偏差原因</w:t>
            </w:r>
          </w:p>
        </w:tc>
      </w:tr>
      <w:tr w:rsidR="005E36F0">
        <w:trPr>
          <w:trHeight w:val="510"/>
        </w:trPr>
        <w:tc>
          <w:tcPr>
            <w:tcW w:w="496" w:type="dxa"/>
            <w:tcBorders>
              <w:top w:val="nil"/>
              <w:left w:val="single" w:sz="4" w:space="0" w:color="auto"/>
              <w:bottom w:val="single" w:sz="4" w:space="0" w:color="auto"/>
              <w:right w:val="single" w:sz="4" w:space="0" w:color="auto"/>
            </w:tcBorders>
            <w:vAlign w:val="center"/>
          </w:tcPr>
          <w:p w:rsidR="005E36F0" w:rsidRDefault="007D3E61">
            <w:pPr>
              <w:widowControl/>
              <w:spacing w:line="520" w:lineRule="exact"/>
              <w:jc w:val="center"/>
              <w:rPr>
                <w:rFonts w:ascii="仿宋_GB2312" w:eastAsia="仿宋_GB2312"/>
                <w:sz w:val="28"/>
                <w:szCs w:val="28"/>
              </w:rPr>
            </w:pPr>
            <w:r>
              <w:rPr>
                <w:rFonts w:ascii="仿宋" w:eastAsia="仿宋" w:hAnsi="仿宋" w:cs="仿宋" w:hint="eastAsia"/>
                <w:sz w:val="28"/>
                <w:szCs w:val="28"/>
              </w:rPr>
              <w:t>1</w:t>
            </w:r>
          </w:p>
        </w:tc>
        <w:tc>
          <w:tcPr>
            <w:tcW w:w="1928" w:type="dxa"/>
            <w:tcBorders>
              <w:top w:val="nil"/>
              <w:left w:val="nil"/>
              <w:bottom w:val="single" w:sz="4" w:space="0" w:color="auto"/>
              <w:right w:val="single" w:sz="4" w:space="0" w:color="auto"/>
            </w:tcBorders>
            <w:vAlign w:val="center"/>
          </w:tcPr>
          <w:p w:rsidR="005E36F0" w:rsidRDefault="007D3E61">
            <w:pPr>
              <w:rPr>
                <w:rFonts w:ascii="仿宋_GB2312" w:eastAsia="仿宋_GB2312"/>
                <w:sz w:val="28"/>
                <w:szCs w:val="28"/>
              </w:rPr>
            </w:pPr>
            <w:r>
              <w:rPr>
                <w:rFonts w:ascii="仿宋" w:eastAsia="仿宋" w:hAnsi="仿宋" w:cs="仿宋" w:hint="eastAsia"/>
                <w:sz w:val="28"/>
                <w:szCs w:val="28"/>
              </w:rPr>
              <w:t>保障单位正常运行</w:t>
            </w:r>
          </w:p>
        </w:tc>
        <w:tc>
          <w:tcPr>
            <w:tcW w:w="3009" w:type="dxa"/>
            <w:tcBorders>
              <w:top w:val="nil"/>
              <w:left w:val="nil"/>
              <w:bottom w:val="single" w:sz="4" w:space="0" w:color="auto"/>
              <w:right w:val="single" w:sz="4" w:space="0" w:color="auto"/>
            </w:tcBorders>
            <w:vAlign w:val="center"/>
          </w:tcPr>
          <w:p w:rsidR="005E36F0" w:rsidRDefault="007D3E61">
            <w:pPr>
              <w:rPr>
                <w:rFonts w:ascii="仿宋_GB2312" w:eastAsia="仿宋_GB2312"/>
                <w:sz w:val="28"/>
                <w:szCs w:val="28"/>
              </w:rPr>
            </w:pPr>
            <w:r>
              <w:rPr>
                <w:rFonts w:ascii="仿宋" w:eastAsia="仿宋" w:hAnsi="仿宋" w:cs="仿宋" w:hint="eastAsia"/>
                <w:sz w:val="28"/>
                <w:szCs w:val="28"/>
              </w:rPr>
              <w:t>保证人员工资发放到位</w:t>
            </w:r>
          </w:p>
        </w:tc>
        <w:tc>
          <w:tcPr>
            <w:tcW w:w="3864" w:type="dxa"/>
            <w:tcBorders>
              <w:top w:val="nil"/>
              <w:left w:val="nil"/>
              <w:bottom w:val="single" w:sz="4" w:space="0" w:color="auto"/>
              <w:right w:val="single" w:sz="4" w:space="0" w:color="auto"/>
            </w:tcBorders>
            <w:vAlign w:val="center"/>
          </w:tcPr>
          <w:p w:rsidR="005E36F0" w:rsidRDefault="007D3E61">
            <w:pPr>
              <w:rPr>
                <w:rFonts w:ascii="仿宋_GB2312" w:eastAsia="仿宋_GB2312"/>
                <w:sz w:val="28"/>
                <w:szCs w:val="28"/>
              </w:rPr>
            </w:pPr>
            <w:r>
              <w:rPr>
                <w:rFonts w:ascii="仿宋" w:eastAsia="仿宋" w:hAnsi="仿宋" w:cs="仿宋" w:hint="eastAsia"/>
                <w:sz w:val="28"/>
                <w:szCs w:val="28"/>
              </w:rPr>
              <w:t>完成人员工资足额发放</w:t>
            </w:r>
          </w:p>
        </w:tc>
        <w:tc>
          <w:tcPr>
            <w:tcW w:w="4200" w:type="dxa"/>
            <w:tcBorders>
              <w:top w:val="nil"/>
              <w:left w:val="nil"/>
              <w:bottom w:val="single" w:sz="4" w:space="0" w:color="auto"/>
              <w:right w:val="single" w:sz="4" w:space="0" w:color="auto"/>
            </w:tcBorders>
            <w:vAlign w:val="center"/>
          </w:tcPr>
          <w:p w:rsidR="005E36F0" w:rsidRDefault="007D3E61">
            <w:pPr>
              <w:widowControl/>
              <w:spacing w:line="520" w:lineRule="exact"/>
              <w:jc w:val="center"/>
              <w:rPr>
                <w:rFonts w:ascii="仿宋_GB2312" w:eastAsia="仿宋_GB2312"/>
                <w:sz w:val="28"/>
                <w:szCs w:val="28"/>
              </w:rPr>
            </w:pPr>
            <w:r>
              <w:rPr>
                <w:rFonts w:ascii="仿宋" w:eastAsia="仿宋" w:hAnsi="仿宋" w:cs="仿宋" w:hint="eastAsia"/>
                <w:sz w:val="28"/>
                <w:szCs w:val="28"/>
              </w:rPr>
              <w:t>无</w:t>
            </w:r>
          </w:p>
        </w:tc>
      </w:tr>
      <w:tr w:rsidR="005E36F0">
        <w:trPr>
          <w:trHeight w:val="424"/>
        </w:trPr>
        <w:tc>
          <w:tcPr>
            <w:tcW w:w="496" w:type="dxa"/>
            <w:tcBorders>
              <w:top w:val="nil"/>
              <w:left w:val="single" w:sz="4" w:space="0" w:color="auto"/>
              <w:bottom w:val="single" w:sz="4" w:space="0" w:color="auto"/>
              <w:right w:val="single" w:sz="4" w:space="0" w:color="auto"/>
            </w:tcBorders>
            <w:vAlign w:val="center"/>
          </w:tcPr>
          <w:p w:rsidR="005E36F0" w:rsidRDefault="007D3E61">
            <w:pPr>
              <w:widowControl/>
              <w:spacing w:line="520" w:lineRule="exact"/>
              <w:jc w:val="center"/>
              <w:rPr>
                <w:rFonts w:ascii="仿宋_GB2312" w:eastAsia="仿宋_GB2312"/>
                <w:sz w:val="28"/>
                <w:szCs w:val="28"/>
              </w:rPr>
            </w:pPr>
            <w:r>
              <w:rPr>
                <w:rFonts w:ascii="仿宋" w:eastAsia="仿宋" w:hAnsi="仿宋" w:cs="仿宋" w:hint="eastAsia"/>
                <w:sz w:val="28"/>
                <w:szCs w:val="28"/>
              </w:rPr>
              <w:t>2</w:t>
            </w:r>
          </w:p>
        </w:tc>
        <w:tc>
          <w:tcPr>
            <w:tcW w:w="1928" w:type="dxa"/>
            <w:tcBorders>
              <w:top w:val="nil"/>
              <w:left w:val="nil"/>
              <w:bottom w:val="single" w:sz="4" w:space="0" w:color="auto"/>
              <w:right w:val="single" w:sz="4" w:space="0" w:color="auto"/>
            </w:tcBorders>
            <w:vAlign w:val="center"/>
          </w:tcPr>
          <w:p w:rsidR="005E36F0" w:rsidRDefault="007D3E61" w:rsidP="00431DD9">
            <w:pPr>
              <w:ind w:firstLineChars="101" w:firstLine="283"/>
              <w:rPr>
                <w:rFonts w:ascii="仿宋_GB2312" w:eastAsia="仿宋_GB2312"/>
                <w:sz w:val="28"/>
                <w:szCs w:val="28"/>
              </w:rPr>
            </w:pPr>
            <w:r>
              <w:rPr>
                <w:rFonts w:ascii="仿宋" w:eastAsia="仿宋" w:hAnsi="仿宋" w:cs="仿宋" w:hint="eastAsia"/>
                <w:sz w:val="28"/>
                <w:szCs w:val="28"/>
              </w:rPr>
              <w:t>科技管理与服务</w:t>
            </w:r>
          </w:p>
        </w:tc>
        <w:tc>
          <w:tcPr>
            <w:tcW w:w="3009" w:type="dxa"/>
            <w:tcBorders>
              <w:top w:val="nil"/>
              <w:left w:val="nil"/>
              <w:bottom w:val="single" w:sz="4" w:space="0" w:color="auto"/>
              <w:right w:val="single" w:sz="4" w:space="0" w:color="auto"/>
            </w:tcBorders>
            <w:vAlign w:val="center"/>
          </w:tcPr>
          <w:p w:rsidR="005E36F0" w:rsidRDefault="007D3E61">
            <w:pPr>
              <w:rPr>
                <w:rFonts w:ascii="仿宋_GB2312" w:eastAsia="仿宋_GB2312"/>
                <w:sz w:val="28"/>
                <w:szCs w:val="28"/>
              </w:rPr>
            </w:pPr>
            <w:r>
              <w:rPr>
                <w:rFonts w:ascii="仿宋" w:eastAsia="仿宋" w:hAnsi="仿宋" w:cs="仿宋" w:hint="eastAsia"/>
                <w:sz w:val="28"/>
                <w:szCs w:val="28"/>
              </w:rPr>
              <w:t>保证项目的完整实施</w:t>
            </w:r>
          </w:p>
        </w:tc>
        <w:tc>
          <w:tcPr>
            <w:tcW w:w="3864" w:type="dxa"/>
            <w:tcBorders>
              <w:top w:val="nil"/>
              <w:left w:val="nil"/>
              <w:bottom w:val="single" w:sz="4" w:space="0" w:color="auto"/>
              <w:right w:val="single" w:sz="4" w:space="0" w:color="auto"/>
            </w:tcBorders>
            <w:vAlign w:val="center"/>
          </w:tcPr>
          <w:p w:rsidR="005E36F0" w:rsidRDefault="007D3E61">
            <w:pPr>
              <w:rPr>
                <w:rFonts w:ascii="仿宋_GB2312" w:eastAsia="仿宋_GB2312"/>
                <w:sz w:val="28"/>
                <w:szCs w:val="28"/>
              </w:rPr>
            </w:pPr>
            <w:r>
              <w:rPr>
                <w:rFonts w:ascii="仿宋" w:eastAsia="仿宋" w:hAnsi="仿宋" w:cs="仿宋" w:hint="eastAsia"/>
                <w:sz w:val="28"/>
                <w:szCs w:val="28"/>
              </w:rPr>
              <w:t>完成科技项目、产业政策类项目、科普项目等</w:t>
            </w:r>
          </w:p>
        </w:tc>
        <w:tc>
          <w:tcPr>
            <w:tcW w:w="4200" w:type="dxa"/>
            <w:tcBorders>
              <w:top w:val="nil"/>
              <w:left w:val="nil"/>
              <w:bottom w:val="single" w:sz="4" w:space="0" w:color="auto"/>
              <w:right w:val="single" w:sz="4" w:space="0" w:color="auto"/>
            </w:tcBorders>
            <w:vAlign w:val="center"/>
          </w:tcPr>
          <w:p w:rsidR="005E36F0" w:rsidRDefault="007D3E61">
            <w:pPr>
              <w:widowControl/>
              <w:spacing w:line="520" w:lineRule="exact"/>
              <w:jc w:val="center"/>
              <w:rPr>
                <w:rFonts w:ascii="仿宋_GB2312" w:eastAsia="仿宋_GB2312"/>
                <w:sz w:val="28"/>
                <w:szCs w:val="28"/>
              </w:rPr>
            </w:pPr>
            <w:r>
              <w:rPr>
                <w:rFonts w:ascii="仿宋" w:eastAsia="仿宋" w:hAnsi="仿宋" w:cs="仿宋" w:hint="eastAsia"/>
                <w:sz w:val="28"/>
                <w:szCs w:val="28"/>
              </w:rPr>
              <w:t>无</w:t>
            </w:r>
          </w:p>
        </w:tc>
      </w:tr>
    </w:tbl>
    <w:p w:rsidR="005E36F0" w:rsidRDefault="007D3E61">
      <w:pPr>
        <w:numPr>
          <w:ilvl w:val="0"/>
          <w:numId w:val="2"/>
        </w:numPr>
        <w:spacing w:line="520" w:lineRule="exact"/>
        <w:ind w:firstLineChars="200" w:firstLine="640"/>
        <w:rPr>
          <w:rFonts w:ascii="仿宋_GB2312" w:eastAsia="仿宋_GB2312"/>
          <w:sz w:val="32"/>
          <w:szCs w:val="32"/>
        </w:rPr>
      </w:pPr>
      <w:r>
        <w:rPr>
          <w:rFonts w:ascii="仿宋_GB2312" w:eastAsia="仿宋_GB2312" w:hint="eastAsia"/>
          <w:sz w:val="32"/>
          <w:szCs w:val="32"/>
        </w:rPr>
        <w:t>产出质量：按质保量完成工作</w:t>
      </w:r>
    </w:p>
    <w:p w:rsidR="005E36F0" w:rsidRDefault="007D3E61">
      <w:pPr>
        <w:numPr>
          <w:ilvl w:val="0"/>
          <w:numId w:val="2"/>
        </w:numPr>
        <w:spacing w:line="520" w:lineRule="exact"/>
        <w:ind w:firstLineChars="200" w:firstLine="640"/>
        <w:rPr>
          <w:rFonts w:ascii="仿宋_GB2312" w:eastAsia="仿宋_GB2312"/>
          <w:sz w:val="32"/>
          <w:szCs w:val="32"/>
        </w:rPr>
      </w:pPr>
      <w:r>
        <w:rPr>
          <w:rFonts w:ascii="仿宋_GB2312" w:eastAsia="仿宋_GB2312" w:hint="eastAsia"/>
          <w:sz w:val="32"/>
          <w:szCs w:val="32"/>
        </w:rPr>
        <w:t>产出进度: 按照项目预算完成工作</w:t>
      </w:r>
    </w:p>
    <w:p w:rsidR="005E36F0" w:rsidRDefault="007D3E61">
      <w:pPr>
        <w:numPr>
          <w:ilvl w:val="0"/>
          <w:numId w:val="2"/>
        </w:numPr>
        <w:spacing w:line="520" w:lineRule="exact"/>
        <w:ind w:firstLineChars="200" w:firstLine="640"/>
        <w:rPr>
          <w:rFonts w:ascii="仿宋_GB2312" w:eastAsia="仿宋_GB2312"/>
          <w:sz w:val="32"/>
          <w:szCs w:val="32"/>
        </w:rPr>
      </w:pPr>
      <w:r>
        <w:rPr>
          <w:rFonts w:ascii="仿宋_GB2312" w:eastAsia="仿宋_GB2312" w:hint="eastAsia"/>
          <w:sz w:val="32"/>
          <w:szCs w:val="32"/>
        </w:rPr>
        <w:lastRenderedPageBreak/>
        <w:t>产出成本: 基本支出基本支出17,221,524.64元；项目支出</w:t>
      </w:r>
      <w:bookmarkStart w:id="4" w:name="OLE_LINK1"/>
      <w:bookmarkStart w:id="5" w:name="OLE_LINK2"/>
      <w:r>
        <w:rPr>
          <w:rFonts w:ascii="仿宋_GB2312" w:eastAsia="仿宋_GB2312" w:hint="eastAsia"/>
          <w:sz w:val="32"/>
          <w:szCs w:val="32"/>
        </w:rPr>
        <w:t>18,070,006.03</w:t>
      </w:r>
      <w:bookmarkEnd w:id="4"/>
      <w:bookmarkEnd w:id="5"/>
      <w:r>
        <w:rPr>
          <w:rFonts w:ascii="仿宋_GB2312" w:eastAsia="仿宋_GB2312" w:hint="eastAsia"/>
          <w:sz w:val="32"/>
          <w:szCs w:val="32"/>
        </w:rPr>
        <w:t>元。</w:t>
      </w:r>
    </w:p>
    <w:p w:rsidR="005E36F0" w:rsidRDefault="007D3E61">
      <w:pPr>
        <w:spacing w:line="520" w:lineRule="exact"/>
        <w:ind w:firstLineChars="200" w:firstLine="640"/>
        <w:rPr>
          <w:rFonts w:ascii="仿宋_GB2312" w:eastAsia="仿宋_GB2312"/>
          <w:sz w:val="32"/>
          <w:szCs w:val="32"/>
        </w:rPr>
      </w:pPr>
      <w:r>
        <w:rPr>
          <w:rFonts w:ascii="仿宋_GB2312" w:eastAsia="仿宋_GB2312" w:hint="eastAsia"/>
          <w:sz w:val="32"/>
          <w:szCs w:val="32"/>
        </w:rPr>
        <w:t>2.效果实现情况分析</w:t>
      </w:r>
    </w:p>
    <w:p w:rsidR="005E36F0" w:rsidRDefault="007D3E61">
      <w:pPr>
        <w:spacing w:line="580" w:lineRule="exact"/>
        <w:ind w:firstLine="640"/>
        <w:rPr>
          <w:rFonts w:ascii="仿宋_GB2312" w:eastAsia="仿宋_GB2312"/>
          <w:sz w:val="32"/>
          <w:szCs w:val="32"/>
        </w:rPr>
      </w:pPr>
      <w:r>
        <w:rPr>
          <w:rFonts w:ascii="仿宋_GB2312" w:eastAsia="仿宋_GB2312" w:hint="eastAsia"/>
          <w:sz w:val="32"/>
          <w:szCs w:val="32"/>
        </w:rPr>
        <w:t>经济效益</w:t>
      </w:r>
    </w:p>
    <w:p w:rsidR="0080222A" w:rsidRDefault="0080222A" w:rsidP="0080222A">
      <w:pPr>
        <w:spacing w:line="520" w:lineRule="exact"/>
        <w:ind w:firstLineChars="200" w:firstLine="640"/>
        <w:rPr>
          <w:rFonts w:ascii="仿宋_GB2312" w:eastAsia="仿宋_GB2312" w:hAnsi="仿宋" w:cs="仿宋_GB2312"/>
          <w:sz w:val="32"/>
          <w:szCs w:val="32"/>
        </w:rPr>
      </w:pPr>
      <w:r w:rsidRPr="0080222A">
        <w:rPr>
          <w:rFonts w:ascii="仿宋_GB2312" w:eastAsia="仿宋_GB2312" w:hAnsi="仿宋" w:cs="仿宋_GB2312" w:hint="eastAsia"/>
          <w:sz w:val="32"/>
          <w:szCs w:val="32"/>
        </w:rPr>
        <w:t>2025年1-11月，19家规上科技服务业企业完成营业收入16.4亿元，同比增长7.7%。17家纳入研发费监测的大中型重点企业投入研发费5亿元，同比增长4.9%。科技服务业固投全年完成2.5亿元。</w:t>
      </w:r>
    </w:p>
    <w:p w:rsidR="009909D5" w:rsidRDefault="007D3E61" w:rsidP="0080222A">
      <w:pPr>
        <w:spacing w:line="520" w:lineRule="exact"/>
        <w:ind w:firstLineChars="200" w:firstLine="640"/>
        <w:rPr>
          <w:rFonts w:ascii="仿宋_GB2312" w:eastAsia="仿宋_GB2312" w:hAnsi="仿宋" w:cs="仿宋_GB2312"/>
          <w:sz w:val="32"/>
          <w:szCs w:val="32"/>
        </w:rPr>
      </w:pPr>
      <w:r>
        <w:rPr>
          <w:rFonts w:ascii="仿宋_GB2312" w:eastAsia="仿宋_GB2312" w:hAnsi="仿宋" w:cs="仿宋_GB2312" w:hint="eastAsia"/>
          <w:sz w:val="32"/>
          <w:szCs w:val="32"/>
        </w:rPr>
        <w:t>圆满完成4项指标任务，全年共受理国高新企业申报266家；</w:t>
      </w:r>
      <w:r w:rsidR="009909D5">
        <w:rPr>
          <w:rFonts w:ascii="仿宋_GB2312" w:eastAsia="仿宋_GB2312" w:hAnsi="仿宋" w:cs="仿宋_GB2312" w:hint="eastAsia"/>
          <w:sz w:val="32"/>
          <w:szCs w:val="32"/>
        </w:rPr>
        <w:t>推荐</w:t>
      </w:r>
      <w:r>
        <w:rPr>
          <w:rFonts w:ascii="仿宋_GB2312" w:eastAsia="仿宋_GB2312" w:hAnsi="仿宋" w:cs="仿宋_GB2312" w:hint="eastAsia"/>
          <w:sz w:val="32"/>
          <w:szCs w:val="32"/>
        </w:rPr>
        <w:t>“小升规”企业5家；</w:t>
      </w:r>
      <w:r w:rsidR="00E14DA2">
        <w:rPr>
          <w:rFonts w:ascii="仿宋_GB2312" w:eastAsia="仿宋_GB2312" w:hAnsi="仿宋" w:cs="仿宋_GB2312" w:hint="eastAsia"/>
          <w:sz w:val="32"/>
          <w:szCs w:val="32"/>
        </w:rPr>
        <w:t>2025年度</w:t>
      </w:r>
      <w:r>
        <w:rPr>
          <w:rFonts w:ascii="仿宋_GB2312" w:eastAsia="仿宋_GB2312" w:hAnsi="仿宋" w:cs="仿宋_GB2312" w:hint="eastAsia"/>
          <w:sz w:val="32"/>
          <w:szCs w:val="32"/>
        </w:rPr>
        <w:t>高企年报填报应报5</w:t>
      </w:r>
      <w:r w:rsidR="00E14DA2">
        <w:rPr>
          <w:rFonts w:ascii="仿宋_GB2312" w:eastAsia="仿宋_GB2312" w:hAnsi="仿宋" w:cs="仿宋_GB2312" w:hint="eastAsia"/>
          <w:sz w:val="32"/>
          <w:szCs w:val="32"/>
        </w:rPr>
        <w:t>79</w:t>
      </w:r>
      <w:r>
        <w:rPr>
          <w:rFonts w:ascii="仿宋_GB2312" w:eastAsia="仿宋_GB2312" w:hAnsi="仿宋" w:cs="仿宋_GB2312" w:hint="eastAsia"/>
          <w:sz w:val="32"/>
          <w:szCs w:val="32"/>
        </w:rPr>
        <w:t>家；</w:t>
      </w:r>
      <w:r w:rsidR="009909D5" w:rsidRPr="009909D5">
        <w:rPr>
          <w:rFonts w:ascii="仿宋_GB2312" w:eastAsia="仿宋_GB2312" w:hAnsi="仿宋" w:cs="仿宋_GB2312" w:hint="eastAsia"/>
          <w:sz w:val="32"/>
          <w:szCs w:val="32"/>
        </w:rPr>
        <w:t>截至2025年12月，我区卖方输出技术合同516项，成交额144.4亿元，买方吸纳技术合同412项，成交额27.3亿元。</w:t>
      </w:r>
    </w:p>
    <w:p w:rsidR="005E36F0" w:rsidRDefault="007D3E61" w:rsidP="009909D5">
      <w:pPr>
        <w:spacing w:line="520" w:lineRule="exact"/>
        <w:ind w:firstLineChars="200" w:firstLine="640"/>
        <w:rPr>
          <w:rFonts w:ascii="仿宋_GB2312" w:eastAsia="仿宋_GB2312"/>
          <w:sz w:val="32"/>
          <w:szCs w:val="32"/>
        </w:rPr>
      </w:pPr>
      <w:r>
        <w:rPr>
          <w:rFonts w:ascii="仿宋_GB2312" w:eastAsia="仿宋_GB2312" w:hint="eastAsia"/>
          <w:sz w:val="32"/>
          <w:szCs w:val="32"/>
        </w:rPr>
        <w:t>社会效益</w:t>
      </w:r>
    </w:p>
    <w:p w:rsidR="005E36F0" w:rsidRDefault="007D3E61">
      <w:pPr>
        <w:spacing w:line="580" w:lineRule="exact"/>
        <w:ind w:firstLineChars="200" w:firstLine="640"/>
        <w:rPr>
          <w:rFonts w:ascii="仿宋_GB2312" w:eastAsia="仿宋_GB2312"/>
          <w:sz w:val="32"/>
          <w:szCs w:val="32"/>
        </w:rPr>
      </w:pPr>
      <w:r>
        <w:rPr>
          <w:rFonts w:ascii="仿宋_GB2312" w:eastAsia="仿宋_GB2312" w:hint="eastAsia"/>
          <w:sz w:val="32"/>
          <w:szCs w:val="32"/>
        </w:rPr>
        <w:t>百洋医药-阜外医院联合建设的概念验证平台成功获批，加速科技成果转化落地；利德衡、智源创芯成功获评市级科技企业孵化器，市级科技企业孵化器扩充至3家，科创能力进一步提升；</w:t>
      </w:r>
      <w:bookmarkStart w:id="6" w:name="OLE_LINK6"/>
      <w:bookmarkStart w:id="7" w:name="OLE_LINK7"/>
      <w:bookmarkStart w:id="8" w:name="OLE_LINK8"/>
      <w:bookmarkStart w:id="9" w:name="OLE_LINK9"/>
      <w:r>
        <w:rPr>
          <w:rFonts w:ascii="仿宋_GB2312" w:eastAsia="仿宋_GB2312" w:hint="eastAsia"/>
          <w:sz w:val="32"/>
          <w:szCs w:val="32"/>
        </w:rPr>
        <w:t>外资研发中心增至4家，进一步推动国际创新资源集聚我区；</w:t>
      </w:r>
      <w:bookmarkEnd w:id="6"/>
      <w:bookmarkEnd w:id="7"/>
      <w:r w:rsidR="00692024">
        <w:rPr>
          <w:rFonts w:ascii="仿宋_GB2312" w:eastAsia="仿宋_GB2312" w:hint="eastAsia"/>
          <w:sz w:val="32"/>
          <w:szCs w:val="32"/>
        </w:rPr>
        <w:t>2025年，</w:t>
      </w:r>
      <w:r>
        <w:rPr>
          <w:rFonts w:ascii="仿宋_GB2312" w:eastAsia="仿宋_GB2312" w:hint="eastAsia"/>
          <w:sz w:val="32"/>
          <w:szCs w:val="32"/>
        </w:rPr>
        <w:t>招引企业</w:t>
      </w:r>
      <w:r w:rsidR="00692024">
        <w:rPr>
          <w:rFonts w:ascii="仿宋_GB2312" w:eastAsia="仿宋_GB2312" w:hint="eastAsia"/>
          <w:sz w:val="32"/>
          <w:szCs w:val="32"/>
        </w:rPr>
        <w:t>10</w:t>
      </w:r>
      <w:r>
        <w:rPr>
          <w:rFonts w:ascii="仿宋_GB2312" w:eastAsia="仿宋_GB2312" w:hint="eastAsia"/>
          <w:sz w:val="32"/>
          <w:szCs w:val="32"/>
        </w:rPr>
        <w:t>家</w:t>
      </w:r>
      <w:r w:rsidR="00431DD9">
        <w:rPr>
          <w:rFonts w:ascii="仿宋_GB2312" w:eastAsia="仿宋_GB2312" w:hint="eastAsia"/>
          <w:sz w:val="32"/>
          <w:szCs w:val="32"/>
        </w:rPr>
        <w:t>。</w:t>
      </w:r>
      <w:bookmarkEnd w:id="8"/>
      <w:bookmarkEnd w:id="9"/>
    </w:p>
    <w:p w:rsidR="005E36F0" w:rsidRDefault="007D3E61">
      <w:pPr>
        <w:spacing w:line="580" w:lineRule="exact"/>
        <w:ind w:firstLineChars="200" w:firstLine="640"/>
        <w:rPr>
          <w:rFonts w:ascii="仿宋_GB2312" w:eastAsia="仿宋_GB2312"/>
          <w:sz w:val="32"/>
          <w:szCs w:val="32"/>
        </w:rPr>
      </w:pPr>
      <w:bookmarkStart w:id="10" w:name="OLE_LINK14"/>
      <w:bookmarkStart w:id="11" w:name="OLE_LINK15"/>
      <w:bookmarkStart w:id="12" w:name="OLE_LINK16"/>
      <w:bookmarkStart w:id="13" w:name="OLE_LINK17"/>
      <w:r>
        <w:rPr>
          <w:rFonts w:ascii="仿宋_GB2312" w:eastAsia="仿宋_GB2312" w:hint="eastAsia"/>
          <w:sz w:val="32"/>
          <w:szCs w:val="32"/>
        </w:rPr>
        <w:t>探索设立北京市自然科学基金联合基金，提升我区科创企业竞争力；牵头</w:t>
      </w:r>
      <w:r w:rsidR="00794182">
        <w:rPr>
          <w:rFonts w:ascii="仿宋_GB2312" w:eastAsia="仿宋_GB2312" w:hint="eastAsia"/>
          <w:sz w:val="32"/>
          <w:szCs w:val="32"/>
        </w:rPr>
        <w:t>制</w:t>
      </w:r>
      <w:r>
        <w:rPr>
          <w:rFonts w:ascii="仿宋_GB2312" w:eastAsia="仿宋_GB2312" w:hint="eastAsia"/>
          <w:sz w:val="32"/>
          <w:szCs w:val="32"/>
        </w:rPr>
        <w:t>定《门头沟区2025年推进科技强区战略暨加快北京国际科创中心建设工作方案》及任务清单，推进科技创新和产业创新深度融合；制定《门头沟区技术经理人培育三年行动计划（2025-2027）》，逐步建立我区技术经理人队伍，充分发挥其在推动科技创新、促进成果转化、助力产业发展中的关键作用；</w:t>
      </w:r>
      <w:bookmarkEnd w:id="10"/>
      <w:bookmarkEnd w:id="11"/>
      <w:bookmarkEnd w:id="12"/>
      <w:bookmarkEnd w:id="13"/>
      <w:r>
        <w:rPr>
          <w:rFonts w:ascii="仿宋_GB2312" w:eastAsia="仿宋_GB2312" w:hint="eastAsia"/>
          <w:sz w:val="32"/>
          <w:szCs w:val="32"/>
        </w:rPr>
        <w:t>修订《关于支持和服务高新技术企业高质量发展若干措施》，引导企业加大研发投入，激发市场主体创新活力，提升企业技术创新和市场</w:t>
      </w:r>
      <w:r>
        <w:rPr>
          <w:rFonts w:ascii="仿宋_GB2312" w:eastAsia="仿宋_GB2312" w:hint="eastAsia"/>
          <w:sz w:val="32"/>
          <w:szCs w:val="32"/>
        </w:rPr>
        <w:lastRenderedPageBreak/>
        <w:t>竞争能力。</w:t>
      </w:r>
    </w:p>
    <w:p w:rsidR="005E36F0" w:rsidRDefault="007D3E61">
      <w:pPr>
        <w:spacing w:line="580" w:lineRule="exact"/>
        <w:ind w:firstLineChars="200" w:firstLine="640"/>
        <w:rPr>
          <w:rFonts w:ascii="仿宋_GB2312" w:eastAsia="仿宋_GB2312"/>
          <w:sz w:val="32"/>
          <w:szCs w:val="32"/>
        </w:rPr>
      </w:pPr>
      <w:bookmarkStart w:id="14" w:name="OLE_LINK12"/>
      <w:bookmarkStart w:id="15" w:name="OLE_LINK13"/>
      <w:r>
        <w:rPr>
          <w:rFonts w:ascii="仿宋_GB2312" w:eastAsia="仿宋_GB2312" w:hint="eastAsia"/>
          <w:sz w:val="32"/>
          <w:szCs w:val="32"/>
        </w:rPr>
        <w:t>科普体系持续扩容，新增6家区级科普基地，全区区级科普基地总数达28家；新增3家“银龄生活科普试点”，推动科技融入老年生活；成功举办科技周开幕式，发布《门头沟区科普地图》，扩大区域科普影响力。全年组织多场科普活动，其中人工智能与网络安全讲座被评为2025年北京市全国科普月典型案例。</w:t>
      </w:r>
    </w:p>
    <w:p w:rsidR="005E36F0" w:rsidRDefault="009D4631">
      <w:pPr>
        <w:spacing w:line="580" w:lineRule="exact"/>
        <w:ind w:firstLineChars="200" w:firstLine="640"/>
        <w:rPr>
          <w:rFonts w:ascii="仿宋_GB2312" w:eastAsia="仿宋_GB2312"/>
          <w:sz w:val="32"/>
          <w:szCs w:val="32"/>
        </w:rPr>
      </w:pPr>
      <w:bookmarkStart w:id="16" w:name="OLE_LINK18"/>
      <w:bookmarkEnd w:id="14"/>
      <w:bookmarkEnd w:id="15"/>
      <w:r>
        <w:rPr>
          <w:rFonts w:ascii="仿宋_GB2312" w:eastAsia="仿宋_GB2312" w:hint="eastAsia"/>
          <w:sz w:val="32"/>
          <w:szCs w:val="32"/>
        </w:rPr>
        <w:t>依托孟悟现代农业科技示范园推动</w:t>
      </w:r>
      <w:r w:rsidR="007D3E61">
        <w:rPr>
          <w:rFonts w:ascii="仿宋_GB2312" w:eastAsia="仿宋_GB2312" w:hint="eastAsia"/>
          <w:sz w:val="32"/>
          <w:szCs w:val="32"/>
        </w:rPr>
        <w:t>与北方工业大学、北京农业职业学院签署合作协议，并与10余所高校、科研院所实现交流合作，在技术研发引进、人才培养、科普教育、成果转化等多个方面开展相关工作。</w:t>
      </w:r>
    </w:p>
    <w:bookmarkEnd w:id="16"/>
    <w:p w:rsidR="005E36F0" w:rsidRDefault="007D3E61">
      <w:pPr>
        <w:spacing w:line="580" w:lineRule="exact"/>
        <w:ind w:firstLineChars="200" w:firstLine="640"/>
        <w:rPr>
          <w:rFonts w:ascii="仿宋_GB2312" w:eastAsia="仿宋_GB2312"/>
          <w:sz w:val="32"/>
          <w:szCs w:val="32"/>
        </w:rPr>
      </w:pPr>
      <w:r>
        <w:rPr>
          <w:rFonts w:ascii="仿宋_GB2312" w:eastAsia="仿宋_GB2312" w:hint="eastAsia"/>
          <w:sz w:val="32"/>
          <w:szCs w:val="32"/>
        </w:rPr>
        <w:t>（3）环境效益：无</w:t>
      </w:r>
    </w:p>
    <w:p w:rsidR="005E36F0" w:rsidRDefault="007D3E61">
      <w:pPr>
        <w:spacing w:line="580" w:lineRule="exact"/>
        <w:ind w:firstLine="640"/>
        <w:rPr>
          <w:rFonts w:ascii="仿宋_GB2312" w:eastAsia="仿宋_GB2312"/>
          <w:sz w:val="32"/>
          <w:szCs w:val="32"/>
        </w:rPr>
      </w:pPr>
      <w:r>
        <w:rPr>
          <w:rFonts w:ascii="仿宋_GB2312" w:eastAsia="仿宋_GB2312" w:hint="eastAsia"/>
          <w:sz w:val="32"/>
          <w:szCs w:val="32"/>
        </w:rPr>
        <w:t>（4）可持续影响</w:t>
      </w:r>
    </w:p>
    <w:p w:rsidR="005E36F0" w:rsidRDefault="007D3E61">
      <w:pPr>
        <w:spacing w:line="560" w:lineRule="exact"/>
        <w:ind w:firstLineChars="200" w:firstLine="640"/>
        <w:jc w:val="left"/>
        <w:rPr>
          <w:rFonts w:ascii="仿宋_GB2312" w:eastAsia="仿宋_GB2312" w:hAnsi="仿宋" w:cs="仿宋_GB2312"/>
          <w:sz w:val="28"/>
          <w:szCs w:val="28"/>
        </w:rPr>
      </w:pPr>
      <w:bookmarkStart w:id="17" w:name="OLE_LINK4"/>
      <w:bookmarkStart w:id="18" w:name="OLE_LINK3"/>
      <w:r>
        <w:rPr>
          <w:rFonts w:ascii="仿宋_GB2312" w:eastAsia="仿宋_GB2312" w:hint="eastAsia"/>
          <w:sz w:val="32"/>
          <w:szCs w:val="32"/>
        </w:rPr>
        <w:t>北京人工智能产业创新发展人才论坛入选市级“智领未来”品牌计划，其中我委牵头组织的“AI+气象”分论坛成效显著，吸引70余家科技企业、120余名代表参会，成功吸纳140余家企业加入招商对接群，拓宽了产业合作渠道；近百家企业参展的第二十七届北京科博会，累计接待观众4万余人次，发放宣传资料4000余份，先后被十余家主流媒体探展并报道，有效提升了区域知名度和影响力。</w:t>
      </w:r>
      <w:bookmarkEnd w:id="17"/>
      <w:bookmarkEnd w:id="18"/>
    </w:p>
    <w:p w:rsidR="005E36F0" w:rsidRDefault="007D3E61">
      <w:pPr>
        <w:spacing w:line="580" w:lineRule="exact"/>
        <w:ind w:firstLine="640"/>
        <w:rPr>
          <w:rFonts w:ascii="楷体_GB2312" w:eastAsia="楷体_GB2312"/>
          <w:b/>
          <w:sz w:val="32"/>
          <w:szCs w:val="32"/>
        </w:rPr>
      </w:pPr>
      <w:r>
        <w:rPr>
          <w:rFonts w:ascii="楷体_GB2312" w:eastAsia="楷体_GB2312" w:hint="eastAsia"/>
          <w:b/>
          <w:sz w:val="32"/>
          <w:szCs w:val="32"/>
        </w:rPr>
        <w:t>（四）总体评价结论</w:t>
      </w:r>
    </w:p>
    <w:p w:rsidR="005E36F0" w:rsidRDefault="007D3E61">
      <w:pPr>
        <w:spacing w:line="580" w:lineRule="exact"/>
        <w:ind w:firstLine="640"/>
        <w:rPr>
          <w:rFonts w:ascii="仿宋_GB2312" w:eastAsia="仿宋_GB2312"/>
          <w:sz w:val="32"/>
          <w:szCs w:val="32"/>
        </w:rPr>
      </w:pPr>
      <w:r>
        <w:rPr>
          <w:rFonts w:ascii="仿宋_GB2312" w:eastAsia="仿宋_GB2312" w:hint="eastAsia"/>
          <w:sz w:val="32"/>
          <w:szCs w:val="32"/>
        </w:rPr>
        <w:t>1.评价得分情况</w:t>
      </w:r>
    </w:p>
    <w:p w:rsidR="005E36F0" w:rsidRDefault="007D3E61">
      <w:pPr>
        <w:spacing w:line="580" w:lineRule="exact"/>
        <w:ind w:firstLine="640"/>
        <w:rPr>
          <w:rFonts w:ascii="仿宋_GB2312" w:eastAsia="仿宋_GB2312"/>
          <w:sz w:val="32"/>
          <w:szCs w:val="32"/>
        </w:rPr>
      </w:pPr>
      <w:r>
        <w:rPr>
          <w:rFonts w:ascii="仿宋_GB2312" w:eastAsia="仿宋_GB2312" w:hint="eastAsia"/>
          <w:sz w:val="32"/>
          <w:szCs w:val="32"/>
        </w:rPr>
        <w:lastRenderedPageBreak/>
        <w:t>绩效自评总分：99.1分</w:t>
      </w:r>
    </w:p>
    <w:p w:rsidR="005E36F0" w:rsidRDefault="007D3E61">
      <w:pPr>
        <w:spacing w:line="580" w:lineRule="exact"/>
        <w:ind w:firstLine="640"/>
        <w:rPr>
          <w:rFonts w:ascii="仿宋_GB2312" w:eastAsia="仿宋_GB2312"/>
          <w:sz w:val="32"/>
          <w:szCs w:val="32"/>
        </w:rPr>
      </w:pPr>
      <w:r>
        <w:rPr>
          <w:rFonts w:ascii="仿宋_GB2312" w:eastAsia="仿宋_GB2312" w:hint="eastAsia"/>
          <w:sz w:val="32"/>
          <w:szCs w:val="32"/>
        </w:rPr>
        <w:t>绩效自评等级：</w:t>
      </w:r>
    </w:p>
    <w:p w:rsidR="005E36F0" w:rsidRDefault="007D3E61">
      <w:pPr>
        <w:spacing w:line="580" w:lineRule="exact"/>
        <w:ind w:firstLine="640"/>
        <w:rPr>
          <w:rFonts w:ascii="仿宋_GB2312" w:eastAsia="仿宋_GB2312"/>
          <w:sz w:val="32"/>
          <w:szCs w:val="32"/>
        </w:rPr>
      </w:pPr>
      <w:r>
        <w:rPr>
          <w:rFonts w:ascii="仿宋_GB2312" w:eastAsia="仿宋_GB2312" w:hint="eastAsia"/>
          <w:sz w:val="32"/>
          <w:szCs w:val="32"/>
        </w:rPr>
        <w:t>2.存在的问题及原因分析</w:t>
      </w:r>
    </w:p>
    <w:p w:rsidR="005E36F0" w:rsidRDefault="007D3E61">
      <w:pPr>
        <w:spacing w:line="580" w:lineRule="exact"/>
        <w:ind w:firstLine="640"/>
        <w:rPr>
          <w:rFonts w:ascii="仿宋_GB2312" w:eastAsia="仿宋_GB2312"/>
          <w:sz w:val="32"/>
          <w:szCs w:val="32"/>
        </w:rPr>
      </w:pPr>
      <w:r>
        <w:rPr>
          <w:rFonts w:ascii="仿宋_GB2312" w:eastAsia="仿宋_GB2312" w:hint="eastAsia"/>
          <w:sz w:val="32"/>
          <w:szCs w:val="32"/>
        </w:rPr>
        <w:t>无</w:t>
      </w:r>
    </w:p>
    <w:p w:rsidR="005E36F0" w:rsidRDefault="007D3E61">
      <w:pPr>
        <w:spacing w:line="580" w:lineRule="exact"/>
        <w:ind w:firstLine="640"/>
        <w:rPr>
          <w:rFonts w:ascii="仿宋_GB2312" w:eastAsia="仿宋_GB2312"/>
          <w:sz w:val="32"/>
          <w:szCs w:val="32"/>
        </w:rPr>
      </w:pPr>
      <w:r>
        <w:rPr>
          <w:rFonts w:ascii="仿宋_GB2312" w:eastAsia="仿宋_GB2312" w:hint="eastAsia"/>
          <w:sz w:val="32"/>
          <w:szCs w:val="32"/>
        </w:rPr>
        <w:t>3.改进措施</w:t>
      </w:r>
    </w:p>
    <w:bookmarkEnd w:id="3"/>
    <w:p w:rsidR="005E36F0" w:rsidRDefault="007D3E61">
      <w:pPr>
        <w:spacing w:line="580" w:lineRule="exact"/>
        <w:ind w:firstLine="640"/>
        <w:rPr>
          <w:rFonts w:ascii="仿宋_GB2312" w:eastAsia="仿宋_GB2312"/>
          <w:sz w:val="32"/>
          <w:szCs w:val="32"/>
        </w:rPr>
      </w:pPr>
      <w:r>
        <w:rPr>
          <w:rFonts w:ascii="仿宋_GB2312" w:eastAsia="仿宋_GB2312" w:hint="eastAsia"/>
          <w:sz w:val="32"/>
          <w:szCs w:val="32"/>
        </w:rPr>
        <w:t>无</w:t>
      </w:r>
    </w:p>
    <w:p w:rsidR="005E36F0" w:rsidRDefault="007D3E61">
      <w:pPr>
        <w:numPr>
          <w:ilvl w:val="0"/>
          <w:numId w:val="3"/>
        </w:numPr>
        <w:spacing w:line="580" w:lineRule="exact"/>
        <w:ind w:firstLine="640"/>
        <w:rPr>
          <w:rFonts w:ascii="黑体" w:eastAsia="黑体" w:hAnsi="黑体"/>
          <w:sz w:val="32"/>
          <w:szCs w:val="32"/>
        </w:rPr>
      </w:pPr>
      <w:r>
        <w:rPr>
          <w:rFonts w:ascii="黑体" w:eastAsia="黑体" w:hAnsi="黑体" w:hint="eastAsia"/>
          <w:sz w:val="32"/>
          <w:szCs w:val="32"/>
        </w:rPr>
        <w:t>项目支出绩效自评情况</w:t>
      </w:r>
    </w:p>
    <w:p w:rsidR="005E36F0" w:rsidRDefault="007D3E61" w:rsidP="00431DD9">
      <w:pPr>
        <w:spacing w:line="580" w:lineRule="exact"/>
        <w:ind w:firstLineChars="200" w:firstLine="643"/>
        <w:rPr>
          <w:rFonts w:ascii="楷体_GB2312" w:eastAsia="楷体_GB2312" w:hAnsi="仿宋"/>
          <w:b/>
          <w:sz w:val="32"/>
          <w:szCs w:val="32"/>
        </w:rPr>
      </w:pPr>
      <w:r>
        <w:rPr>
          <w:rFonts w:ascii="楷体_GB2312" w:eastAsia="楷体_GB2312" w:hAnsi="仿宋" w:hint="eastAsia"/>
          <w:b/>
          <w:sz w:val="32"/>
          <w:szCs w:val="32"/>
        </w:rPr>
        <w:t>（一）绩效自评开展总体情况</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2025年，北京市门头沟区科学技术委员会对2025年度本部门及所属单位项目支出实施了绩效自评，评价项目11个，涉及金额</w:t>
      </w:r>
      <w:r w:rsidR="00037223">
        <w:rPr>
          <w:rFonts w:ascii="仿宋_GB2312" w:eastAsia="仿宋_GB2312" w:hint="eastAsia"/>
          <w:sz w:val="32"/>
          <w:szCs w:val="32"/>
        </w:rPr>
        <w:t>18,070,006.03</w:t>
      </w:r>
      <w:r>
        <w:rPr>
          <w:rFonts w:ascii="仿宋_GB2312" w:eastAsia="仿宋_GB2312" w:hint="eastAsia"/>
          <w:sz w:val="32"/>
          <w:szCs w:val="32"/>
        </w:rPr>
        <w:t>元。评价得分在90分（含90分）以上的11</w:t>
      </w:r>
      <w:bookmarkStart w:id="19" w:name="_GoBack"/>
      <w:bookmarkEnd w:id="19"/>
      <w:r>
        <w:rPr>
          <w:rFonts w:ascii="仿宋_GB2312" w:eastAsia="仿宋_GB2312" w:hint="eastAsia"/>
          <w:sz w:val="32"/>
          <w:szCs w:val="32"/>
        </w:rPr>
        <w:t>个，评价得分在80-90分（含80分）的0个，评价得分在60-80分（含60分）的0个，评价得分在60分以下的0个。</w:t>
      </w:r>
    </w:p>
    <w:p w:rsidR="005E36F0" w:rsidRDefault="007D3E61" w:rsidP="00431DD9">
      <w:pPr>
        <w:spacing w:line="580" w:lineRule="exact"/>
        <w:ind w:firstLineChars="200" w:firstLine="643"/>
        <w:rPr>
          <w:rFonts w:ascii="楷体_GB2312" w:eastAsia="楷体_GB2312" w:hAnsi="仿宋"/>
          <w:b/>
          <w:sz w:val="32"/>
          <w:szCs w:val="32"/>
        </w:rPr>
      </w:pPr>
      <w:r>
        <w:rPr>
          <w:rFonts w:ascii="楷体_GB2312" w:eastAsia="楷体_GB2312" w:hAnsi="仿宋" w:hint="eastAsia"/>
          <w:b/>
          <w:sz w:val="32"/>
          <w:szCs w:val="32"/>
        </w:rPr>
        <w:t>（二）重点支出项目绩效自评报告</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1.基本情况</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(1)项目概况</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本项目为产业链招商图谱项目，以提升门头沟区财源建设能力为核心，围绕全区 “3+X” 产业链实施。主要开展两项工作：一是赴外省市气象科技产业示范区考察学习，借鉴低空经济与气象产业融合、</w:t>
      </w:r>
      <w:r>
        <w:rPr>
          <w:rFonts w:ascii="仿宋_GB2312" w:eastAsia="仿宋_GB2312" w:hint="eastAsia"/>
          <w:sz w:val="32"/>
          <w:szCs w:val="32"/>
        </w:rPr>
        <w:lastRenderedPageBreak/>
        <w:t>大数据构建产业链图谱经验；二是委托专业机构运用大数据技术搭建产业链热力图，分析供应链短板，生成产业链图谱与招商目录，为科技服务业、气象经济、工业精准招商提供支撑。</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(2)项目资金投入及使用情况</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项目预算总额20.85万元，2025年度全额安排并执行到位。其中：外出考察费用5.85万元，用于考察学习外省市在产业链图谱构建、产业融合发展的经验、交通、住宿等支出；委托业务费用15.00万元，用于产业链图谱构建技术服务，资金使用合规、专款专用。</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(3)项目资金管理情况分析</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严格执行财政资金管理规定，规范履行审批、支付流程，强化预算执行与绩效监控。按要求编制绩效目标，实施全过程跟踪管理，确保资金投向精准、使用高效，无违规使用资金情况。</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2.绩效自评结论</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绩效自评总分：99.93分</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绩效自评等级：优秀</w:t>
      </w:r>
    </w:p>
    <w:p w:rsidR="005E36F0" w:rsidRDefault="007D3E61" w:rsidP="00431DD9">
      <w:pPr>
        <w:spacing w:line="520" w:lineRule="exact"/>
        <w:ind w:firstLineChars="253" w:firstLine="711"/>
        <w:rPr>
          <w:rFonts w:ascii="楷体_GB2312" w:eastAsia="楷体_GB2312" w:hAnsi="仿宋"/>
          <w:b/>
          <w:sz w:val="28"/>
          <w:szCs w:val="28"/>
        </w:rPr>
      </w:pPr>
      <w:r>
        <w:rPr>
          <w:rFonts w:ascii="楷体_GB2312" w:eastAsia="楷体_GB2312" w:hAnsi="仿宋" w:hint="eastAsia"/>
          <w:b/>
          <w:sz w:val="28"/>
          <w:szCs w:val="28"/>
        </w:rPr>
        <w:t>（三）绩效目标完成情况分析</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1.项目绩效目标、绩效指标设定情况</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总体目标：形成低空经济产业园考察报告与招商产业链图谱，为气象产业发展、精准招商提供指引，提升产业链招商水平，培育主导产业集群，强化财源建设。</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lastRenderedPageBreak/>
        <w:t>2.总体绩效目标完成情况分析</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项目按计划全面完成，按期形成高质量考察报告与全行业产业链图谱，有效补齐产业分析短板，为精准招商提供实操指引，总体绩效目标全部完成。</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3.项目绩效指标完成情况分析</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(1)产出指标完成情况分析。</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数量指标。完成外省考察学习2次、覆盖重点行业的招商产业链图谱链接1套，指标全部完成。</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质量指标。为聚焦精准招商强化靶向指引，聚力培育主导产业集群，稳步夯实产业根基，持续提升我区域财源建设质效。</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时效指标。2025年度内按期完成考察、产业链图谱项目，未超时限。</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(2)成本指标。</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经济成本指标。总支出20.85万元，与预算一致，无超支，成本控制合规。</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社会成本指标。不涉及</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生态环境成本指标。不涉及</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效益指标完成情况分析。</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经济效益。深入研判气象产业发展态势，细化精准招商工作指引，培优壮大主导产业集群，全面提升产业链招商质效。</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lastRenderedPageBreak/>
        <w:t>社会效益。通过学习借鉴低空经济、气象产业融合发展先进经验，完善产业链招商思路，夯实精准招商工作基础；通过运用大数据技术搭建产业链分析体系，动态研判产业短板与供需缺口，持续优化完善产业链图谱。</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生态效益。不涉及</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可持续影响。已对标外地先进经验，学习产业融合与图谱构建做法，提炼可复制举措，赋能全区精准招商工作。</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4.发现的主要问题和改进措施。无</w:t>
      </w:r>
    </w:p>
    <w:p w:rsidR="005E36F0" w:rsidRDefault="007D3E61" w:rsidP="00431DD9">
      <w:pPr>
        <w:spacing w:line="580" w:lineRule="exact"/>
        <w:ind w:firstLineChars="253" w:firstLine="810"/>
        <w:rPr>
          <w:rFonts w:ascii="仿宋_GB2312" w:eastAsia="仿宋_GB2312"/>
          <w:sz w:val="32"/>
          <w:szCs w:val="32"/>
        </w:rPr>
      </w:pPr>
      <w:r>
        <w:rPr>
          <w:rFonts w:ascii="仿宋_GB2312" w:eastAsia="仿宋_GB2312" w:hint="eastAsia"/>
          <w:sz w:val="32"/>
          <w:szCs w:val="32"/>
        </w:rPr>
        <w:t>5.有关建议及其他需要说明的情况。无</w:t>
      </w:r>
    </w:p>
    <w:p w:rsidR="005E36F0" w:rsidRDefault="007D3E61" w:rsidP="00431DD9">
      <w:pPr>
        <w:spacing w:line="580" w:lineRule="exact"/>
        <w:ind w:firstLineChars="200" w:firstLine="643"/>
        <w:rPr>
          <w:rFonts w:ascii="楷体_GB2312" w:eastAsia="楷体_GB2312" w:hAnsi="仿宋"/>
          <w:b/>
          <w:sz w:val="32"/>
          <w:szCs w:val="32"/>
        </w:rPr>
      </w:pPr>
      <w:r>
        <w:rPr>
          <w:rFonts w:ascii="楷体_GB2312" w:eastAsia="楷体_GB2312" w:hAnsi="仿宋" w:hint="eastAsia"/>
          <w:b/>
          <w:sz w:val="32"/>
          <w:szCs w:val="32"/>
        </w:rPr>
        <w:t>（三）项目支出绩效自评表</w:t>
      </w:r>
    </w:p>
    <w:p w:rsidR="005E36F0" w:rsidRDefault="007D3E61">
      <w:pPr>
        <w:spacing w:line="520" w:lineRule="exact"/>
        <w:ind w:firstLineChars="200" w:firstLine="640"/>
        <w:outlineLvl w:val="0"/>
        <w:rPr>
          <w:rFonts w:ascii="仿宋_GB2312" w:eastAsia="仿宋_GB2312"/>
          <w:b/>
          <w:sz w:val="28"/>
          <w:szCs w:val="28"/>
        </w:rPr>
      </w:pPr>
      <w:r>
        <w:rPr>
          <w:rFonts w:ascii="仿宋_GB2312" w:eastAsia="仿宋_GB2312" w:hint="eastAsia"/>
          <w:sz w:val="32"/>
          <w:szCs w:val="32"/>
        </w:rPr>
        <w:t>详见附件</w:t>
      </w:r>
      <w:r>
        <w:rPr>
          <w:rFonts w:ascii="仿宋_GB2312" w:eastAsia="仿宋_GB2312" w:hint="eastAsia"/>
          <w:sz w:val="28"/>
          <w:szCs w:val="28"/>
        </w:rPr>
        <w:t>。</w:t>
      </w:r>
    </w:p>
    <w:p w:rsidR="005E36F0" w:rsidRDefault="007D3E61" w:rsidP="00431DD9">
      <w:pPr>
        <w:spacing w:line="520" w:lineRule="exact"/>
        <w:ind w:firstLineChars="250" w:firstLine="753"/>
        <w:rPr>
          <w:rFonts w:ascii="仿宋_GB2312" w:eastAsia="仿宋_GB2312"/>
          <w:sz w:val="28"/>
          <w:szCs w:val="28"/>
        </w:rPr>
      </w:pPr>
      <w:r>
        <w:rPr>
          <w:rFonts w:ascii="仿宋_GB2312" w:eastAsia="仿宋_GB2312" w:hint="eastAsia"/>
          <w:b/>
          <w:sz w:val="30"/>
          <w:szCs w:val="30"/>
        </w:rPr>
        <w:t>附件</w:t>
      </w:r>
      <w:r>
        <w:rPr>
          <w:rFonts w:ascii="仿宋_GB2312" w:eastAsia="仿宋_GB2312" w:hint="eastAsia"/>
          <w:sz w:val="32"/>
          <w:szCs w:val="32"/>
        </w:rPr>
        <w:t>：项目绩效评价报告及项目支出绩效自评表</w:t>
      </w:r>
    </w:p>
    <w:p w:rsidR="005E36F0" w:rsidRDefault="005E36F0">
      <w:pPr>
        <w:spacing w:line="580" w:lineRule="exact"/>
        <w:ind w:firstLineChars="550" w:firstLine="1760"/>
        <w:rPr>
          <w:rFonts w:ascii="仿宋_GB2312" w:eastAsia="仿宋_GB2312"/>
          <w:sz w:val="32"/>
          <w:szCs w:val="32"/>
        </w:rPr>
      </w:pPr>
    </w:p>
    <w:sectPr w:rsidR="005E36F0" w:rsidSect="005E36F0">
      <w:footerReference w:type="even" r:id="rId11"/>
      <w:footerReference w:type="default" r:id="rId12"/>
      <w:pgSz w:w="16838" w:h="11906" w:orient="landscape"/>
      <w:pgMar w:top="1134" w:right="1134" w:bottom="1134" w:left="1134" w:header="851" w:footer="992" w:gutter="0"/>
      <w:cols w:space="720"/>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BAF" w:rsidRDefault="00FE6BAF" w:rsidP="005E36F0">
      <w:r>
        <w:separator/>
      </w:r>
    </w:p>
  </w:endnote>
  <w:endnote w:type="continuationSeparator" w:id="0">
    <w:p w:rsidR="00FE6BAF" w:rsidRDefault="00FE6BAF" w:rsidP="005E36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Droid Sans">
    <w:altName w:val="微软雅黑"/>
    <w:charset w:val="00"/>
    <w:family w:val="auto"/>
    <w:pitch w:val="default"/>
    <w:sig w:usb0="00000000" w:usb1="00000000" w:usb2="00000000" w:usb3="00000000" w:csb0="00040001" w:csb1="00000000"/>
  </w:font>
  <w:font w:name="华文中宋">
    <w:altName w:val="宋体"/>
    <w:charset w:val="86"/>
    <w:family w:val="auto"/>
    <w:pitch w:val="default"/>
    <w:sig w:usb0="00000000" w:usb1="00000000" w:usb2="00000000" w:usb3="00000000" w:csb0="0004009F" w:csb1="DFD70000"/>
  </w:font>
  <w:font w:name="楷体_GB2312">
    <w:altName w:val="楷体"/>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6F0" w:rsidRDefault="00EF3BDD">
    <w:pPr>
      <w:pStyle w:val="a7"/>
      <w:framePr w:wrap="around" w:vAnchor="text" w:hAnchor="margin" w:xAlign="center" w:y="1"/>
      <w:rPr>
        <w:rStyle w:val="ab"/>
      </w:rPr>
    </w:pPr>
    <w:r>
      <w:fldChar w:fldCharType="begin"/>
    </w:r>
    <w:r w:rsidR="007D3E61">
      <w:rPr>
        <w:rStyle w:val="ab"/>
      </w:rPr>
      <w:instrText xml:space="preserve">PAGE  </w:instrText>
    </w:r>
    <w:r>
      <w:fldChar w:fldCharType="separate"/>
    </w:r>
    <w:r w:rsidR="00CB4CD3">
      <w:rPr>
        <w:rStyle w:val="ab"/>
        <w:noProof/>
      </w:rPr>
      <w:t>3</w:t>
    </w:r>
    <w:r>
      <w:fldChar w:fldCharType="end"/>
    </w:r>
  </w:p>
  <w:p w:rsidR="005E36F0" w:rsidRDefault="005E36F0">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6F0" w:rsidRDefault="00EF3BDD">
    <w:pPr>
      <w:pStyle w:val="a7"/>
      <w:framePr w:wrap="around" w:vAnchor="text" w:hAnchor="margin" w:xAlign="center" w:y="1"/>
      <w:rPr>
        <w:rStyle w:val="ab"/>
      </w:rPr>
    </w:pPr>
    <w:r>
      <w:fldChar w:fldCharType="begin"/>
    </w:r>
    <w:r w:rsidR="007D3E61">
      <w:rPr>
        <w:rStyle w:val="ab"/>
      </w:rPr>
      <w:instrText xml:space="preserve">PAGE  </w:instrText>
    </w:r>
    <w:r>
      <w:fldChar w:fldCharType="separate"/>
    </w:r>
    <w:r w:rsidR="007D3E61">
      <w:rPr>
        <w:rStyle w:val="ab"/>
      </w:rPr>
      <w:t>15</w:t>
    </w:r>
    <w:r>
      <w:fldChar w:fldCharType="end"/>
    </w:r>
  </w:p>
  <w:p w:rsidR="005E36F0" w:rsidRDefault="005E36F0">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6F0" w:rsidRDefault="00EF3BDD">
    <w:pPr>
      <w:pStyle w:val="a7"/>
      <w:framePr w:wrap="around" w:vAnchor="text" w:hAnchor="margin" w:xAlign="center" w:y="1"/>
      <w:rPr>
        <w:rStyle w:val="ab"/>
      </w:rPr>
    </w:pPr>
    <w:r>
      <w:fldChar w:fldCharType="begin"/>
    </w:r>
    <w:r w:rsidR="007D3E61">
      <w:rPr>
        <w:rStyle w:val="ab"/>
      </w:rPr>
      <w:instrText xml:space="preserve">PAGE  </w:instrText>
    </w:r>
    <w:r>
      <w:fldChar w:fldCharType="separate"/>
    </w:r>
    <w:r w:rsidR="00C66978">
      <w:rPr>
        <w:rStyle w:val="ab"/>
        <w:noProof/>
      </w:rPr>
      <w:t>7</w:t>
    </w:r>
    <w:r>
      <w:fldChar w:fldCharType="end"/>
    </w:r>
  </w:p>
  <w:p w:rsidR="005E36F0" w:rsidRDefault="005E36F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BAF" w:rsidRDefault="00FE6BAF" w:rsidP="005E36F0">
      <w:r>
        <w:separator/>
      </w:r>
    </w:p>
  </w:footnote>
  <w:footnote w:type="continuationSeparator" w:id="0">
    <w:p w:rsidR="00FE6BAF" w:rsidRDefault="00FE6BAF" w:rsidP="005E36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D256EBA"/>
    <w:multiLevelType w:val="singleLevel"/>
    <w:tmpl w:val="FD256EBA"/>
    <w:lvl w:ilvl="0">
      <w:start w:val="2"/>
      <w:numFmt w:val="chineseCounting"/>
      <w:suff w:val="nothing"/>
      <w:lvlText w:val="%1、"/>
      <w:lvlJc w:val="left"/>
      <w:rPr>
        <w:rFonts w:hint="eastAsia"/>
      </w:rPr>
    </w:lvl>
  </w:abstractNum>
  <w:abstractNum w:abstractNumId="1">
    <w:nsid w:val="0F08DA11"/>
    <w:multiLevelType w:val="singleLevel"/>
    <w:tmpl w:val="0F08DA11"/>
    <w:lvl w:ilvl="0">
      <w:start w:val="2"/>
      <w:numFmt w:val="decimal"/>
      <w:suff w:val="nothing"/>
      <w:lvlText w:val="（%1）"/>
      <w:lvlJc w:val="left"/>
    </w:lvl>
  </w:abstractNum>
  <w:abstractNum w:abstractNumId="2">
    <w:nsid w:val="2C6C24BB"/>
    <w:multiLevelType w:val="singleLevel"/>
    <w:tmpl w:val="2C6C24BB"/>
    <w:lvl w:ilvl="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OWZmNWE4NzRhMTczNjJlZDE5ZTE5YTczN2QxMzcyMjAifQ=="/>
  </w:docVars>
  <w:rsids>
    <w:rsidRoot w:val="00100246"/>
    <w:rsid w:val="95F35EF6"/>
    <w:rsid w:val="9BFFD860"/>
    <w:rsid w:val="AC5F73DE"/>
    <w:rsid w:val="B5DDD2C8"/>
    <w:rsid w:val="B9DFABD9"/>
    <w:rsid w:val="BC0D83FC"/>
    <w:rsid w:val="BF3BDEFB"/>
    <w:rsid w:val="C75F6086"/>
    <w:rsid w:val="C7F7ED2D"/>
    <w:rsid w:val="CFAF854E"/>
    <w:rsid w:val="D8D7928E"/>
    <w:rsid w:val="D8FE3136"/>
    <w:rsid w:val="DDDE60B7"/>
    <w:rsid w:val="DE9F6A22"/>
    <w:rsid w:val="DF4FCE6A"/>
    <w:rsid w:val="E4FED278"/>
    <w:rsid w:val="EDAA365C"/>
    <w:rsid w:val="EDADFC12"/>
    <w:rsid w:val="F2FD229B"/>
    <w:rsid w:val="F7F709E9"/>
    <w:rsid w:val="F7FF3690"/>
    <w:rsid w:val="F9BD3900"/>
    <w:rsid w:val="FC8B9876"/>
    <w:rsid w:val="FEDFF218"/>
    <w:rsid w:val="FEDFFFFF"/>
    <w:rsid w:val="00003B03"/>
    <w:rsid w:val="000040E6"/>
    <w:rsid w:val="00006625"/>
    <w:rsid w:val="00011D72"/>
    <w:rsid w:val="0002352D"/>
    <w:rsid w:val="00027CD5"/>
    <w:rsid w:val="00031B8E"/>
    <w:rsid w:val="00033EC1"/>
    <w:rsid w:val="00034224"/>
    <w:rsid w:val="00037223"/>
    <w:rsid w:val="00040275"/>
    <w:rsid w:val="0004719C"/>
    <w:rsid w:val="00047F6E"/>
    <w:rsid w:val="00051B00"/>
    <w:rsid w:val="000549B3"/>
    <w:rsid w:val="000601B1"/>
    <w:rsid w:val="00063034"/>
    <w:rsid w:val="00066E19"/>
    <w:rsid w:val="0006752F"/>
    <w:rsid w:val="00071797"/>
    <w:rsid w:val="00071860"/>
    <w:rsid w:val="0007258E"/>
    <w:rsid w:val="00077A9E"/>
    <w:rsid w:val="00077F4A"/>
    <w:rsid w:val="00077FE5"/>
    <w:rsid w:val="00080447"/>
    <w:rsid w:val="0008187D"/>
    <w:rsid w:val="00085663"/>
    <w:rsid w:val="00095948"/>
    <w:rsid w:val="00095C26"/>
    <w:rsid w:val="00096504"/>
    <w:rsid w:val="00096B86"/>
    <w:rsid w:val="000A1770"/>
    <w:rsid w:val="000A283C"/>
    <w:rsid w:val="000B15B7"/>
    <w:rsid w:val="000B70F1"/>
    <w:rsid w:val="000C4611"/>
    <w:rsid w:val="000D1B61"/>
    <w:rsid w:val="000D6854"/>
    <w:rsid w:val="000E0B26"/>
    <w:rsid w:val="000E3291"/>
    <w:rsid w:val="000F08FE"/>
    <w:rsid w:val="000F208B"/>
    <w:rsid w:val="000F2A48"/>
    <w:rsid w:val="000F2B7F"/>
    <w:rsid w:val="000F49BE"/>
    <w:rsid w:val="00100246"/>
    <w:rsid w:val="0010682D"/>
    <w:rsid w:val="001073C6"/>
    <w:rsid w:val="00107DB5"/>
    <w:rsid w:val="00113613"/>
    <w:rsid w:val="0011483D"/>
    <w:rsid w:val="00115724"/>
    <w:rsid w:val="00130995"/>
    <w:rsid w:val="00131FF9"/>
    <w:rsid w:val="00132320"/>
    <w:rsid w:val="00135B6A"/>
    <w:rsid w:val="001369A7"/>
    <w:rsid w:val="001428C5"/>
    <w:rsid w:val="001503D8"/>
    <w:rsid w:val="00157540"/>
    <w:rsid w:val="0017111F"/>
    <w:rsid w:val="00173CF6"/>
    <w:rsid w:val="00176067"/>
    <w:rsid w:val="00180DAD"/>
    <w:rsid w:val="0018370E"/>
    <w:rsid w:val="001852E1"/>
    <w:rsid w:val="00191568"/>
    <w:rsid w:val="001A0E54"/>
    <w:rsid w:val="001A4277"/>
    <w:rsid w:val="001A7D2E"/>
    <w:rsid w:val="001B1DF9"/>
    <w:rsid w:val="001B1E93"/>
    <w:rsid w:val="001B375E"/>
    <w:rsid w:val="001B4A46"/>
    <w:rsid w:val="001B5E87"/>
    <w:rsid w:val="001B5E91"/>
    <w:rsid w:val="001B69BF"/>
    <w:rsid w:val="001B7988"/>
    <w:rsid w:val="001D78D9"/>
    <w:rsid w:val="001E0556"/>
    <w:rsid w:val="001E2355"/>
    <w:rsid w:val="001E2379"/>
    <w:rsid w:val="001E29A9"/>
    <w:rsid w:val="001F5857"/>
    <w:rsid w:val="00206EC3"/>
    <w:rsid w:val="0021047C"/>
    <w:rsid w:val="00211E4E"/>
    <w:rsid w:val="00213D1C"/>
    <w:rsid w:val="00214C3A"/>
    <w:rsid w:val="00217517"/>
    <w:rsid w:val="00222628"/>
    <w:rsid w:val="002253CB"/>
    <w:rsid w:val="002267A6"/>
    <w:rsid w:val="002326DE"/>
    <w:rsid w:val="00234314"/>
    <w:rsid w:val="00241724"/>
    <w:rsid w:val="0024390C"/>
    <w:rsid w:val="002441F4"/>
    <w:rsid w:val="00244204"/>
    <w:rsid w:val="002448A4"/>
    <w:rsid w:val="00245A0A"/>
    <w:rsid w:val="00246C42"/>
    <w:rsid w:val="002515CC"/>
    <w:rsid w:val="00253EC4"/>
    <w:rsid w:val="00254515"/>
    <w:rsid w:val="0026479D"/>
    <w:rsid w:val="002673C4"/>
    <w:rsid w:val="0027112B"/>
    <w:rsid w:val="00271C3F"/>
    <w:rsid w:val="00272460"/>
    <w:rsid w:val="00273070"/>
    <w:rsid w:val="0027394A"/>
    <w:rsid w:val="00273A93"/>
    <w:rsid w:val="00274D50"/>
    <w:rsid w:val="002760D5"/>
    <w:rsid w:val="00276289"/>
    <w:rsid w:val="0028081D"/>
    <w:rsid w:val="0028458C"/>
    <w:rsid w:val="002911BD"/>
    <w:rsid w:val="00291C98"/>
    <w:rsid w:val="00294DE9"/>
    <w:rsid w:val="002A1488"/>
    <w:rsid w:val="002A4C2B"/>
    <w:rsid w:val="002B19D0"/>
    <w:rsid w:val="002B3682"/>
    <w:rsid w:val="002B4505"/>
    <w:rsid w:val="002B5464"/>
    <w:rsid w:val="002C0443"/>
    <w:rsid w:val="002C12FB"/>
    <w:rsid w:val="002C24BC"/>
    <w:rsid w:val="002D03C6"/>
    <w:rsid w:val="002D0FDF"/>
    <w:rsid w:val="002D3955"/>
    <w:rsid w:val="002D68A9"/>
    <w:rsid w:val="002E06AE"/>
    <w:rsid w:val="002E4B75"/>
    <w:rsid w:val="002E68DD"/>
    <w:rsid w:val="002E77AB"/>
    <w:rsid w:val="002F17C2"/>
    <w:rsid w:val="002F32EE"/>
    <w:rsid w:val="002F4054"/>
    <w:rsid w:val="002F5574"/>
    <w:rsid w:val="00301D20"/>
    <w:rsid w:val="00302B19"/>
    <w:rsid w:val="00303428"/>
    <w:rsid w:val="003053C4"/>
    <w:rsid w:val="003058A3"/>
    <w:rsid w:val="00307204"/>
    <w:rsid w:val="00307DA5"/>
    <w:rsid w:val="0031169D"/>
    <w:rsid w:val="0031170D"/>
    <w:rsid w:val="00313E14"/>
    <w:rsid w:val="003167DD"/>
    <w:rsid w:val="00320C8B"/>
    <w:rsid w:val="00321BD8"/>
    <w:rsid w:val="00325687"/>
    <w:rsid w:val="00332C14"/>
    <w:rsid w:val="00335079"/>
    <w:rsid w:val="003352CE"/>
    <w:rsid w:val="00341D8E"/>
    <w:rsid w:val="003502B9"/>
    <w:rsid w:val="00351B8F"/>
    <w:rsid w:val="00353226"/>
    <w:rsid w:val="00353717"/>
    <w:rsid w:val="00354630"/>
    <w:rsid w:val="00362E39"/>
    <w:rsid w:val="00365A24"/>
    <w:rsid w:val="003712DB"/>
    <w:rsid w:val="00373DDC"/>
    <w:rsid w:val="00382A86"/>
    <w:rsid w:val="00383BCC"/>
    <w:rsid w:val="00385243"/>
    <w:rsid w:val="00390F0A"/>
    <w:rsid w:val="003925D4"/>
    <w:rsid w:val="0039318C"/>
    <w:rsid w:val="00393366"/>
    <w:rsid w:val="003937DC"/>
    <w:rsid w:val="00393D75"/>
    <w:rsid w:val="003A2F2D"/>
    <w:rsid w:val="003A43AC"/>
    <w:rsid w:val="003A4EB6"/>
    <w:rsid w:val="003A7AE9"/>
    <w:rsid w:val="003A7BC5"/>
    <w:rsid w:val="003A7FF5"/>
    <w:rsid w:val="003B0352"/>
    <w:rsid w:val="003B4437"/>
    <w:rsid w:val="003B48C4"/>
    <w:rsid w:val="003B5805"/>
    <w:rsid w:val="003B5E20"/>
    <w:rsid w:val="003B6DAD"/>
    <w:rsid w:val="003B735F"/>
    <w:rsid w:val="003C030C"/>
    <w:rsid w:val="003C55FC"/>
    <w:rsid w:val="003D0EC3"/>
    <w:rsid w:val="003D7274"/>
    <w:rsid w:val="003E4D82"/>
    <w:rsid w:val="003E5BC1"/>
    <w:rsid w:val="003F0D1B"/>
    <w:rsid w:val="003F1DD6"/>
    <w:rsid w:val="00401087"/>
    <w:rsid w:val="00402E26"/>
    <w:rsid w:val="00405701"/>
    <w:rsid w:val="004110BC"/>
    <w:rsid w:val="004110E0"/>
    <w:rsid w:val="0041271F"/>
    <w:rsid w:val="0041688E"/>
    <w:rsid w:val="004170EF"/>
    <w:rsid w:val="0042093C"/>
    <w:rsid w:val="004233DD"/>
    <w:rsid w:val="00424405"/>
    <w:rsid w:val="00425B25"/>
    <w:rsid w:val="00425D24"/>
    <w:rsid w:val="00426A4D"/>
    <w:rsid w:val="00427687"/>
    <w:rsid w:val="00431DD9"/>
    <w:rsid w:val="00433231"/>
    <w:rsid w:val="004334CA"/>
    <w:rsid w:val="0043506A"/>
    <w:rsid w:val="00435830"/>
    <w:rsid w:val="0043619C"/>
    <w:rsid w:val="0043795B"/>
    <w:rsid w:val="0044475D"/>
    <w:rsid w:val="00444D1E"/>
    <w:rsid w:val="0044571A"/>
    <w:rsid w:val="00446918"/>
    <w:rsid w:val="0044705D"/>
    <w:rsid w:val="0045090E"/>
    <w:rsid w:val="00453E36"/>
    <w:rsid w:val="00457286"/>
    <w:rsid w:val="00461FA5"/>
    <w:rsid w:val="00463566"/>
    <w:rsid w:val="00464182"/>
    <w:rsid w:val="00471C52"/>
    <w:rsid w:val="0047460C"/>
    <w:rsid w:val="00474FF2"/>
    <w:rsid w:val="00480098"/>
    <w:rsid w:val="00484A93"/>
    <w:rsid w:val="00485E12"/>
    <w:rsid w:val="004865DA"/>
    <w:rsid w:val="0048779C"/>
    <w:rsid w:val="00487AB7"/>
    <w:rsid w:val="00487ED0"/>
    <w:rsid w:val="00490DE2"/>
    <w:rsid w:val="00491D09"/>
    <w:rsid w:val="00495962"/>
    <w:rsid w:val="0049682C"/>
    <w:rsid w:val="004A168E"/>
    <w:rsid w:val="004A4EC7"/>
    <w:rsid w:val="004B0003"/>
    <w:rsid w:val="004C020A"/>
    <w:rsid w:val="004C03A3"/>
    <w:rsid w:val="004C44B8"/>
    <w:rsid w:val="004C7629"/>
    <w:rsid w:val="004D0D5D"/>
    <w:rsid w:val="004E27DD"/>
    <w:rsid w:val="004E3350"/>
    <w:rsid w:val="004E5292"/>
    <w:rsid w:val="004F2C5B"/>
    <w:rsid w:val="004F641B"/>
    <w:rsid w:val="004F71F3"/>
    <w:rsid w:val="005052FA"/>
    <w:rsid w:val="005069E1"/>
    <w:rsid w:val="00507E59"/>
    <w:rsid w:val="005122B5"/>
    <w:rsid w:val="00517AFE"/>
    <w:rsid w:val="0052381C"/>
    <w:rsid w:val="005346B3"/>
    <w:rsid w:val="0054051C"/>
    <w:rsid w:val="00541897"/>
    <w:rsid w:val="00546A84"/>
    <w:rsid w:val="00547BE2"/>
    <w:rsid w:val="0055353D"/>
    <w:rsid w:val="00560672"/>
    <w:rsid w:val="0056187C"/>
    <w:rsid w:val="00576B03"/>
    <w:rsid w:val="00581E1A"/>
    <w:rsid w:val="00591655"/>
    <w:rsid w:val="00591BEC"/>
    <w:rsid w:val="005940EA"/>
    <w:rsid w:val="00594448"/>
    <w:rsid w:val="005A1D3F"/>
    <w:rsid w:val="005A1D6F"/>
    <w:rsid w:val="005A4D82"/>
    <w:rsid w:val="005A52A6"/>
    <w:rsid w:val="005B0DEC"/>
    <w:rsid w:val="005B368E"/>
    <w:rsid w:val="005B6E69"/>
    <w:rsid w:val="005C0015"/>
    <w:rsid w:val="005C1E82"/>
    <w:rsid w:val="005C2BCE"/>
    <w:rsid w:val="005C2CA5"/>
    <w:rsid w:val="005C7062"/>
    <w:rsid w:val="005C7788"/>
    <w:rsid w:val="005D10B9"/>
    <w:rsid w:val="005D18DA"/>
    <w:rsid w:val="005E00DC"/>
    <w:rsid w:val="005E36F0"/>
    <w:rsid w:val="005E3BBC"/>
    <w:rsid w:val="005E3EC6"/>
    <w:rsid w:val="005E4E07"/>
    <w:rsid w:val="005E4E46"/>
    <w:rsid w:val="005E5275"/>
    <w:rsid w:val="005E7DC8"/>
    <w:rsid w:val="005E7EC9"/>
    <w:rsid w:val="005F204C"/>
    <w:rsid w:val="005F7087"/>
    <w:rsid w:val="00611BE4"/>
    <w:rsid w:val="0061219B"/>
    <w:rsid w:val="00621419"/>
    <w:rsid w:val="00626446"/>
    <w:rsid w:val="00626BE8"/>
    <w:rsid w:val="00631827"/>
    <w:rsid w:val="00632804"/>
    <w:rsid w:val="006376DA"/>
    <w:rsid w:val="006459DA"/>
    <w:rsid w:val="006502E8"/>
    <w:rsid w:val="00654A2B"/>
    <w:rsid w:val="0065675C"/>
    <w:rsid w:val="0065793F"/>
    <w:rsid w:val="0066263B"/>
    <w:rsid w:val="0066713A"/>
    <w:rsid w:val="0067195C"/>
    <w:rsid w:val="006724F7"/>
    <w:rsid w:val="0067511A"/>
    <w:rsid w:val="0067539B"/>
    <w:rsid w:val="00675543"/>
    <w:rsid w:val="00677396"/>
    <w:rsid w:val="00677AD9"/>
    <w:rsid w:val="00681970"/>
    <w:rsid w:val="00690641"/>
    <w:rsid w:val="00690D88"/>
    <w:rsid w:val="00691844"/>
    <w:rsid w:val="00692024"/>
    <w:rsid w:val="00693DDF"/>
    <w:rsid w:val="00696F9E"/>
    <w:rsid w:val="006A374A"/>
    <w:rsid w:val="006A505E"/>
    <w:rsid w:val="006A513E"/>
    <w:rsid w:val="006A5265"/>
    <w:rsid w:val="006B0CB9"/>
    <w:rsid w:val="006B1648"/>
    <w:rsid w:val="006B2609"/>
    <w:rsid w:val="006B2750"/>
    <w:rsid w:val="006B3678"/>
    <w:rsid w:val="006B7390"/>
    <w:rsid w:val="006C0084"/>
    <w:rsid w:val="006C107D"/>
    <w:rsid w:val="006C3600"/>
    <w:rsid w:val="006C4534"/>
    <w:rsid w:val="006C5205"/>
    <w:rsid w:val="006C75F6"/>
    <w:rsid w:val="006D3F53"/>
    <w:rsid w:val="006D60AF"/>
    <w:rsid w:val="006E4722"/>
    <w:rsid w:val="00701651"/>
    <w:rsid w:val="007049BF"/>
    <w:rsid w:val="00704E79"/>
    <w:rsid w:val="00707A26"/>
    <w:rsid w:val="0071120F"/>
    <w:rsid w:val="00716380"/>
    <w:rsid w:val="00722165"/>
    <w:rsid w:val="00724B1C"/>
    <w:rsid w:val="007428F0"/>
    <w:rsid w:val="007512EF"/>
    <w:rsid w:val="007551AC"/>
    <w:rsid w:val="0076101C"/>
    <w:rsid w:val="00763D87"/>
    <w:rsid w:val="007670B2"/>
    <w:rsid w:val="00771795"/>
    <w:rsid w:val="00774925"/>
    <w:rsid w:val="0079279F"/>
    <w:rsid w:val="00793E69"/>
    <w:rsid w:val="00794182"/>
    <w:rsid w:val="007A063C"/>
    <w:rsid w:val="007A16B0"/>
    <w:rsid w:val="007A19EA"/>
    <w:rsid w:val="007A6092"/>
    <w:rsid w:val="007A60B7"/>
    <w:rsid w:val="007A64A6"/>
    <w:rsid w:val="007A6EE1"/>
    <w:rsid w:val="007A7C89"/>
    <w:rsid w:val="007B1487"/>
    <w:rsid w:val="007B2A43"/>
    <w:rsid w:val="007B326F"/>
    <w:rsid w:val="007B6A58"/>
    <w:rsid w:val="007B6C06"/>
    <w:rsid w:val="007B7B78"/>
    <w:rsid w:val="007C32B1"/>
    <w:rsid w:val="007C7A22"/>
    <w:rsid w:val="007C7C62"/>
    <w:rsid w:val="007D1076"/>
    <w:rsid w:val="007D12B7"/>
    <w:rsid w:val="007D2A49"/>
    <w:rsid w:val="007D3E61"/>
    <w:rsid w:val="007D5E38"/>
    <w:rsid w:val="007D7AC4"/>
    <w:rsid w:val="007E0340"/>
    <w:rsid w:val="007E1D4A"/>
    <w:rsid w:val="007E53C0"/>
    <w:rsid w:val="007E7703"/>
    <w:rsid w:val="007F4558"/>
    <w:rsid w:val="007F53DC"/>
    <w:rsid w:val="007F64DF"/>
    <w:rsid w:val="0080222A"/>
    <w:rsid w:val="008050EF"/>
    <w:rsid w:val="0080652C"/>
    <w:rsid w:val="0080715F"/>
    <w:rsid w:val="008113D6"/>
    <w:rsid w:val="00812BA7"/>
    <w:rsid w:val="00813A87"/>
    <w:rsid w:val="00813F63"/>
    <w:rsid w:val="00815926"/>
    <w:rsid w:val="00815F57"/>
    <w:rsid w:val="0081760B"/>
    <w:rsid w:val="008218AC"/>
    <w:rsid w:val="00825359"/>
    <w:rsid w:val="00825E13"/>
    <w:rsid w:val="00826F07"/>
    <w:rsid w:val="008337CB"/>
    <w:rsid w:val="00834A3C"/>
    <w:rsid w:val="008360A0"/>
    <w:rsid w:val="00837658"/>
    <w:rsid w:val="00837CD4"/>
    <w:rsid w:val="00837F78"/>
    <w:rsid w:val="008400EE"/>
    <w:rsid w:val="00840791"/>
    <w:rsid w:val="00845576"/>
    <w:rsid w:val="00850708"/>
    <w:rsid w:val="00851024"/>
    <w:rsid w:val="008526D7"/>
    <w:rsid w:val="0086238C"/>
    <w:rsid w:val="008655DC"/>
    <w:rsid w:val="0086732D"/>
    <w:rsid w:val="00870183"/>
    <w:rsid w:val="00875726"/>
    <w:rsid w:val="00877F10"/>
    <w:rsid w:val="0088225D"/>
    <w:rsid w:val="00882F8D"/>
    <w:rsid w:val="00884FB0"/>
    <w:rsid w:val="008853A5"/>
    <w:rsid w:val="008944DA"/>
    <w:rsid w:val="00894D78"/>
    <w:rsid w:val="008A6A18"/>
    <w:rsid w:val="008B033F"/>
    <w:rsid w:val="008B4003"/>
    <w:rsid w:val="008B7443"/>
    <w:rsid w:val="008C179E"/>
    <w:rsid w:val="008C2379"/>
    <w:rsid w:val="008C4FF7"/>
    <w:rsid w:val="008C5C4C"/>
    <w:rsid w:val="008C7056"/>
    <w:rsid w:val="008C706D"/>
    <w:rsid w:val="008D3145"/>
    <w:rsid w:val="008E1A54"/>
    <w:rsid w:val="008E1F95"/>
    <w:rsid w:val="008E36B6"/>
    <w:rsid w:val="008E4267"/>
    <w:rsid w:val="008E4847"/>
    <w:rsid w:val="008E5FF1"/>
    <w:rsid w:val="008E63D2"/>
    <w:rsid w:val="008E6E14"/>
    <w:rsid w:val="008F1528"/>
    <w:rsid w:val="008F1AE5"/>
    <w:rsid w:val="008F55D9"/>
    <w:rsid w:val="009057DE"/>
    <w:rsid w:val="00905F97"/>
    <w:rsid w:val="00906FA3"/>
    <w:rsid w:val="0091239D"/>
    <w:rsid w:val="00912825"/>
    <w:rsid w:val="009129B8"/>
    <w:rsid w:val="00912B99"/>
    <w:rsid w:val="00912C78"/>
    <w:rsid w:val="00927892"/>
    <w:rsid w:val="009319B9"/>
    <w:rsid w:val="009351E9"/>
    <w:rsid w:val="00937862"/>
    <w:rsid w:val="00942279"/>
    <w:rsid w:val="009524EB"/>
    <w:rsid w:val="00962013"/>
    <w:rsid w:val="00963942"/>
    <w:rsid w:val="00965E30"/>
    <w:rsid w:val="0096716C"/>
    <w:rsid w:val="009672B2"/>
    <w:rsid w:val="00971C66"/>
    <w:rsid w:val="00972363"/>
    <w:rsid w:val="0098419C"/>
    <w:rsid w:val="009843EF"/>
    <w:rsid w:val="009867F2"/>
    <w:rsid w:val="00987968"/>
    <w:rsid w:val="009909D5"/>
    <w:rsid w:val="00991347"/>
    <w:rsid w:val="00996018"/>
    <w:rsid w:val="0099738E"/>
    <w:rsid w:val="009A493E"/>
    <w:rsid w:val="009A4E8E"/>
    <w:rsid w:val="009A531F"/>
    <w:rsid w:val="009A6931"/>
    <w:rsid w:val="009B1F9A"/>
    <w:rsid w:val="009B1FA9"/>
    <w:rsid w:val="009B349F"/>
    <w:rsid w:val="009B4293"/>
    <w:rsid w:val="009B6715"/>
    <w:rsid w:val="009C7B74"/>
    <w:rsid w:val="009D0BE2"/>
    <w:rsid w:val="009D114E"/>
    <w:rsid w:val="009D210F"/>
    <w:rsid w:val="009D309C"/>
    <w:rsid w:val="009D37B1"/>
    <w:rsid w:val="009D4631"/>
    <w:rsid w:val="009D4717"/>
    <w:rsid w:val="009D694D"/>
    <w:rsid w:val="009E264E"/>
    <w:rsid w:val="009E6B2A"/>
    <w:rsid w:val="009F0C98"/>
    <w:rsid w:val="009F0F81"/>
    <w:rsid w:val="009F2543"/>
    <w:rsid w:val="009F256D"/>
    <w:rsid w:val="009F341E"/>
    <w:rsid w:val="009F57CE"/>
    <w:rsid w:val="009F7BE7"/>
    <w:rsid w:val="00A117CA"/>
    <w:rsid w:val="00A12225"/>
    <w:rsid w:val="00A14C18"/>
    <w:rsid w:val="00A21396"/>
    <w:rsid w:val="00A25898"/>
    <w:rsid w:val="00A3071D"/>
    <w:rsid w:val="00A3182E"/>
    <w:rsid w:val="00A31A89"/>
    <w:rsid w:val="00A32F06"/>
    <w:rsid w:val="00A34934"/>
    <w:rsid w:val="00A34EFE"/>
    <w:rsid w:val="00A36546"/>
    <w:rsid w:val="00A4069C"/>
    <w:rsid w:val="00A413B5"/>
    <w:rsid w:val="00A429CB"/>
    <w:rsid w:val="00A44E87"/>
    <w:rsid w:val="00A5063C"/>
    <w:rsid w:val="00A52749"/>
    <w:rsid w:val="00A5422E"/>
    <w:rsid w:val="00A56EC1"/>
    <w:rsid w:val="00A6350C"/>
    <w:rsid w:val="00A6370B"/>
    <w:rsid w:val="00A63A73"/>
    <w:rsid w:val="00A6655C"/>
    <w:rsid w:val="00A66CBB"/>
    <w:rsid w:val="00A6704E"/>
    <w:rsid w:val="00A67EA4"/>
    <w:rsid w:val="00A773FF"/>
    <w:rsid w:val="00A83AA1"/>
    <w:rsid w:val="00A906F4"/>
    <w:rsid w:val="00A9343A"/>
    <w:rsid w:val="00A9706C"/>
    <w:rsid w:val="00A97B34"/>
    <w:rsid w:val="00AA1B5C"/>
    <w:rsid w:val="00AA7A27"/>
    <w:rsid w:val="00AB3FB0"/>
    <w:rsid w:val="00AB465D"/>
    <w:rsid w:val="00AB713D"/>
    <w:rsid w:val="00AC02FE"/>
    <w:rsid w:val="00AC114C"/>
    <w:rsid w:val="00AC1478"/>
    <w:rsid w:val="00AC6C2D"/>
    <w:rsid w:val="00AC6E17"/>
    <w:rsid w:val="00AD23D0"/>
    <w:rsid w:val="00AD2FF3"/>
    <w:rsid w:val="00AD495E"/>
    <w:rsid w:val="00AD7764"/>
    <w:rsid w:val="00AD7FE2"/>
    <w:rsid w:val="00AE1284"/>
    <w:rsid w:val="00AE1B18"/>
    <w:rsid w:val="00AE7339"/>
    <w:rsid w:val="00AF1B0B"/>
    <w:rsid w:val="00AF242C"/>
    <w:rsid w:val="00AF3CC4"/>
    <w:rsid w:val="00B05903"/>
    <w:rsid w:val="00B12C7A"/>
    <w:rsid w:val="00B12E10"/>
    <w:rsid w:val="00B22BC3"/>
    <w:rsid w:val="00B25865"/>
    <w:rsid w:val="00B272B6"/>
    <w:rsid w:val="00B2771B"/>
    <w:rsid w:val="00B336E9"/>
    <w:rsid w:val="00B33AE5"/>
    <w:rsid w:val="00B35BE5"/>
    <w:rsid w:val="00B46965"/>
    <w:rsid w:val="00B54ED0"/>
    <w:rsid w:val="00B55D47"/>
    <w:rsid w:val="00B561ED"/>
    <w:rsid w:val="00B6070F"/>
    <w:rsid w:val="00B6204E"/>
    <w:rsid w:val="00B62776"/>
    <w:rsid w:val="00B649EC"/>
    <w:rsid w:val="00B728DD"/>
    <w:rsid w:val="00B72D43"/>
    <w:rsid w:val="00B73564"/>
    <w:rsid w:val="00B74121"/>
    <w:rsid w:val="00B80ABA"/>
    <w:rsid w:val="00B859FF"/>
    <w:rsid w:val="00B85C1B"/>
    <w:rsid w:val="00B85FF0"/>
    <w:rsid w:val="00B86150"/>
    <w:rsid w:val="00B878F9"/>
    <w:rsid w:val="00B9044A"/>
    <w:rsid w:val="00B960F3"/>
    <w:rsid w:val="00B9660B"/>
    <w:rsid w:val="00B96A31"/>
    <w:rsid w:val="00BA05E6"/>
    <w:rsid w:val="00BA51B0"/>
    <w:rsid w:val="00BA6319"/>
    <w:rsid w:val="00BC03B0"/>
    <w:rsid w:val="00BC06A3"/>
    <w:rsid w:val="00BC0CEA"/>
    <w:rsid w:val="00BC2220"/>
    <w:rsid w:val="00BC26B9"/>
    <w:rsid w:val="00BC26FA"/>
    <w:rsid w:val="00BC4E01"/>
    <w:rsid w:val="00BC73F6"/>
    <w:rsid w:val="00BD1177"/>
    <w:rsid w:val="00BD1374"/>
    <w:rsid w:val="00BD3531"/>
    <w:rsid w:val="00BD4E35"/>
    <w:rsid w:val="00BE34CA"/>
    <w:rsid w:val="00BF116A"/>
    <w:rsid w:val="00C03800"/>
    <w:rsid w:val="00C0623C"/>
    <w:rsid w:val="00C06A07"/>
    <w:rsid w:val="00C132B6"/>
    <w:rsid w:val="00C21A6C"/>
    <w:rsid w:val="00C24A10"/>
    <w:rsid w:val="00C27003"/>
    <w:rsid w:val="00C27597"/>
    <w:rsid w:val="00C32BD4"/>
    <w:rsid w:val="00C33E48"/>
    <w:rsid w:val="00C3618B"/>
    <w:rsid w:val="00C36D13"/>
    <w:rsid w:val="00C403FB"/>
    <w:rsid w:val="00C4316E"/>
    <w:rsid w:val="00C441A2"/>
    <w:rsid w:val="00C5076B"/>
    <w:rsid w:val="00C512D4"/>
    <w:rsid w:val="00C51CF4"/>
    <w:rsid w:val="00C531E2"/>
    <w:rsid w:val="00C53204"/>
    <w:rsid w:val="00C57E34"/>
    <w:rsid w:val="00C64659"/>
    <w:rsid w:val="00C662E9"/>
    <w:rsid w:val="00C66978"/>
    <w:rsid w:val="00C66C2D"/>
    <w:rsid w:val="00C7190B"/>
    <w:rsid w:val="00C76852"/>
    <w:rsid w:val="00C77210"/>
    <w:rsid w:val="00C777FA"/>
    <w:rsid w:val="00C77989"/>
    <w:rsid w:val="00C811F4"/>
    <w:rsid w:val="00C81E51"/>
    <w:rsid w:val="00C87B73"/>
    <w:rsid w:val="00C92444"/>
    <w:rsid w:val="00C92FBB"/>
    <w:rsid w:val="00C93327"/>
    <w:rsid w:val="00C97B4D"/>
    <w:rsid w:val="00CA5602"/>
    <w:rsid w:val="00CA5CA9"/>
    <w:rsid w:val="00CA78E2"/>
    <w:rsid w:val="00CB1BBE"/>
    <w:rsid w:val="00CB4CD3"/>
    <w:rsid w:val="00CB65DB"/>
    <w:rsid w:val="00CB6BD9"/>
    <w:rsid w:val="00CC293A"/>
    <w:rsid w:val="00CE19F6"/>
    <w:rsid w:val="00CE6B76"/>
    <w:rsid w:val="00CF366B"/>
    <w:rsid w:val="00CF5D9D"/>
    <w:rsid w:val="00CF606C"/>
    <w:rsid w:val="00CF7423"/>
    <w:rsid w:val="00D001F5"/>
    <w:rsid w:val="00D03E80"/>
    <w:rsid w:val="00D1505F"/>
    <w:rsid w:val="00D15B9F"/>
    <w:rsid w:val="00D15DD6"/>
    <w:rsid w:val="00D25548"/>
    <w:rsid w:val="00D2601F"/>
    <w:rsid w:val="00D27759"/>
    <w:rsid w:val="00D30028"/>
    <w:rsid w:val="00D325D3"/>
    <w:rsid w:val="00D3656F"/>
    <w:rsid w:val="00D408D6"/>
    <w:rsid w:val="00D511DD"/>
    <w:rsid w:val="00D55C2A"/>
    <w:rsid w:val="00D571C1"/>
    <w:rsid w:val="00D602F4"/>
    <w:rsid w:val="00D6457E"/>
    <w:rsid w:val="00D742E2"/>
    <w:rsid w:val="00D7580E"/>
    <w:rsid w:val="00D87DAF"/>
    <w:rsid w:val="00D9446D"/>
    <w:rsid w:val="00DA02F3"/>
    <w:rsid w:val="00DA2994"/>
    <w:rsid w:val="00DB08E8"/>
    <w:rsid w:val="00DB0DED"/>
    <w:rsid w:val="00DB3073"/>
    <w:rsid w:val="00DB3BA9"/>
    <w:rsid w:val="00DB50FE"/>
    <w:rsid w:val="00DB5EDA"/>
    <w:rsid w:val="00DC2349"/>
    <w:rsid w:val="00DC3026"/>
    <w:rsid w:val="00DD1EDB"/>
    <w:rsid w:val="00DD57AA"/>
    <w:rsid w:val="00DE1578"/>
    <w:rsid w:val="00DE7F67"/>
    <w:rsid w:val="00DF0529"/>
    <w:rsid w:val="00DF09EF"/>
    <w:rsid w:val="00DF0D0F"/>
    <w:rsid w:val="00DF13D6"/>
    <w:rsid w:val="00DF2172"/>
    <w:rsid w:val="00DF27D6"/>
    <w:rsid w:val="00DF2BEA"/>
    <w:rsid w:val="00DF4488"/>
    <w:rsid w:val="00DF5B98"/>
    <w:rsid w:val="00DF6FA8"/>
    <w:rsid w:val="00DF701E"/>
    <w:rsid w:val="00DF7BE5"/>
    <w:rsid w:val="00E00D49"/>
    <w:rsid w:val="00E019A8"/>
    <w:rsid w:val="00E03A46"/>
    <w:rsid w:val="00E03C6D"/>
    <w:rsid w:val="00E0476F"/>
    <w:rsid w:val="00E04899"/>
    <w:rsid w:val="00E0796F"/>
    <w:rsid w:val="00E10948"/>
    <w:rsid w:val="00E14DA2"/>
    <w:rsid w:val="00E24371"/>
    <w:rsid w:val="00E243AB"/>
    <w:rsid w:val="00E26641"/>
    <w:rsid w:val="00E2778F"/>
    <w:rsid w:val="00E278B0"/>
    <w:rsid w:val="00E33023"/>
    <w:rsid w:val="00E331F3"/>
    <w:rsid w:val="00E3498D"/>
    <w:rsid w:val="00E400A1"/>
    <w:rsid w:val="00E42425"/>
    <w:rsid w:val="00E43E55"/>
    <w:rsid w:val="00E4554E"/>
    <w:rsid w:val="00E46D22"/>
    <w:rsid w:val="00E4768F"/>
    <w:rsid w:val="00E53C0E"/>
    <w:rsid w:val="00E54F7E"/>
    <w:rsid w:val="00E560CE"/>
    <w:rsid w:val="00E5674E"/>
    <w:rsid w:val="00E63783"/>
    <w:rsid w:val="00E650E2"/>
    <w:rsid w:val="00E75CAD"/>
    <w:rsid w:val="00E76922"/>
    <w:rsid w:val="00E8595B"/>
    <w:rsid w:val="00E915EC"/>
    <w:rsid w:val="00E94CB4"/>
    <w:rsid w:val="00EA11B1"/>
    <w:rsid w:val="00EA2224"/>
    <w:rsid w:val="00EA7194"/>
    <w:rsid w:val="00EB1329"/>
    <w:rsid w:val="00EB2987"/>
    <w:rsid w:val="00EB2D75"/>
    <w:rsid w:val="00EB34BE"/>
    <w:rsid w:val="00EB571A"/>
    <w:rsid w:val="00EC2804"/>
    <w:rsid w:val="00EC3594"/>
    <w:rsid w:val="00EC6117"/>
    <w:rsid w:val="00EC6138"/>
    <w:rsid w:val="00EC75DF"/>
    <w:rsid w:val="00ED1DCF"/>
    <w:rsid w:val="00ED43C9"/>
    <w:rsid w:val="00EE2C60"/>
    <w:rsid w:val="00EE2E58"/>
    <w:rsid w:val="00EE487A"/>
    <w:rsid w:val="00EE7125"/>
    <w:rsid w:val="00EE734C"/>
    <w:rsid w:val="00EF3BDD"/>
    <w:rsid w:val="00EF6907"/>
    <w:rsid w:val="00EF6D91"/>
    <w:rsid w:val="00F01F54"/>
    <w:rsid w:val="00F04D4D"/>
    <w:rsid w:val="00F11DD8"/>
    <w:rsid w:val="00F12745"/>
    <w:rsid w:val="00F13766"/>
    <w:rsid w:val="00F16E3C"/>
    <w:rsid w:val="00F20A77"/>
    <w:rsid w:val="00F21198"/>
    <w:rsid w:val="00F22C60"/>
    <w:rsid w:val="00F231A4"/>
    <w:rsid w:val="00F23252"/>
    <w:rsid w:val="00F26281"/>
    <w:rsid w:val="00F27B2A"/>
    <w:rsid w:val="00F31762"/>
    <w:rsid w:val="00F345D3"/>
    <w:rsid w:val="00F356ED"/>
    <w:rsid w:val="00F359B5"/>
    <w:rsid w:val="00F4144F"/>
    <w:rsid w:val="00F433F3"/>
    <w:rsid w:val="00F47F64"/>
    <w:rsid w:val="00F522D9"/>
    <w:rsid w:val="00F52F54"/>
    <w:rsid w:val="00F53584"/>
    <w:rsid w:val="00F61B24"/>
    <w:rsid w:val="00F62DE5"/>
    <w:rsid w:val="00F63F8A"/>
    <w:rsid w:val="00F6514E"/>
    <w:rsid w:val="00F703DC"/>
    <w:rsid w:val="00F71D06"/>
    <w:rsid w:val="00F73B46"/>
    <w:rsid w:val="00F73D01"/>
    <w:rsid w:val="00F7642B"/>
    <w:rsid w:val="00F76A43"/>
    <w:rsid w:val="00F80334"/>
    <w:rsid w:val="00F8139D"/>
    <w:rsid w:val="00F83DF9"/>
    <w:rsid w:val="00F85DA0"/>
    <w:rsid w:val="00F930AF"/>
    <w:rsid w:val="00F9352C"/>
    <w:rsid w:val="00F975B0"/>
    <w:rsid w:val="00FA15F1"/>
    <w:rsid w:val="00FA19F5"/>
    <w:rsid w:val="00FA3FA1"/>
    <w:rsid w:val="00FA4A69"/>
    <w:rsid w:val="00FA649A"/>
    <w:rsid w:val="00FB1248"/>
    <w:rsid w:val="00FB208D"/>
    <w:rsid w:val="00FB3CF4"/>
    <w:rsid w:val="00FB4A27"/>
    <w:rsid w:val="00FB4A49"/>
    <w:rsid w:val="00FB69B3"/>
    <w:rsid w:val="00FC1F88"/>
    <w:rsid w:val="00FC6FBE"/>
    <w:rsid w:val="00FD1162"/>
    <w:rsid w:val="00FD2232"/>
    <w:rsid w:val="00FD4AE7"/>
    <w:rsid w:val="00FD65A9"/>
    <w:rsid w:val="00FD7508"/>
    <w:rsid w:val="00FE1E51"/>
    <w:rsid w:val="00FE2496"/>
    <w:rsid w:val="00FE6A2B"/>
    <w:rsid w:val="00FE6BAF"/>
    <w:rsid w:val="00FF0275"/>
    <w:rsid w:val="00FF07B3"/>
    <w:rsid w:val="00FF1E37"/>
    <w:rsid w:val="02F120AB"/>
    <w:rsid w:val="031C2AB6"/>
    <w:rsid w:val="032B5196"/>
    <w:rsid w:val="04C3537C"/>
    <w:rsid w:val="05EA217B"/>
    <w:rsid w:val="079004AC"/>
    <w:rsid w:val="09ED536B"/>
    <w:rsid w:val="0B0D61E5"/>
    <w:rsid w:val="0B122A2F"/>
    <w:rsid w:val="0BA148CA"/>
    <w:rsid w:val="0C1165C4"/>
    <w:rsid w:val="0C8B455B"/>
    <w:rsid w:val="0CB47CA0"/>
    <w:rsid w:val="0CBB12D9"/>
    <w:rsid w:val="0D6D544B"/>
    <w:rsid w:val="0DD136FE"/>
    <w:rsid w:val="0E7C659C"/>
    <w:rsid w:val="0F435158"/>
    <w:rsid w:val="0F8E2C57"/>
    <w:rsid w:val="10392996"/>
    <w:rsid w:val="1059665E"/>
    <w:rsid w:val="10AC13BA"/>
    <w:rsid w:val="11980797"/>
    <w:rsid w:val="145A6C1B"/>
    <w:rsid w:val="14B73493"/>
    <w:rsid w:val="15725C19"/>
    <w:rsid w:val="167A2FF9"/>
    <w:rsid w:val="16B21172"/>
    <w:rsid w:val="16F61C98"/>
    <w:rsid w:val="17E05399"/>
    <w:rsid w:val="18581C69"/>
    <w:rsid w:val="186D28E5"/>
    <w:rsid w:val="190569DB"/>
    <w:rsid w:val="19D64B3D"/>
    <w:rsid w:val="1A7E3DE6"/>
    <w:rsid w:val="1AEC0734"/>
    <w:rsid w:val="1C203C3A"/>
    <w:rsid w:val="1DC53ABB"/>
    <w:rsid w:val="1DEF20B0"/>
    <w:rsid w:val="1E4D1B10"/>
    <w:rsid w:val="1E574E31"/>
    <w:rsid w:val="1F627D66"/>
    <w:rsid w:val="214243FA"/>
    <w:rsid w:val="21AD613C"/>
    <w:rsid w:val="22467189"/>
    <w:rsid w:val="22561186"/>
    <w:rsid w:val="249266C1"/>
    <w:rsid w:val="257A14F5"/>
    <w:rsid w:val="25812506"/>
    <w:rsid w:val="26C33EFF"/>
    <w:rsid w:val="27196C26"/>
    <w:rsid w:val="28D03258"/>
    <w:rsid w:val="297211FB"/>
    <w:rsid w:val="299D023B"/>
    <w:rsid w:val="29EF086F"/>
    <w:rsid w:val="2A014A0F"/>
    <w:rsid w:val="2DB8647D"/>
    <w:rsid w:val="2E4B3B69"/>
    <w:rsid w:val="2EFFE297"/>
    <w:rsid w:val="301437CA"/>
    <w:rsid w:val="322E6CF5"/>
    <w:rsid w:val="326E4A37"/>
    <w:rsid w:val="32791381"/>
    <w:rsid w:val="34504C29"/>
    <w:rsid w:val="349D1F0A"/>
    <w:rsid w:val="34DD0473"/>
    <w:rsid w:val="34F53ACF"/>
    <w:rsid w:val="35C30488"/>
    <w:rsid w:val="378C0D4E"/>
    <w:rsid w:val="3C181CA7"/>
    <w:rsid w:val="3C684897"/>
    <w:rsid w:val="3E5410EC"/>
    <w:rsid w:val="40336F39"/>
    <w:rsid w:val="41C6204F"/>
    <w:rsid w:val="433E495C"/>
    <w:rsid w:val="43EE5D94"/>
    <w:rsid w:val="44A64D57"/>
    <w:rsid w:val="45CC47CC"/>
    <w:rsid w:val="489F2FD7"/>
    <w:rsid w:val="49C20131"/>
    <w:rsid w:val="49F64455"/>
    <w:rsid w:val="4AC27CB3"/>
    <w:rsid w:val="4BF72BEF"/>
    <w:rsid w:val="4F5C46DB"/>
    <w:rsid w:val="4FA90297"/>
    <w:rsid w:val="4FC41A43"/>
    <w:rsid w:val="51AB0DD4"/>
    <w:rsid w:val="51DB3C59"/>
    <w:rsid w:val="531B6536"/>
    <w:rsid w:val="550C0952"/>
    <w:rsid w:val="551B555C"/>
    <w:rsid w:val="55762E42"/>
    <w:rsid w:val="573445B9"/>
    <w:rsid w:val="57A7B272"/>
    <w:rsid w:val="58470068"/>
    <w:rsid w:val="58747CAC"/>
    <w:rsid w:val="596E4655"/>
    <w:rsid w:val="5A1720F9"/>
    <w:rsid w:val="5B9C37C2"/>
    <w:rsid w:val="5BA7C654"/>
    <w:rsid w:val="5D0D6309"/>
    <w:rsid w:val="5DAC4718"/>
    <w:rsid w:val="5E7B6E86"/>
    <w:rsid w:val="5EA627E9"/>
    <w:rsid w:val="5F304909"/>
    <w:rsid w:val="60653BCD"/>
    <w:rsid w:val="60A54109"/>
    <w:rsid w:val="61D01CDF"/>
    <w:rsid w:val="61EF4230"/>
    <w:rsid w:val="62944DD7"/>
    <w:rsid w:val="62CC27F1"/>
    <w:rsid w:val="64A64879"/>
    <w:rsid w:val="64C0607C"/>
    <w:rsid w:val="65756C86"/>
    <w:rsid w:val="65B8604F"/>
    <w:rsid w:val="674D385B"/>
    <w:rsid w:val="676F09E1"/>
    <w:rsid w:val="6A093D71"/>
    <w:rsid w:val="6E464135"/>
    <w:rsid w:val="70D66204"/>
    <w:rsid w:val="716E58B5"/>
    <w:rsid w:val="71793A80"/>
    <w:rsid w:val="727724DD"/>
    <w:rsid w:val="7357290B"/>
    <w:rsid w:val="792E1A0D"/>
    <w:rsid w:val="794A5D98"/>
    <w:rsid w:val="798524E4"/>
    <w:rsid w:val="7A7F1C49"/>
    <w:rsid w:val="7B5B7AE6"/>
    <w:rsid w:val="7B7B6628"/>
    <w:rsid w:val="7BA7071E"/>
    <w:rsid w:val="7BDF6DA8"/>
    <w:rsid w:val="7BDF7589"/>
    <w:rsid w:val="7C7EDC1A"/>
    <w:rsid w:val="7CCED98D"/>
    <w:rsid w:val="7CEA75F4"/>
    <w:rsid w:val="7D08410F"/>
    <w:rsid w:val="7D2759BE"/>
    <w:rsid w:val="7DB96DED"/>
    <w:rsid w:val="7DD3AD81"/>
    <w:rsid w:val="7F7FE70F"/>
    <w:rsid w:val="7FFF77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Indent" w:qFormat="1"/>
    <w:lsdException w:name="Subtitle" w:qFormat="1"/>
    <w:lsdException w:name="Dat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E36F0"/>
    <w:pPr>
      <w:widowControl w:val="0"/>
      <w:jc w:val="both"/>
    </w:pPr>
    <w:rPr>
      <w:kern w:val="2"/>
      <w:sz w:val="21"/>
      <w:szCs w:val="24"/>
    </w:rPr>
  </w:style>
  <w:style w:type="paragraph" w:styleId="2">
    <w:name w:val="heading 2"/>
    <w:basedOn w:val="a"/>
    <w:next w:val="a"/>
    <w:qFormat/>
    <w:rsid w:val="005E36F0"/>
    <w:pPr>
      <w:keepNext/>
      <w:keepLines/>
      <w:spacing w:before="100" w:beforeAutospacing="1" w:after="100" w:afterAutospacing="1"/>
      <w:outlineLvl w:val="1"/>
    </w:pPr>
    <w:rPr>
      <w:rFonts w:ascii="Cambria" w:eastAsia="黑体" w:hAnsi="Cambria"/>
      <w:b/>
      <w:bCs/>
      <w:kern w:val="0"/>
      <w:sz w:val="36"/>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5E36F0"/>
    <w:pPr>
      <w:ind w:firstLineChars="200" w:firstLine="200"/>
    </w:pPr>
  </w:style>
  <w:style w:type="paragraph" w:styleId="a4">
    <w:name w:val="Body Text Indent"/>
    <w:basedOn w:val="a"/>
    <w:qFormat/>
    <w:rsid w:val="005E36F0"/>
    <w:pPr>
      <w:ind w:firstLine="645"/>
    </w:pPr>
    <w:rPr>
      <w:rFonts w:ascii="仿宋_GB2312" w:eastAsia="仿宋_GB2312" w:hAnsi="Calibri"/>
      <w:sz w:val="32"/>
      <w:szCs w:val="32"/>
    </w:rPr>
  </w:style>
  <w:style w:type="paragraph" w:styleId="a5">
    <w:name w:val="Date"/>
    <w:basedOn w:val="a"/>
    <w:next w:val="a"/>
    <w:qFormat/>
    <w:rsid w:val="005E36F0"/>
    <w:pPr>
      <w:ind w:leftChars="2500" w:left="100"/>
    </w:pPr>
  </w:style>
  <w:style w:type="paragraph" w:styleId="a6">
    <w:name w:val="Balloon Text"/>
    <w:basedOn w:val="a"/>
    <w:semiHidden/>
    <w:qFormat/>
    <w:rsid w:val="005E36F0"/>
    <w:rPr>
      <w:sz w:val="18"/>
      <w:szCs w:val="18"/>
    </w:rPr>
  </w:style>
  <w:style w:type="paragraph" w:styleId="a7">
    <w:name w:val="footer"/>
    <w:basedOn w:val="a"/>
    <w:link w:val="Char"/>
    <w:qFormat/>
    <w:rsid w:val="005E36F0"/>
    <w:pPr>
      <w:tabs>
        <w:tab w:val="center" w:pos="4153"/>
        <w:tab w:val="right" w:pos="8306"/>
      </w:tabs>
      <w:snapToGrid w:val="0"/>
      <w:jc w:val="left"/>
    </w:pPr>
    <w:rPr>
      <w:sz w:val="18"/>
      <w:szCs w:val="18"/>
    </w:rPr>
  </w:style>
  <w:style w:type="paragraph" w:styleId="a8">
    <w:name w:val="header"/>
    <w:basedOn w:val="a"/>
    <w:link w:val="Char0"/>
    <w:qFormat/>
    <w:rsid w:val="005E36F0"/>
    <w:pPr>
      <w:pBdr>
        <w:bottom w:val="single" w:sz="6" w:space="1" w:color="auto"/>
      </w:pBdr>
      <w:tabs>
        <w:tab w:val="center" w:pos="4153"/>
        <w:tab w:val="right" w:pos="8306"/>
      </w:tabs>
      <w:snapToGrid w:val="0"/>
      <w:jc w:val="center"/>
    </w:pPr>
    <w:rPr>
      <w:rFonts w:ascii="Calibri" w:hAnsi="Calibri"/>
      <w:sz w:val="18"/>
      <w:szCs w:val="18"/>
    </w:rPr>
  </w:style>
  <w:style w:type="paragraph" w:styleId="a9">
    <w:name w:val="Normal (Web)"/>
    <w:basedOn w:val="a"/>
    <w:unhideWhenUsed/>
    <w:qFormat/>
    <w:rsid w:val="005E36F0"/>
    <w:pPr>
      <w:spacing w:before="100" w:beforeAutospacing="1" w:after="100" w:afterAutospacing="1"/>
      <w:ind w:right="238"/>
      <w:jc w:val="left"/>
    </w:pPr>
    <w:rPr>
      <w:b/>
      <w:kern w:val="0"/>
      <w:sz w:val="24"/>
      <w:szCs w:val="20"/>
    </w:rPr>
  </w:style>
  <w:style w:type="character" w:styleId="aa">
    <w:name w:val="Strong"/>
    <w:qFormat/>
    <w:rsid w:val="005E36F0"/>
    <w:rPr>
      <w:b/>
    </w:rPr>
  </w:style>
  <w:style w:type="character" w:styleId="ab">
    <w:name w:val="page number"/>
    <w:basedOn w:val="a0"/>
    <w:qFormat/>
    <w:rsid w:val="005E36F0"/>
  </w:style>
  <w:style w:type="character" w:customStyle="1" w:styleId="Char">
    <w:name w:val="页脚 Char"/>
    <w:link w:val="a7"/>
    <w:qFormat/>
    <w:rsid w:val="005E36F0"/>
    <w:rPr>
      <w:rFonts w:eastAsia="宋体"/>
      <w:kern w:val="2"/>
      <w:sz w:val="18"/>
      <w:szCs w:val="18"/>
      <w:lang w:val="en-US" w:eastAsia="zh-CN" w:bidi="ar-SA"/>
    </w:rPr>
  </w:style>
  <w:style w:type="character" w:customStyle="1" w:styleId="Char0">
    <w:name w:val="页眉 Char"/>
    <w:link w:val="a8"/>
    <w:qFormat/>
    <w:rsid w:val="005E36F0"/>
    <w:rPr>
      <w:rFonts w:ascii="Calibri" w:eastAsia="宋体" w:hAnsi="Calibri"/>
      <w:kern w:val="2"/>
      <w:sz w:val="18"/>
      <w:szCs w:val="18"/>
      <w:lang w:val="en-US" w:eastAsia="zh-CN" w:bidi="ar-SA"/>
    </w:rPr>
  </w:style>
  <w:style w:type="paragraph" w:customStyle="1" w:styleId="CharCharCharCharCharCharChar">
    <w:name w:val="Char Char Char Char Char Char Char"/>
    <w:basedOn w:val="a"/>
    <w:qFormat/>
    <w:rsid w:val="005E36F0"/>
    <w:rPr>
      <w:rFonts w:ascii="Tahoma" w:hAnsi="Tahoma"/>
      <w:sz w:val="24"/>
      <w:szCs w:val="20"/>
    </w:rPr>
  </w:style>
  <w:style w:type="paragraph" w:customStyle="1" w:styleId="Char1CharCharChar">
    <w:name w:val="Char1 Char Char Char"/>
    <w:basedOn w:val="a"/>
    <w:qFormat/>
    <w:rsid w:val="005E36F0"/>
    <w:pPr>
      <w:widowControl/>
      <w:spacing w:after="160" w:line="240" w:lineRule="exact"/>
      <w:jc w:val="left"/>
    </w:pPr>
    <w:rPr>
      <w:szCs w:val="20"/>
    </w:rPr>
  </w:style>
  <w:style w:type="paragraph" w:customStyle="1" w:styleId="Char1">
    <w:name w:val="Char"/>
    <w:basedOn w:val="a"/>
    <w:qFormat/>
    <w:rsid w:val="005E36F0"/>
    <w:rPr>
      <w:rFonts w:ascii="Tahoma" w:hAnsi="Tahoma"/>
      <w:sz w:val="24"/>
      <w:szCs w:val="20"/>
    </w:rPr>
  </w:style>
  <w:style w:type="paragraph" w:customStyle="1" w:styleId="CharChar3CharChar">
    <w:name w:val="Char Char3 Char Char"/>
    <w:basedOn w:val="a"/>
    <w:qFormat/>
    <w:rsid w:val="005E36F0"/>
    <w:rPr>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11111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112121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autoTitleDeleted val="1"/>
    <c:plotArea>
      <c:layout/>
      <c:pieChart>
        <c:varyColors val="1"/>
        <c:ser>
          <c:idx val="0"/>
          <c:order val="0"/>
          <c:tx>
            <c:strRef>
              <c:f>Sheet1!$B$1</c:f>
              <c:strCache>
                <c:ptCount val="1"/>
                <c:pt idx="0">
                  <c:v>收入</c:v>
                </c:pt>
              </c:strCache>
            </c:strRef>
          </c:tx>
          <c:dLbls>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endParaRPr lang="zh-CN"/>
              </a:p>
            </c:txPr>
            <c:dLblPos val="bestFit"/>
            <c:showPercent val="1"/>
            <c:showLeaderLines val="1"/>
            <c:extLst>
              <c:ext xmlns:c15="http://schemas.microsoft.com/office/drawing/2012/chart" uri="{CE6537A1-D6FC-4f65-9D91-7224C49458BB}">
                <c15:layout/>
                <c15:showLeaderLines val="1"/>
                <c15:leaderLines/>
              </c:ext>
            </c:extLst>
          </c:dLbls>
          <c:cat>
            <c:strRef>
              <c:f>Sheet1!$A$2:$A$7</c:f>
              <c:strCache>
                <c:ptCount val="6"/>
                <c:pt idx="0">
                  <c:v>财政拨款收入</c:v>
                </c:pt>
                <c:pt idx="1">
                  <c:v>上级补助收入</c:v>
                </c:pt>
                <c:pt idx="2">
                  <c:v>事业收入</c:v>
                </c:pt>
                <c:pt idx="3">
                  <c:v>经营收入</c:v>
                </c:pt>
                <c:pt idx="4">
                  <c:v>附属单位上缴</c:v>
                </c:pt>
                <c:pt idx="5">
                  <c:v>其他收入</c:v>
                </c:pt>
              </c:strCache>
            </c:strRef>
          </c:cat>
          <c:val>
            <c:numRef>
              <c:f>Sheet1!$B$2:$B$7</c:f>
              <c:numCache>
                <c:formatCode>General</c:formatCode>
                <c:ptCount val="6"/>
                <c:pt idx="0">
                  <c:v>3529.15</c:v>
                </c:pt>
                <c:pt idx="1">
                  <c:v>0</c:v>
                </c:pt>
                <c:pt idx="2">
                  <c:v>0</c:v>
                </c:pt>
                <c:pt idx="3">
                  <c:v>0</c:v>
                </c:pt>
                <c:pt idx="4">
                  <c:v>0</c:v>
                </c:pt>
                <c:pt idx="5">
                  <c:v>57.74</c:v>
                </c:pt>
              </c:numCache>
            </c:numRef>
          </c:val>
        </c:ser>
        <c:dLbls>
          <c:showVal val="1"/>
        </c:dLbls>
        <c:firstSliceAng val="0"/>
      </c:pieChart>
    </c:plotArea>
    <c:legend>
      <c:legendPos val="r"/>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endParaRPr lang="zh-CN"/>
        </a:p>
      </c:txPr>
    </c:legend>
    <c:plotVisOnly val="1"/>
    <c:dispBlanksAs val="zero"/>
    <c:extLst>
      <c:ext uri="{0b15fc19-7d7d-44ad-8c2d-2c3a37ce22c3}">
        <chartProps xmlns="https://web.wps.cn/et/2018/main" chartId="{6186e1f5-6791-43d7-acca-99458c7a2ea1}"/>
      </c:ext>
    </c:extLst>
  </c:chart>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hart>
    <c:autoTitleDeleted val="1"/>
    <c:plotArea>
      <c:layout/>
      <c:pieChart>
        <c:varyColors val="1"/>
        <c:ser>
          <c:idx val="0"/>
          <c:order val="0"/>
          <c:tx>
            <c:strRef>
              <c:f>Sheet0!$B$1</c:f>
              <c:strCache>
                <c:ptCount val="1"/>
                <c:pt idx="0">
                  <c:v>支出</c:v>
                </c:pt>
              </c:strCache>
            </c:strRef>
          </c:tx>
          <c:dPt>
            <c:idx val="0"/>
            <c:spPr>
              <a:solidFill>
                <a:srgbClr val="4F81BD"/>
              </a:solidFill>
              <a:ln w="19050">
                <a:solidFill>
                  <a:srgbClr val="FFFFFF"/>
                </a:solidFill>
              </a:ln>
              <a:effectLst/>
            </c:spPr>
          </c:dPt>
          <c:dPt>
            <c:idx val="1"/>
            <c:spPr>
              <a:solidFill>
                <a:srgbClr val="C0504D"/>
              </a:solidFill>
              <a:ln w="19050">
                <a:solidFill>
                  <a:srgbClr val="FFFFFF"/>
                </a:solidFill>
              </a:ln>
              <a:effectLst/>
            </c:spPr>
          </c:dPt>
          <c:dPt>
            <c:idx val="2"/>
            <c:spPr>
              <a:solidFill>
                <a:srgbClr val="9BBB59"/>
              </a:solidFill>
              <a:ln w="19050">
                <a:solidFill>
                  <a:srgbClr val="FFFFFF"/>
                </a:solidFill>
              </a:ln>
              <a:effectLst/>
            </c:spPr>
          </c:dPt>
          <c:dPt>
            <c:idx val="3"/>
            <c:spPr>
              <a:solidFill>
                <a:srgbClr val="8064A2"/>
              </a:solidFill>
              <a:ln w="19050">
                <a:solidFill>
                  <a:srgbClr val="FFFFFF"/>
                </a:solidFill>
              </a:ln>
              <a:effectLst/>
            </c:spPr>
          </c:dPt>
          <c:dPt>
            <c:idx val="4"/>
            <c:spPr>
              <a:solidFill>
                <a:srgbClr val="4BACC6"/>
              </a:solidFill>
              <a:ln w="19050">
                <a:solidFill>
                  <a:srgbClr val="FFFFFF"/>
                </a:solidFill>
              </a:ln>
              <a:effectLst/>
            </c:spPr>
          </c:dPt>
          <c:dLbls>
            <c:dLbl>
              <c:idx val="2"/>
              <c:layout>
                <c:manualLayout>
                  <c:x val="-3.9003729401150052E-2"/>
                  <c:y val="3.2827143610787812E-2"/>
                </c:manualLayout>
              </c:layout>
              <c:dLblPos val="bestFit"/>
              <c:showPercent val="1"/>
              <c:extLst>
                <c:ext xmlns:c15="http://schemas.microsoft.com/office/drawing/2012/chart" uri="{CE6537A1-D6FC-4f65-9D91-7224C49458BB}">
                  <c15:layout/>
                </c:ext>
              </c:extLst>
            </c:dLbl>
            <c:dLbl>
              <c:idx val="4"/>
              <c:layout>
                <c:manualLayout>
                  <c:x val="3.8988769358610204E-2"/>
                  <c:y val="1.0511229510062317E-2"/>
                </c:manualLayout>
              </c:layout>
              <c:dLblPos val="bestFit"/>
              <c:showPercent val="1"/>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mn-lt"/>
                    <a:ea typeface="+mn-ea"/>
                    <a:cs typeface="+mn-cs"/>
                  </a:defRPr>
                </a:pPr>
                <a:endParaRPr lang="zh-CN"/>
              </a:p>
            </c:txPr>
            <c:dLblPos val="bestFit"/>
            <c:showPercent val="1"/>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prstDash val="solid"/>
                      <a:round/>
                    </a:ln>
                    <a:effectLst/>
                  </c:spPr>
                </c15:leaderLines>
              </c:ext>
            </c:extLst>
          </c:dLbls>
          <c:cat>
            <c:strRef>
              <c:f>Sheet0!$A$2:$A$6</c:f>
              <c:strCache>
                <c:ptCount val="5"/>
                <c:pt idx="0">
                  <c:v>基本支出</c:v>
                </c:pt>
                <c:pt idx="1">
                  <c:v>项目支出</c:v>
                </c:pt>
                <c:pt idx="2">
                  <c:v>上缴上级支出</c:v>
                </c:pt>
                <c:pt idx="3">
                  <c:v>经营支出</c:v>
                </c:pt>
                <c:pt idx="4">
                  <c:v>对附属单位补助支出</c:v>
                </c:pt>
              </c:strCache>
            </c:strRef>
          </c:cat>
          <c:val>
            <c:numRef>
              <c:f>Sheet0!$B$2:$B$6</c:f>
              <c:numCache>
                <c:formatCode>General</c:formatCode>
                <c:ptCount val="5"/>
                <c:pt idx="0">
                  <c:v>1722.1499999999999</c:v>
                </c:pt>
                <c:pt idx="1">
                  <c:v>2063.29</c:v>
                </c:pt>
                <c:pt idx="2">
                  <c:v>0</c:v>
                </c:pt>
                <c:pt idx="3">
                  <c:v>0</c:v>
                </c:pt>
                <c:pt idx="4">
                  <c:v>0</c:v>
                </c:pt>
              </c:numCache>
            </c:numRef>
          </c:val>
        </c:ser>
        <c:dLbls>
          <c:showPercent val="1"/>
        </c:dLbls>
        <c:firstSliceAng val="0"/>
      </c:pieChart>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endParaRPr lang="zh-CN"/>
          </a:p>
        </c:txPr>
      </c:legendEntry>
      <c:legendEntry>
        <c:idx val="1"/>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endParaRPr lang="zh-CN"/>
          </a:p>
        </c:txPr>
      </c:legendEntry>
      <c:legendEntry>
        <c:idx val="2"/>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endParaRPr lang="zh-CN"/>
          </a:p>
        </c:txPr>
      </c:legendEntry>
      <c:legendEntry>
        <c:idx val="3"/>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endParaRPr lang="zh-CN"/>
          </a:p>
        </c:txPr>
      </c:legendEntry>
      <c:legendEntry>
        <c:idx val="4"/>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endParaRPr lang="zh-CN"/>
          </a:p>
        </c:txPr>
      </c:legendEntry>
      <c:spPr>
        <a:noFill/>
        <a:ln>
          <a:noFill/>
        </a:ln>
        <a:effectLst/>
      </c:spPr>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endParaRPr lang="zh-CN"/>
        </a:p>
      </c:txPr>
    </c:legend>
    <c:plotVisOnly val="1"/>
    <c:dispBlanksAs val="zero"/>
    <c:extLst>
      <c:ext uri="{0b15fc19-7d7d-44ad-8c2d-2c3a37ce22c3}">
        <chartProps xmlns="https://web.wps.cn/et/2018/main" chartId="{385bd3fa-2830-4ad9-b21f-931693ae08f6}"/>
      </c:ext>
    </c:extLst>
  </c:chart>
  <c:spPr>
    <a:ln w="9525" cap="flat" cmpd="sng" algn="ctr">
      <a:solidFill>
        <a:srgbClr val="D9D9D9">
          <a:lumMod val="15000"/>
          <a:lumOff val="85000"/>
        </a:srgbClr>
      </a:solidFill>
      <a:prstDash val="solid"/>
      <a:round/>
    </a:ln>
    <a:effectLst/>
  </c:spPr>
  <c:txPr>
    <a:bodyPr/>
    <a:lstStyle/>
    <a:p>
      <a:pPr>
        <a:defRPr lang="zh-CN"/>
      </a:pPr>
      <a:endParaRPr lang="zh-CN"/>
    </a:p>
  </c:txPr>
  <c:externalData r:id="rId1"/>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17103D7-2B6B-406C-9A50-4908E4E93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21</Pages>
  <Words>1297</Words>
  <Characters>7394</Characters>
  <Application>Microsoft Office Word</Application>
  <DocSecurity>0</DocSecurity>
  <Lines>61</Lines>
  <Paragraphs>17</Paragraphs>
  <ScaleCrop>false</ScaleCrop>
  <Company/>
  <LinksUpToDate>false</LinksUpToDate>
  <CharactersWithSpaces>8674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北京市财政局关于做好向市人大常委会报送2015年度市级部门决算（草案）</dc:title>
  <dc:creator>常程</dc:creator>
  <cp:lastModifiedBy>xbany</cp:lastModifiedBy>
  <cp:revision>99</cp:revision>
  <cp:lastPrinted>2026-08-19T07:09:00Z</cp:lastPrinted>
  <dcterms:created xsi:type="dcterms:W3CDTF">2017-07-11T15:16:00Z</dcterms:created>
  <dcterms:modified xsi:type="dcterms:W3CDTF">2026-08-19T07:12:00Z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435078ACFECC4A5A8A519EF4C3681114_13</vt:lpwstr>
  </property>
  <property fmtid="{D5CDD505-2E9C-101B-9397-08002B2CF9AE}" pid="4" name="KSOTemplateDocerSaveRecord">
    <vt:lpwstr>eyJoZGlkIjoiYTkzZjM0OWEyYTZkODg1YTIxYjk4NzM4MTA3Nzk2YzAiLCJ1c2VySWQiOiIxMTIwNzQ3MTkwIn0=</vt:lpwstr>
  </property>
</Properties>
</file>