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09DD" w:rsidRDefault="008709DD">
      <w:pPr>
        <w:jc w:val="center"/>
        <w:rPr>
          <w:rFonts w:ascii="仿宋_GB2312" w:eastAsia="仿宋_GB2312" w:hint="eastAsia"/>
          <w:b/>
          <w:sz w:val="32"/>
          <w:szCs w:val="32"/>
        </w:rPr>
      </w:pPr>
    </w:p>
    <w:p w:rsidR="008709DD" w:rsidRDefault="008709DD">
      <w:pPr>
        <w:jc w:val="center"/>
        <w:rPr>
          <w:rFonts w:ascii="黑体" w:eastAsia="黑体"/>
          <w:sz w:val="72"/>
          <w:szCs w:val="72"/>
        </w:rPr>
      </w:pPr>
    </w:p>
    <w:p w:rsidR="008709DD" w:rsidRDefault="008709DD">
      <w:pPr>
        <w:jc w:val="center"/>
        <w:rPr>
          <w:rFonts w:ascii="黑体" w:eastAsia="黑体"/>
          <w:sz w:val="72"/>
          <w:szCs w:val="72"/>
        </w:rPr>
      </w:pPr>
    </w:p>
    <w:p w:rsidR="008709DD" w:rsidRDefault="008709DD">
      <w:pPr>
        <w:jc w:val="center"/>
        <w:rPr>
          <w:rFonts w:ascii="黑体" w:eastAsia="黑体"/>
          <w:sz w:val="72"/>
          <w:szCs w:val="72"/>
        </w:rPr>
      </w:pPr>
    </w:p>
    <w:p w:rsidR="008709DD" w:rsidRDefault="008709DD">
      <w:pPr>
        <w:jc w:val="center"/>
        <w:rPr>
          <w:rFonts w:ascii="黑体" w:eastAsia="黑体"/>
          <w:sz w:val="72"/>
          <w:szCs w:val="72"/>
        </w:rPr>
      </w:pPr>
    </w:p>
    <w:p w:rsidR="008E4B25" w:rsidRDefault="00E4187B">
      <w:pPr>
        <w:jc w:val="center"/>
        <w:rPr>
          <w:rFonts w:ascii="黑体" w:eastAsia="黑体" w:hint="eastAsia"/>
          <w:sz w:val="72"/>
          <w:szCs w:val="72"/>
        </w:rPr>
      </w:pPr>
      <w:bookmarkStart w:id="0" w:name="OLE_LINK10"/>
      <w:bookmarkStart w:id="1" w:name="OLE_LINK11"/>
      <w:r>
        <w:rPr>
          <w:rFonts w:ascii="黑体" w:eastAsia="黑体" w:hint="eastAsia"/>
          <w:sz w:val="72"/>
          <w:szCs w:val="72"/>
        </w:rPr>
        <w:t>2025年度</w:t>
      </w:r>
    </w:p>
    <w:p w:rsidR="008E4B25" w:rsidRDefault="008E4B25">
      <w:pPr>
        <w:jc w:val="center"/>
        <w:rPr>
          <w:rFonts w:ascii="黑体" w:eastAsia="黑体" w:hint="eastAsia"/>
          <w:sz w:val="72"/>
          <w:szCs w:val="72"/>
        </w:rPr>
      </w:pPr>
      <w:r>
        <w:rPr>
          <w:rFonts w:ascii="黑体" w:eastAsia="黑体" w:hint="eastAsia"/>
          <w:sz w:val="72"/>
          <w:szCs w:val="72"/>
        </w:rPr>
        <w:t>北京市门头沟区科技开发服务中心</w:t>
      </w:r>
    </w:p>
    <w:p w:rsidR="008709DD" w:rsidRDefault="00E4187B">
      <w:pPr>
        <w:jc w:val="center"/>
        <w:rPr>
          <w:rFonts w:ascii="黑体" w:eastAsia="黑体"/>
          <w:sz w:val="72"/>
          <w:szCs w:val="72"/>
        </w:rPr>
      </w:pPr>
      <w:r>
        <w:rPr>
          <w:rFonts w:ascii="黑体" w:eastAsia="黑体" w:hint="eastAsia"/>
          <w:sz w:val="72"/>
          <w:szCs w:val="72"/>
        </w:rPr>
        <w:t>决算（公开</w:t>
      </w:r>
      <w:r>
        <w:rPr>
          <w:rFonts w:ascii="黑体" w:eastAsia="黑体"/>
          <w:sz w:val="72"/>
          <w:szCs w:val="72"/>
        </w:rPr>
        <w:t>）</w:t>
      </w:r>
    </w:p>
    <w:bookmarkEnd w:id="0"/>
    <w:bookmarkEnd w:id="1"/>
    <w:p w:rsidR="008709DD" w:rsidRDefault="008709DD">
      <w:pPr>
        <w:jc w:val="center"/>
        <w:rPr>
          <w:rFonts w:ascii="黑体" w:eastAsia="黑体"/>
          <w:sz w:val="52"/>
          <w:szCs w:val="52"/>
        </w:rPr>
      </w:pPr>
    </w:p>
    <w:p w:rsidR="008709DD" w:rsidRDefault="008709DD">
      <w:pPr>
        <w:jc w:val="center"/>
        <w:rPr>
          <w:rFonts w:ascii="黑体" w:eastAsia="黑体"/>
          <w:sz w:val="52"/>
          <w:szCs w:val="52"/>
        </w:rPr>
      </w:pPr>
    </w:p>
    <w:p w:rsidR="008709DD" w:rsidRDefault="008709DD">
      <w:pPr>
        <w:jc w:val="center"/>
        <w:rPr>
          <w:rFonts w:ascii="黑体" w:eastAsia="黑体"/>
          <w:sz w:val="52"/>
          <w:szCs w:val="52"/>
        </w:rPr>
      </w:pPr>
    </w:p>
    <w:p w:rsidR="008709DD" w:rsidRDefault="008709DD">
      <w:pPr>
        <w:jc w:val="center"/>
        <w:rPr>
          <w:rFonts w:ascii="黑体" w:eastAsia="黑体"/>
          <w:sz w:val="52"/>
          <w:szCs w:val="52"/>
        </w:rPr>
      </w:pPr>
    </w:p>
    <w:p w:rsidR="008709DD" w:rsidRDefault="008709DD">
      <w:pPr>
        <w:jc w:val="center"/>
        <w:rPr>
          <w:rFonts w:ascii="黑体" w:eastAsia="黑体"/>
          <w:sz w:val="32"/>
          <w:szCs w:val="32"/>
        </w:rPr>
      </w:pPr>
    </w:p>
    <w:p w:rsidR="008709DD" w:rsidRDefault="00E4187B">
      <w:pPr>
        <w:spacing w:line="500" w:lineRule="exact"/>
        <w:ind w:firstLine="645"/>
        <w:jc w:val="center"/>
        <w:rPr>
          <w:rFonts w:ascii="宋体" w:hAnsi="宋体" w:cs="宋体"/>
          <w:b/>
          <w:bCs/>
          <w:kern w:val="0"/>
          <w:sz w:val="44"/>
          <w:szCs w:val="36"/>
        </w:rPr>
      </w:pPr>
      <w:r>
        <w:rPr>
          <w:rFonts w:ascii="宋体" w:hAnsi="宋体" w:cs="宋体" w:hint="eastAsia"/>
          <w:b/>
          <w:bCs/>
          <w:kern w:val="0"/>
          <w:sz w:val="44"/>
          <w:szCs w:val="36"/>
        </w:rPr>
        <w:t>目    录</w:t>
      </w:r>
    </w:p>
    <w:p w:rsidR="008709DD" w:rsidRDefault="008709DD">
      <w:pPr>
        <w:spacing w:line="500" w:lineRule="exact"/>
        <w:ind w:firstLine="645"/>
        <w:jc w:val="center"/>
        <w:rPr>
          <w:rFonts w:ascii="宋体" w:hAnsi="宋体" w:cs="宋体"/>
          <w:b/>
          <w:bCs/>
          <w:kern w:val="0"/>
          <w:sz w:val="36"/>
          <w:szCs w:val="36"/>
        </w:rPr>
      </w:pPr>
    </w:p>
    <w:p w:rsidR="008709DD" w:rsidRDefault="00E4187B">
      <w:pPr>
        <w:tabs>
          <w:tab w:val="center" w:pos="6979"/>
        </w:tabs>
        <w:spacing w:line="500" w:lineRule="exact"/>
        <w:ind w:firstLineChars="400" w:firstLine="1600"/>
        <w:jc w:val="left"/>
        <w:rPr>
          <w:rFonts w:ascii="宋体" w:hAnsi="宋体" w:cs="宋体"/>
          <w:bCs/>
          <w:spacing w:val="40"/>
          <w:kern w:val="0"/>
          <w:sz w:val="32"/>
          <w:szCs w:val="32"/>
        </w:rPr>
      </w:pPr>
      <w:r>
        <w:rPr>
          <w:rFonts w:ascii="宋体" w:hAnsi="宋体" w:cs="宋体" w:hint="eastAsia"/>
          <w:bCs/>
          <w:spacing w:val="40"/>
          <w:kern w:val="0"/>
          <w:sz w:val="32"/>
          <w:szCs w:val="32"/>
        </w:rPr>
        <w:t>第一部分 2025年度部门决算报表</w:t>
      </w:r>
    </w:p>
    <w:p w:rsidR="008709DD" w:rsidRDefault="00E4187B">
      <w:pPr>
        <w:tabs>
          <w:tab w:val="center" w:pos="6979"/>
        </w:tabs>
        <w:spacing w:line="500" w:lineRule="exact"/>
        <w:ind w:firstLineChars="600" w:firstLine="2400"/>
        <w:jc w:val="left"/>
        <w:rPr>
          <w:rFonts w:ascii="仿宋_GB2312" w:eastAsia="仿宋_GB2312" w:hAnsi="仿宋"/>
          <w:spacing w:val="40"/>
          <w:sz w:val="32"/>
          <w:szCs w:val="32"/>
        </w:rPr>
      </w:pPr>
      <w:r>
        <w:rPr>
          <w:rFonts w:ascii="仿宋_GB2312" w:eastAsia="仿宋_GB2312" w:hAnsi="仿宋" w:cs="宋体" w:hint="eastAsia"/>
          <w:bCs/>
          <w:spacing w:val="40"/>
          <w:kern w:val="0"/>
          <w:sz w:val="32"/>
          <w:szCs w:val="32"/>
        </w:rPr>
        <w:t>一、收入支出决算总表</w:t>
      </w:r>
    </w:p>
    <w:p w:rsidR="008709DD" w:rsidRDefault="00E4187B">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二、收入决算表</w:t>
      </w:r>
    </w:p>
    <w:p w:rsidR="008709DD" w:rsidRDefault="00E4187B">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三、支出决算表</w:t>
      </w:r>
    </w:p>
    <w:p w:rsidR="008709DD" w:rsidRDefault="00E4187B">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四、财政拨款收入支出决算总表</w:t>
      </w:r>
    </w:p>
    <w:p w:rsidR="008709DD" w:rsidRDefault="00E4187B">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五、一般公共预算财政拨款支出决算表</w:t>
      </w:r>
    </w:p>
    <w:p w:rsidR="008709DD" w:rsidRDefault="00E4187B">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六、一般公共预算财政拨款</w:t>
      </w:r>
      <w:r>
        <w:rPr>
          <w:rFonts w:ascii="仿宋_GB2312" w:eastAsia="仿宋_GB2312" w:hAnsi="仿宋" w:cs="宋体"/>
          <w:bCs/>
          <w:spacing w:val="40"/>
          <w:kern w:val="0"/>
          <w:sz w:val="32"/>
          <w:szCs w:val="32"/>
        </w:rPr>
        <w:t>基本支出决算表</w:t>
      </w:r>
    </w:p>
    <w:p w:rsidR="008709DD" w:rsidRDefault="00E4187B">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七</w:t>
      </w:r>
      <w:r>
        <w:rPr>
          <w:rFonts w:ascii="仿宋_GB2312" w:eastAsia="仿宋_GB2312" w:hAnsi="仿宋" w:cs="宋体"/>
          <w:bCs/>
          <w:spacing w:val="40"/>
          <w:kern w:val="0"/>
          <w:sz w:val="32"/>
          <w:szCs w:val="32"/>
        </w:rPr>
        <w:t>、</w:t>
      </w:r>
      <w:r>
        <w:rPr>
          <w:rFonts w:ascii="仿宋_GB2312" w:eastAsia="仿宋_GB2312" w:hAnsi="仿宋" w:cs="宋体" w:hint="eastAsia"/>
          <w:bCs/>
          <w:spacing w:val="40"/>
          <w:kern w:val="0"/>
          <w:sz w:val="32"/>
          <w:szCs w:val="32"/>
        </w:rPr>
        <w:t>政府性基金预算财政拨款收入支出决算表</w:t>
      </w:r>
    </w:p>
    <w:p w:rsidR="008709DD" w:rsidRDefault="00E4187B">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八、</w:t>
      </w:r>
      <w:r>
        <w:rPr>
          <w:rFonts w:ascii="仿宋_GB2312" w:eastAsia="仿宋_GB2312" w:hAnsi="仿宋" w:cs="宋体"/>
          <w:bCs/>
          <w:spacing w:val="40"/>
          <w:kern w:val="0"/>
          <w:sz w:val="32"/>
          <w:szCs w:val="32"/>
        </w:rPr>
        <w:t>政府性基金</w:t>
      </w:r>
      <w:r>
        <w:rPr>
          <w:rFonts w:ascii="仿宋_GB2312" w:eastAsia="仿宋_GB2312" w:hAnsi="仿宋" w:cs="宋体" w:hint="eastAsia"/>
          <w:bCs/>
          <w:spacing w:val="40"/>
          <w:kern w:val="0"/>
          <w:sz w:val="32"/>
          <w:szCs w:val="32"/>
        </w:rPr>
        <w:t>预算</w:t>
      </w:r>
      <w:r>
        <w:rPr>
          <w:rFonts w:ascii="仿宋_GB2312" w:eastAsia="仿宋_GB2312" w:hAnsi="仿宋" w:cs="宋体"/>
          <w:bCs/>
          <w:spacing w:val="40"/>
          <w:kern w:val="0"/>
          <w:sz w:val="32"/>
          <w:szCs w:val="32"/>
        </w:rPr>
        <w:t>财政拨款基本支出决算表</w:t>
      </w:r>
    </w:p>
    <w:p w:rsidR="008709DD" w:rsidRDefault="00E4187B">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九、国有资本经营预算财政拨款支出决算表</w:t>
      </w:r>
    </w:p>
    <w:p w:rsidR="008709DD" w:rsidRDefault="00E4187B">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十、财政拨款“三公”经费支出决算表</w:t>
      </w:r>
    </w:p>
    <w:p w:rsidR="008709DD" w:rsidRDefault="00E4187B">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十一、政府采购情况表</w:t>
      </w:r>
    </w:p>
    <w:p w:rsidR="008709DD" w:rsidRDefault="00E4187B">
      <w:pPr>
        <w:tabs>
          <w:tab w:val="center" w:pos="6979"/>
        </w:tabs>
        <w:spacing w:line="500" w:lineRule="exact"/>
        <w:ind w:firstLineChars="400" w:firstLine="1600"/>
        <w:jc w:val="left"/>
        <w:rPr>
          <w:rFonts w:ascii="宋体" w:hAnsi="宋体" w:cs="宋体"/>
          <w:bCs/>
          <w:spacing w:val="40"/>
          <w:kern w:val="0"/>
          <w:sz w:val="32"/>
          <w:szCs w:val="32"/>
        </w:rPr>
      </w:pPr>
      <w:r>
        <w:rPr>
          <w:rFonts w:ascii="宋体" w:hAnsi="宋体" w:cs="宋体" w:hint="eastAsia"/>
          <w:bCs/>
          <w:spacing w:val="40"/>
          <w:kern w:val="0"/>
          <w:sz w:val="32"/>
          <w:szCs w:val="32"/>
        </w:rPr>
        <w:lastRenderedPageBreak/>
        <w:t xml:space="preserve">第二部分 </w:t>
      </w:r>
      <w:r>
        <w:rPr>
          <w:rFonts w:ascii="宋体" w:hAnsi="宋体" w:hint="eastAsia"/>
          <w:spacing w:val="40"/>
          <w:sz w:val="32"/>
          <w:szCs w:val="32"/>
        </w:rPr>
        <w:t>2025年度部门决算说明</w:t>
      </w:r>
    </w:p>
    <w:p w:rsidR="008709DD" w:rsidRDefault="00E4187B">
      <w:pPr>
        <w:tabs>
          <w:tab w:val="center" w:pos="6979"/>
        </w:tabs>
        <w:spacing w:line="500" w:lineRule="exact"/>
        <w:ind w:firstLineChars="400" w:firstLine="1600"/>
        <w:jc w:val="left"/>
        <w:rPr>
          <w:rFonts w:ascii="宋体" w:hAnsi="宋体" w:cs="宋体"/>
          <w:spacing w:val="40"/>
          <w:kern w:val="0"/>
          <w:sz w:val="32"/>
          <w:szCs w:val="32"/>
        </w:rPr>
      </w:pPr>
      <w:r>
        <w:rPr>
          <w:rFonts w:ascii="宋体" w:hAnsi="宋体" w:cs="宋体" w:hint="eastAsia"/>
          <w:bCs/>
          <w:spacing w:val="40"/>
          <w:kern w:val="0"/>
          <w:sz w:val="32"/>
          <w:szCs w:val="32"/>
        </w:rPr>
        <w:t xml:space="preserve">第三部分 </w:t>
      </w:r>
      <w:r>
        <w:rPr>
          <w:rFonts w:ascii="宋体" w:hAnsi="宋体" w:hint="eastAsia"/>
          <w:spacing w:val="40"/>
          <w:sz w:val="32"/>
          <w:szCs w:val="32"/>
        </w:rPr>
        <w:t>2025年度</w:t>
      </w:r>
      <w:r>
        <w:rPr>
          <w:rFonts w:ascii="宋体" w:hAnsi="宋体" w:cs="宋体" w:hint="eastAsia"/>
          <w:spacing w:val="40"/>
          <w:kern w:val="0"/>
          <w:sz w:val="32"/>
          <w:szCs w:val="32"/>
        </w:rPr>
        <w:t>其他重要事项的情况说明</w:t>
      </w:r>
    </w:p>
    <w:p w:rsidR="008709DD" w:rsidRDefault="00E4187B">
      <w:pPr>
        <w:tabs>
          <w:tab w:val="center" w:pos="6979"/>
        </w:tabs>
        <w:spacing w:line="500" w:lineRule="exact"/>
        <w:ind w:firstLineChars="400" w:firstLine="1600"/>
        <w:jc w:val="left"/>
        <w:rPr>
          <w:rFonts w:ascii="宋体" w:hAnsi="宋体" w:cs="宋体"/>
          <w:spacing w:val="40"/>
          <w:kern w:val="0"/>
          <w:sz w:val="36"/>
          <w:szCs w:val="32"/>
        </w:rPr>
      </w:pPr>
      <w:r>
        <w:rPr>
          <w:rFonts w:ascii="宋体" w:hAnsi="宋体" w:cs="宋体" w:hint="eastAsia"/>
          <w:spacing w:val="40"/>
          <w:kern w:val="0"/>
          <w:sz w:val="32"/>
          <w:szCs w:val="32"/>
        </w:rPr>
        <w:t>第四部分 2025年度部门绩效评价情况</w:t>
      </w:r>
    </w:p>
    <w:p w:rsidR="008709DD" w:rsidRDefault="008709DD" w:rsidP="008E4B25">
      <w:pPr>
        <w:tabs>
          <w:tab w:val="center" w:pos="6979"/>
        </w:tabs>
        <w:spacing w:beforeLines="50" w:afterLines="50"/>
        <w:jc w:val="center"/>
        <w:rPr>
          <w:rFonts w:ascii="宋体" w:hAnsi="宋体" w:cs="宋体"/>
          <w:b/>
          <w:bCs/>
          <w:spacing w:val="40"/>
          <w:kern w:val="0"/>
          <w:sz w:val="32"/>
          <w:szCs w:val="32"/>
        </w:rPr>
      </w:pPr>
    </w:p>
    <w:p w:rsidR="008709DD" w:rsidRDefault="008709DD" w:rsidP="008E4B25">
      <w:pPr>
        <w:tabs>
          <w:tab w:val="center" w:pos="6979"/>
        </w:tabs>
        <w:spacing w:beforeLines="50" w:afterLines="50"/>
        <w:jc w:val="center"/>
        <w:rPr>
          <w:rFonts w:ascii="宋体" w:hAnsi="宋体" w:cs="宋体"/>
          <w:b/>
          <w:bCs/>
          <w:spacing w:val="40"/>
          <w:kern w:val="0"/>
          <w:sz w:val="32"/>
          <w:szCs w:val="32"/>
        </w:rPr>
      </w:pPr>
    </w:p>
    <w:p w:rsidR="008709DD" w:rsidRDefault="008709DD" w:rsidP="008E4B25">
      <w:pPr>
        <w:tabs>
          <w:tab w:val="center" w:pos="6979"/>
        </w:tabs>
        <w:spacing w:beforeLines="50" w:afterLines="50"/>
        <w:jc w:val="center"/>
        <w:rPr>
          <w:rFonts w:ascii="宋体" w:hAnsi="宋体" w:cs="宋体"/>
          <w:b/>
          <w:bCs/>
          <w:spacing w:val="40"/>
          <w:kern w:val="0"/>
          <w:sz w:val="32"/>
          <w:szCs w:val="32"/>
        </w:rPr>
      </w:pPr>
    </w:p>
    <w:p w:rsidR="008709DD" w:rsidRDefault="008709DD" w:rsidP="008E4B25">
      <w:pPr>
        <w:tabs>
          <w:tab w:val="center" w:pos="6979"/>
        </w:tabs>
        <w:spacing w:beforeLines="50" w:afterLines="50"/>
        <w:jc w:val="center"/>
        <w:rPr>
          <w:rFonts w:ascii="宋体" w:hAnsi="宋体" w:cs="宋体"/>
          <w:b/>
          <w:bCs/>
          <w:spacing w:val="40"/>
          <w:kern w:val="0"/>
          <w:sz w:val="32"/>
          <w:szCs w:val="32"/>
        </w:rPr>
      </w:pPr>
    </w:p>
    <w:p w:rsidR="008709DD" w:rsidRDefault="008709DD" w:rsidP="008E4B25">
      <w:pPr>
        <w:tabs>
          <w:tab w:val="center" w:pos="6979"/>
        </w:tabs>
        <w:spacing w:beforeLines="50" w:afterLines="50"/>
        <w:jc w:val="center"/>
        <w:rPr>
          <w:rFonts w:ascii="宋体" w:hAnsi="宋体" w:cs="宋体"/>
          <w:b/>
          <w:bCs/>
          <w:spacing w:val="40"/>
          <w:kern w:val="0"/>
          <w:sz w:val="32"/>
          <w:szCs w:val="32"/>
        </w:rPr>
      </w:pPr>
    </w:p>
    <w:p w:rsidR="008709DD" w:rsidRDefault="00E4187B" w:rsidP="008E4B25">
      <w:pPr>
        <w:tabs>
          <w:tab w:val="center" w:pos="6979"/>
        </w:tabs>
        <w:spacing w:beforeLines="50" w:afterLines="50"/>
        <w:jc w:val="center"/>
        <w:rPr>
          <w:rFonts w:ascii="宋体" w:hAnsi="宋体" w:cs="宋体"/>
          <w:b/>
          <w:bCs/>
          <w:spacing w:val="40"/>
          <w:kern w:val="0"/>
          <w:sz w:val="32"/>
          <w:szCs w:val="32"/>
        </w:rPr>
      </w:pPr>
      <w:r>
        <w:rPr>
          <w:rFonts w:ascii="宋体" w:hAnsi="宋体" w:cs="宋体" w:hint="eastAsia"/>
          <w:b/>
          <w:bCs/>
          <w:spacing w:val="40"/>
          <w:kern w:val="0"/>
          <w:sz w:val="44"/>
          <w:szCs w:val="44"/>
        </w:rPr>
        <w:t>第一部分 2025年度部门决算报表</w:t>
      </w:r>
    </w:p>
    <w:p w:rsidR="008709DD" w:rsidRDefault="00E4187B">
      <w:pPr>
        <w:pStyle w:val="2"/>
        <w:rPr>
          <w:b w:val="0"/>
          <w:bCs w:val="0"/>
        </w:rPr>
        <w:sectPr w:rsidR="008709DD">
          <w:footerReference w:type="default" r:id="rId8"/>
          <w:pgSz w:w="16838" w:h="11906" w:orient="landscape"/>
          <w:pgMar w:top="1134" w:right="1134" w:bottom="1134" w:left="1134" w:header="851" w:footer="992" w:gutter="0"/>
          <w:cols w:space="720"/>
          <w:docGrid w:type="linesAndChars" w:linePitch="312"/>
        </w:sectPr>
      </w:pPr>
      <w:r>
        <w:rPr>
          <w:rFonts w:ascii="仿宋_GB2312" w:eastAsia="仿宋_GB2312" w:hint="eastAsia"/>
          <w:sz w:val="28"/>
          <w:szCs w:val="28"/>
        </w:rPr>
        <w:t xml:space="preserve">   </w:t>
      </w:r>
      <w:r>
        <w:rPr>
          <w:rFonts w:ascii="仿宋_GB2312" w:eastAsia="仿宋_GB2312" w:hint="eastAsia"/>
          <w:b w:val="0"/>
          <w:bCs w:val="0"/>
          <w:sz w:val="28"/>
          <w:szCs w:val="28"/>
        </w:rPr>
        <w:t>报表详见附件。</w:t>
      </w:r>
    </w:p>
    <w:p w:rsidR="008709DD" w:rsidRDefault="00E4187B" w:rsidP="008E4B25">
      <w:pPr>
        <w:tabs>
          <w:tab w:val="center" w:pos="6979"/>
        </w:tabs>
        <w:spacing w:beforeLines="50" w:afterLines="50"/>
        <w:jc w:val="center"/>
        <w:rPr>
          <w:rFonts w:ascii="宋体" w:hAnsi="宋体"/>
          <w:b/>
          <w:sz w:val="32"/>
          <w:szCs w:val="32"/>
        </w:rPr>
      </w:pPr>
      <w:r>
        <w:rPr>
          <w:rFonts w:ascii="宋体" w:hAnsi="宋体" w:cs="宋体" w:hint="eastAsia"/>
          <w:b/>
          <w:bCs/>
          <w:spacing w:val="40"/>
          <w:kern w:val="0"/>
          <w:sz w:val="32"/>
          <w:szCs w:val="32"/>
        </w:rPr>
        <w:lastRenderedPageBreak/>
        <w:t xml:space="preserve">第二部分 </w:t>
      </w:r>
      <w:r>
        <w:rPr>
          <w:rFonts w:ascii="宋体" w:hAnsi="宋体" w:hint="eastAsia"/>
          <w:b/>
          <w:spacing w:val="40"/>
          <w:sz w:val="32"/>
          <w:szCs w:val="32"/>
        </w:rPr>
        <w:t>2025年度部门决算说明</w:t>
      </w:r>
    </w:p>
    <w:p w:rsidR="008709DD" w:rsidRDefault="00E4187B" w:rsidP="00A62EF6">
      <w:pPr>
        <w:tabs>
          <w:tab w:val="center" w:pos="6979"/>
        </w:tabs>
        <w:spacing w:line="580" w:lineRule="exact"/>
        <w:ind w:firstLineChars="196" w:firstLine="551"/>
        <w:rPr>
          <w:rFonts w:ascii="黑体" w:eastAsia="黑体"/>
          <w:b/>
          <w:sz w:val="28"/>
          <w:szCs w:val="28"/>
        </w:rPr>
      </w:pPr>
      <w:r>
        <w:rPr>
          <w:rFonts w:ascii="黑体" w:eastAsia="黑体" w:hint="eastAsia"/>
          <w:b/>
          <w:sz w:val="28"/>
          <w:szCs w:val="28"/>
        </w:rPr>
        <w:t>一、单位基本情况</w:t>
      </w:r>
      <w:r>
        <w:rPr>
          <w:rFonts w:ascii="仿宋_GB2312" w:eastAsia="仿宋_GB2312" w:hint="eastAsia"/>
          <w:sz w:val="28"/>
          <w:szCs w:val="28"/>
        </w:rPr>
        <w:t xml:space="preserve"> </w:t>
      </w:r>
    </w:p>
    <w:p w:rsidR="008709DD" w:rsidRDefault="00E4187B">
      <w:pPr>
        <w:tabs>
          <w:tab w:val="center" w:pos="6979"/>
        </w:tabs>
        <w:spacing w:line="580" w:lineRule="exact"/>
        <w:ind w:firstLineChars="250" w:firstLine="700"/>
        <w:rPr>
          <w:rFonts w:ascii="仿宋_GB2312" w:eastAsia="仿宋_GB2312"/>
          <w:sz w:val="28"/>
          <w:szCs w:val="28"/>
        </w:rPr>
      </w:pPr>
      <w:r>
        <w:rPr>
          <w:rFonts w:ascii="仿宋_GB2312" w:eastAsia="仿宋_GB2312" w:hint="eastAsia"/>
          <w:sz w:val="28"/>
          <w:szCs w:val="28"/>
        </w:rPr>
        <w:t>（一</w:t>
      </w:r>
      <w:r>
        <w:rPr>
          <w:rFonts w:ascii="仿宋_GB2312" w:eastAsia="仿宋_GB2312"/>
          <w:sz w:val="28"/>
          <w:szCs w:val="28"/>
        </w:rPr>
        <w:t>）</w:t>
      </w:r>
      <w:r>
        <w:rPr>
          <w:rFonts w:ascii="仿宋_GB2312" w:eastAsia="仿宋_GB2312" w:hint="eastAsia"/>
          <w:sz w:val="28"/>
          <w:szCs w:val="28"/>
        </w:rPr>
        <w:t>本部门职责情况</w:t>
      </w:r>
    </w:p>
    <w:p w:rsidR="008709DD" w:rsidRDefault="00E4187B">
      <w:pPr>
        <w:widowControl/>
        <w:spacing w:line="560" w:lineRule="exact"/>
        <w:ind w:firstLineChars="200" w:firstLine="640"/>
        <w:rPr>
          <w:rFonts w:ascii="楷体_GB2312" w:eastAsia="楷体_GB2312" w:hAnsi="宋体" w:cs="宋体"/>
          <w:kern w:val="0"/>
          <w:sz w:val="32"/>
          <w:szCs w:val="32"/>
        </w:rPr>
      </w:pPr>
      <w:r>
        <w:rPr>
          <w:rFonts w:ascii="楷体_GB2312" w:eastAsia="楷体_GB2312" w:hAnsi="宋体" w:cs="宋体" w:hint="eastAsia"/>
          <w:kern w:val="0"/>
          <w:sz w:val="32"/>
          <w:szCs w:val="32"/>
        </w:rPr>
        <w:t>具体职责如下：</w:t>
      </w:r>
    </w:p>
    <w:p w:rsidR="008709DD" w:rsidRDefault="00E4187B">
      <w:pPr>
        <w:spacing w:line="5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负责提供科技政策、项目管理程序等方面咨询服务。负责开展有关技术服务、科技培训工作及相关科技项目的前期调研试验工作。负责拟订科普工作计划并组织实施；负责利用生态规划进行生态工程设计与试验。</w:t>
      </w:r>
    </w:p>
    <w:p w:rsidR="008709DD" w:rsidRDefault="00E4187B">
      <w:pPr>
        <w:widowControl/>
        <w:spacing w:line="560" w:lineRule="exact"/>
        <w:ind w:firstLineChars="200" w:firstLine="640"/>
      </w:pPr>
      <w:r>
        <w:rPr>
          <w:rFonts w:ascii="仿宋_GB2312" w:eastAsia="仿宋_GB2312" w:hAnsi="宋体" w:cs="宋体" w:hint="eastAsia"/>
          <w:kern w:val="0"/>
          <w:sz w:val="32"/>
          <w:szCs w:val="32"/>
        </w:rPr>
        <w:t>负责拟订本博士后工作站各项管理制度。负责起草并组织实施本博士后工作站的工作计划。负责与博士后科研流动站及高等院校的合作对接，招收、引进博士后，为在站博士后提供日常管理和服务。负责管理、落实博士后研究人员的科研经费，保障博士后研究人员科研条件，辅助在站博士后研究人员进行日常研究工作。负责京西发展博士论坛的日常工作。完成区科委交办的其他任务。</w:t>
      </w:r>
    </w:p>
    <w:p w:rsidR="008709DD" w:rsidRDefault="00E4187B">
      <w:pPr>
        <w:numPr>
          <w:ilvl w:val="0"/>
          <w:numId w:val="1"/>
        </w:numPr>
        <w:tabs>
          <w:tab w:val="center" w:pos="6979"/>
        </w:tabs>
        <w:spacing w:line="580" w:lineRule="exact"/>
        <w:ind w:firstLineChars="250" w:firstLine="700"/>
        <w:rPr>
          <w:rFonts w:ascii="仿宋_GB2312" w:eastAsia="仿宋_GB2312"/>
          <w:sz w:val="28"/>
          <w:szCs w:val="28"/>
        </w:rPr>
      </w:pPr>
      <w:r>
        <w:rPr>
          <w:rFonts w:ascii="仿宋_GB2312" w:eastAsia="仿宋_GB2312" w:hint="eastAsia"/>
          <w:sz w:val="28"/>
          <w:szCs w:val="28"/>
        </w:rPr>
        <w:t>机构</w:t>
      </w:r>
      <w:r>
        <w:rPr>
          <w:rFonts w:ascii="仿宋_GB2312" w:eastAsia="仿宋_GB2312"/>
          <w:sz w:val="28"/>
          <w:szCs w:val="28"/>
        </w:rPr>
        <w:t>设置</w:t>
      </w:r>
      <w:r>
        <w:rPr>
          <w:rFonts w:ascii="仿宋_GB2312" w:eastAsia="仿宋_GB2312" w:hint="eastAsia"/>
          <w:sz w:val="28"/>
          <w:szCs w:val="28"/>
        </w:rPr>
        <w:t>情况</w:t>
      </w:r>
    </w:p>
    <w:p w:rsidR="008709DD" w:rsidRPr="00F33F5C" w:rsidRDefault="00E4187B">
      <w:pPr>
        <w:widowControl/>
        <w:spacing w:line="560" w:lineRule="exact"/>
        <w:ind w:firstLineChars="200" w:firstLine="640"/>
        <w:rPr>
          <w:rFonts w:ascii="仿宋_GB2312" w:eastAsia="仿宋_GB2312" w:hAnsi="宋体" w:cs="宋体"/>
          <w:kern w:val="0"/>
          <w:sz w:val="32"/>
          <w:szCs w:val="32"/>
        </w:rPr>
      </w:pPr>
      <w:bookmarkStart w:id="2" w:name="OLE_LINK1"/>
      <w:bookmarkStart w:id="3" w:name="OLE_LINK2"/>
      <w:r w:rsidRPr="00F33F5C">
        <w:rPr>
          <w:rFonts w:ascii="仿宋_GB2312" w:eastAsia="仿宋_GB2312" w:hAnsi="宋体" w:cs="宋体" w:hint="eastAsia"/>
          <w:kern w:val="0"/>
          <w:sz w:val="32"/>
          <w:szCs w:val="32"/>
        </w:rPr>
        <w:t>门头沟区科技开发服务中心为门头沟区科学技术委员会下属事业单位，规格为正科级。</w:t>
      </w:r>
    </w:p>
    <w:bookmarkEnd w:id="2"/>
    <w:bookmarkEnd w:id="3"/>
    <w:p w:rsidR="008709DD" w:rsidRDefault="00E4187B">
      <w:pPr>
        <w:tabs>
          <w:tab w:val="center" w:pos="6979"/>
        </w:tabs>
        <w:spacing w:line="580" w:lineRule="exact"/>
        <w:rPr>
          <w:rFonts w:ascii="黑体" w:eastAsia="黑体"/>
          <w:b/>
          <w:sz w:val="28"/>
          <w:szCs w:val="28"/>
        </w:rPr>
      </w:pPr>
      <w:r>
        <w:rPr>
          <w:rFonts w:ascii="仿宋_GB2312" w:eastAsia="仿宋_GB2312" w:hint="eastAsia"/>
          <w:b/>
          <w:sz w:val="32"/>
          <w:szCs w:val="32"/>
        </w:rPr>
        <w:t xml:space="preserve">   </w:t>
      </w:r>
      <w:r>
        <w:rPr>
          <w:rFonts w:ascii="黑体" w:eastAsia="黑体" w:hint="eastAsia"/>
          <w:b/>
          <w:sz w:val="28"/>
          <w:szCs w:val="28"/>
        </w:rPr>
        <w:t>二、收入支出决算总体情况说明</w:t>
      </w:r>
    </w:p>
    <w:p w:rsidR="008709DD" w:rsidRDefault="00E4187B">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2025年度收、</w:t>
      </w:r>
      <w:r>
        <w:rPr>
          <w:rFonts w:ascii="仿宋_GB2312" w:eastAsia="仿宋_GB2312"/>
          <w:sz w:val="28"/>
          <w:szCs w:val="28"/>
        </w:rPr>
        <w:t>支</w:t>
      </w:r>
      <w:r>
        <w:rPr>
          <w:rFonts w:ascii="仿宋_GB2312" w:eastAsia="仿宋_GB2312" w:hint="eastAsia"/>
          <w:sz w:val="28"/>
          <w:szCs w:val="28"/>
        </w:rPr>
        <w:t>总计9,830,032.62元，</w:t>
      </w:r>
      <w:r>
        <w:rPr>
          <w:rFonts w:ascii="仿宋_GB2312" w:eastAsia="仿宋_GB2312"/>
          <w:sz w:val="28"/>
          <w:szCs w:val="28"/>
        </w:rPr>
        <w:t>比上年</w:t>
      </w:r>
      <w:r>
        <w:rPr>
          <w:rFonts w:ascii="仿宋_GB2312" w:eastAsia="仿宋_GB2312" w:hint="eastAsia"/>
          <w:sz w:val="28"/>
          <w:szCs w:val="28"/>
        </w:rPr>
        <w:t>减少5,286,660.46元，下降35.0%。</w:t>
      </w:r>
    </w:p>
    <w:p w:rsidR="008709DD" w:rsidRDefault="00E4187B">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（一</w:t>
      </w:r>
      <w:r>
        <w:rPr>
          <w:rFonts w:ascii="仿宋_GB2312" w:eastAsia="仿宋_GB2312"/>
          <w:sz w:val="28"/>
          <w:szCs w:val="28"/>
        </w:rPr>
        <w:t>）</w:t>
      </w:r>
      <w:r>
        <w:rPr>
          <w:rFonts w:ascii="仿宋_GB2312" w:eastAsia="仿宋_GB2312" w:hint="eastAsia"/>
          <w:sz w:val="28"/>
          <w:szCs w:val="28"/>
        </w:rPr>
        <w:t>收入决算</w:t>
      </w:r>
      <w:r>
        <w:rPr>
          <w:rFonts w:ascii="仿宋_GB2312" w:eastAsia="仿宋_GB2312"/>
          <w:sz w:val="28"/>
          <w:szCs w:val="28"/>
        </w:rPr>
        <w:t>说明</w:t>
      </w:r>
    </w:p>
    <w:p w:rsidR="008709DD" w:rsidRDefault="00E4187B">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lastRenderedPageBreak/>
        <w:t>2025年度本年收入合计7,621,399.33元，</w:t>
      </w:r>
      <w:r>
        <w:rPr>
          <w:rFonts w:ascii="仿宋_GB2312" w:eastAsia="仿宋_GB2312"/>
          <w:sz w:val="28"/>
          <w:szCs w:val="28"/>
        </w:rPr>
        <w:t>比</w:t>
      </w:r>
      <w:r>
        <w:rPr>
          <w:rFonts w:ascii="仿宋_GB2312" w:eastAsia="仿宋_GB2312" w:hint="eastAsia"/>
          <w:sz w:val="28"/>
          <w:szCs w:val="28"/>
        </w:rPr>
        <w:t>减少786,420.63元，下降9.4%。</w:t>
      </w:r>
    </w:p>
    <w:p w:rsidR="008709DD" w:rsidRDefault="00E4187B">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1.财政拨款收入</w:t>
      </w:r>
      <w:r>
        <w:rPr>
          <w:rFonts w:ascii="仿宋_GB2312" w:eastAsia="仿宋_GB2312"/>
          <w:sz w:val="28"/>
          <w:szCs w:val="28"/>
        </w:rPr>
        <w:t>7</w:t>
      </w:r>
      <w:r>
        <w:rPr>
          <w:rFonts w:ascii="仿宋_GB2312" w:eastAsia="仿宋_GB2312" w:hint="eastAsia"/>
          <w:sz w:val="28"/>
          <w:szCs w:val="28"/>
        </w:rPr>
        <w:t>,</w:t>
      </w:r>
      <w:r>
        <w:rPr>
          <w:rFonts w:ascii="仿宋_GB2312" w:eastAsia="仿宋_GB2312"/>
          <w:sz w:val="28"/>
          <w:szCs w:val="28"/>
        </w:rPr>
        <w:t>043</w:t>
      </w:r>
      <w:r>
        <w:rPr>
          <w:rFonts w:ascii="仿宋_GB2312" w:eastAsia="仿宋_GB2312" w:hint="eastAsia"/>
          <w:sz w:val="28"/>
          <w:szCs w:val="28"/>
        </w:rPr>
        <w:t>,</w:t>
      </w:r>
      <w:r>
        <w:rPr>
          <w:rFonts w:ascii="仿宋_GB2312" w:eastAsia="仿宋_GB2312"/>
          <w:sz w:val="28"/>
          <w:szCs w:val="28"/>
        </w:rPr>
        <w:t>996.69</w:t>
      </w:r>
      <w:r>
        <w:rPr>
          <w:rFonts w:ascii="仿宋_GB2312" w:eastAsia="仿宋_GB2312" w:hint="eastAsia"/>
          <w:sz w:val="28"/>
          <w:szCs w:val="28"/>
        </w:rPr>
        <w:t>元，占收入合计的92.4%。其中：一般公共预算财政拨款收入</w:t>
      </w:r>
      <w:r>
        <w:rPr>
          <w:rFonts w:ascii="仿宋_GB2312" w:eastAsia="仿宋_GB2312"/>
          <w:sz w:val="28"/>
          <w:szCs w:val="28"/>
        </w:rPr>
        <w:t>7</w:t>
      </w:r>
      <w:r>
        <w:rPr>
          <w:rFonts w:ascii="仿宋_GB2312" w:eastAsia="仿宋_GB2312" w:hint="eastAsia"/>
          <w:sz w:val="28"/>
          <w:szCs w:val="28"/>
        </w:rPr>
        <w:t>,</w:t>
      </w:r>
      <w:r>
        <w:rPr>
          <w:rFonts w:ascii="仿宋_GB2312" w:eastAsia="仿宋_GB2312"/>
          <w:sz w:val="28"/>
          <w:szCs w:val="28"/>
        </w:rPr>
        <w:t>043</w:t>
      </w:r>
      <w:r>
        <w:rPr>
          <w:rFonts w:ascii="仿宋_GB2312" w:eastAsia="仿宋_GB2312" w:hint="eastAsia"/>
          <w:sz w:val="28"/>
          <w:szCs w:val="28"/>
        </w:rPr>
        <w:t>,</w:t>
      </w:r>
      <w:r>
        <w:rPr>
          <w:rFonts w:ascii="仿宋_GB2312" w:eastAsia="仿宋_GB2312"/>
          <w:sz w:val="28"/>
          <w:szCs w:val="28"/>
        </w:rPr>
        <w:t>996.69</w:t>
      </w:r>
      <w:r>
        <w:rPr>
          <w:rFonts w:ascii="仿宋_GB2312" w:eastAsia="仿宋_GB2312" w:hint="eastAsia"/>
          <w:sz w:val="28"/>
          <w:szCs w:val="28"/>
        </w:rPr>
        <w:t>元，占收入合计的92.4%；政府性基金预算财政拨款收入</w:t>
      </w:r>
      <w:r>
        <w:rPr>
          <w:rFonts w:ascii="仿宋_GB2312" w:eastAsia="仿宋_GB2312"/>
          <w:sz w:val="28"/>
          <w:szCs w:val="28"/>
        </w:rPr>
        <w:t>0</w:t>
      </w:r>
      <w:r>
        <w:rPr>
          <w:rFonts w:ascii="仿宋_GB2312" w:eastAsia="仿宋_GB2312" w:hint="eastAsia"/>
          <w:sz w:val="28"/>
          <w:szCs w:val="28"/>
        </w:rPr>
        <w:t>元，占收入合计的0%；国有资本经营预算财政拨款收入</w:t>
      </w:r>
      <w:r>
        <w:rPr>
          <w:rFonts w:ascii="仿宋_GB2312" w:eastAsia="仿宋_GB2312"/>
          <w:sz w:val="28"/>
          <w:szCs w:val="28"/>
        </w:rPr>
        <w:t>0</w:t>
      </w:r>
      <w:r>
        <w:rPr>
          <w:rFonts w:ascii="仿宋_GB2312" w:eastAsia="仿宋_GB2312" w:hint="eastAsia"/>
          <w:sz w:val="28"/>
          <w:szCs w:val="28"/>
        </w:rPr>
        <w:t>元，占收入合计的0%；</w:t>
      </w:r>
    </w:p>
    <w:p w:rsidR="008709DD" w:rsidRDefault="00E4187B">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2.上级补助收入</w:t>
      </w:r>
      <w:r>
        <w:rPr>
          <w:rFonts w:ascii="仿宋_GB2312" w:eastAsia="仿宋_GB2312"/>
          <w:sz w:val="28"/>
          <w:szCs w:val="28"/>
        </w:rPr>
        <w:t>0</w:t>
      </w:r>
      <w:r>
        <w:rPr>
          <w:rFonts w:ascii="仿宋_GB2312" w:eastAsia="仿宋_GB2312" w:hint="eastAsia"/>
          <w:sz w:val="28"/>
          <w:szCs w:val="28"/>
        </w:rPr>
        <w:t>元，占收入合计的0%；</w:t>
      </w:r>
    </w:p>
    <w:p w:rsidR="008709DD" w:rsidRDefault="00E4187B">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3.事业收入</w:t>
      </w:r>
      <w:r>
        <w:rPr>
          <w:rFonts w:ascii="仿宋_GB2312" w:eastAsia="仿宋_GB2312"/>
          <w:sz w:val="28"/>
          <w:szCs w:val="28"/>
        </w:rPr>
        <w:t>0</w:t>
      </w:r>
      <w:r>
        <w:rPr>
          <w:rFonts w:ascii="仿宋_GB2312" w:eastAsia="仿宋_GB2312" w:hint="eastAsia"/>
          <w:sz w:val="28"/>
          <w:szCs w:val="28"/>
        </w:rPr>
        <w:t>元，占收入合计的0%；</w:t>
      </w:r>
    </w:p>
    <w:p w:rsidR="008709DD" w:rsidRDefault="00E4187B">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4.经营收入</w:t>
      </w:r>
      <w:r>
        <w:rPr>
          <w:rFonts w:ascii="仿宋_GB2312" w:eastAsia="仿宋_GB2312"/>
          <w:sz w:val="28"/>
          <w:szCs w:val="28"/>
        </w:rPr>
        <w:t>0</w:t>
      </w:r>
      <w:r>
        <w:rPr>
          <w:rFonts w:ascii="仿宋_GB2312" w:eastAsia="仿宋_GB2312" w:hint="eastAsia"/>
          <w:sz w:val="28"/>
          <w:szCs w:val="28"/>
        </w:rPr>
        <w:t>元，占收入合计的0%；</w:t>
      </w:r>
    </w:p>
    <w:p w:rsidR="008709DD" w:rsidRDefault="00E4187B">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5.附属单位上缴收入</w:t>
      </w:r>
      <w:r>
        <w:rPr>
          <w:rFonts w:ascii="仿宋_GB2312" w:eastAsia="仿宋_GB2312"/>
          <w:sz w:val="28"/>
          <w:szCs w:val="28"/>
        </w:rPr>
        <w:t>0</w:t>
      </w:r>
      <w:r>
        <w:rPr>
          <w:rFonts w:ascii="仿宋_GB2312" w:eastAsia="仿宋_GB2312" w:hint="eastAsia"/>
          <w:sz w:val="28"/>
          <w:szCs w:val="28"/>
        </w:rPr>
        <w:t>元，占收入合计的0%；</w:t>
      </w:r>
    </w:p>
    <w:p w:rsidR="008709DD" w:rsidRDefault="00E4187B">
      <w:pPr>
        <w:tabs>
          <w:tab w:val="center" w:pos="6979"/>
        </w:tabs>
        <w:spacing w:line="580" w:lineRule="exact"/>
        <w:ind w:firstLineChars="200" w:firstLine="560"/>
      </w:pPr>
      <w:r>
        <w:rPr>
          <w:rFonts w:ascii="仿宋_GB2312" w:eastAsia="仿宋_GB2312" w:hint="eastAsia"/>
          <w:sz w:val="28"/>
          <w:szCs w:val="28"/>
        </w:rPr>
        <w:t>6.其他收入</w:t>
      </w:r>
      <w:r>
        <w:rPr>
          <w:rFonts w:ascii="仿宋_GB2312" w:eastAsia="仿宋_GB2312"/>
          <w:sz w:val="28"/>
          <w:szCs w:val="28"/>
        </w:rPr>
        <w:t>577</w:t>
      </w:r>
      <w:r>
        <w:rPr>
          <w:rFonts w:ascii="仿宋_GB2312" w:eastAsia="仿宋_GB2312" w:hint="eastAsia"/>
          <w:sz w:val="28"/>
          <w:szCs w:val="28"/>
        </w:rPr>
        <w:t>,</w:t>
      </w:r>
      <w:r>
        <w:rPr>
          <w:rFonts w:ascii="仿宋_GB2312" w:eastAsia="仿宋_GB2312"/>
          <w:sz w:val="28"/>
          <w:szCs w:val="28"/>
        </w:rPr>
        <w:t>402.64</w:t>
      </w:r>
      <w:r>
        <w:rPr>
          <w:rFonts w:ascii="仿宋_GB2312" w:eastAsia="仿宋_GB2312" w:hint="eastAsia"/>
          <w:sz w:val="28"/>
          <w:szCs w:val="28"/>
        </w:rPr>
        <w:t>元，占收入合计的7.6%。</w:t>
      </w:r>
    </w:p>
    <w:p w:rsidR="008709DD" w:rsidRDefault="00E4187B" w:rsidP="008E4B25">
      <w:pPr>
        <w:spacing w:beforeLines="50" w:line="560" w:lineRule="exact"/>
        <w:ind w:firstLineChars="1054" w:firstLine="3386"/>
        <w:rPr>
          <w:rFonts w:ascii="仿宋_GB2312" w:eastAsia="仿宋_GB2312" w:hAnsi="Cambria"/>
          <w:b/>
          <w:bCs/>
          <w:color w:val="000000"/>
          <w:kern w:val="0"/>
          <w:sz w:val="32"/>
          <w:szCs w:val="32"/>
        </w:rPr>
      </w:pPr>
      <w:r>
        <w:rPr>
          <w:rFonts w:ascii="仿宋_GB2312" w:eastAsia="仿宋_GB2312" w:hAnsi="Cambria" w:hint="eastAsia"/>
          <w:b/>
          <w:bCs/>
          <w:color w:val="000000"/>
          <w:kern w:val="0"/>
          <w:sz w:val="32"/>
          <w:szCs w:val="32"/>
        </w:rPr>
        <w:t xml:space="preserve">图1：收入决算 </w:t>
      </w:r>
    </w:p>
    <w:p w:rsidR="008709DD" w:rsidRDefault="00E4187B" w:rsidP="00A62EF6">
      <w:pPr>
        <w:pStyle w:val="2"/>
        <w:ind w:firstLineChars="500" w:firstLine="1807"/>
      </w:pPr>
      <w:r>
        <w:rPr>
          <w:noProof/>
        </w:rPr>
        <w:drawing>
          <wp:inline distT="0" distB="0" distL="0" distR="0">
            <wp:extent cx="3728720" cy="1536065"/>
            <wp:effectExtent l="4445" t="4445" r="19685" b="2159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709DD" w:rsidRDefault="008709DD">
      <w:pPr>
        <w:pStyle w:val="a3"/>
        <w:ind w:firstLine="420"/>
        <w:jc w:val="center"/>
      </w:pPr>
    </w:p>
    <w:p w:rsidR="008709DD" w:rsidRDefault="00E4187B">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lastRenderedPageBreak/>
        <w:t>（二</w:t>
      </w:r>
      <w:r>
        <w:rPr>
          <w:rFonts w:ascii="仿宋_GB2312" w:eastAsia="仿宋_GB2312"/>
          <w:sz w:val="28"/>
          <w:szCs w:val="28"/>
        </w:rPr>
        <w:t>）</w:t>
      </w:r>
      <w:r>
        <w:rPr>
          <w:rFonts w:ascii="仿宋_GB2312" w:eastAsia="仿宋_GB2312" w:hint="eastAsia"/>
          <w:sz w:val="28"/>
          <w:szCs w:val="28"/>
        </w:rPr>
        <w:t>支出决算</w:t>
      </w:r>
      <w:r>
        <w:rPr>
          <w:rFonts w:ascii="仿宋_GB2312" w:eastAsia="仿宋_GB2312"/>
          <w:sz w:val="28"/>
          <w:szCs w:val="28"/>
        </w:rPr>
        <w:t>说明</w:t>
      </w:r>
    </w:p>
    <w:p w:rsidR="008709DD" w:rsidRDefault="00E4187B">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2025年度本年支出合计</w:t>
      </w:r>
      <w:r>
        <w:rPr>
          <w:rFonts w:ascii="仿宋_GB2312" w:eastAsia="仿宋_GB2312"/>
          <w:sz w:val="28"/>
          <w:szCs w:val="28"/>
        </w:rPr>
        <w:t>9</w:t>
      </w:r>
      <w:r>
        <w:rPr>
          <w:rFonts w:ascii="仿宋_GB2312" w:eastAsia="仿宋_GB2312" w:hint="eastAsia"/>
          <w:sz w:val="28"/>
          <w:szCs w:val="28"/>
        </w:rPr>
        <w:t>,</w:t>
      </w:r>
      <w:r>
        <w:rPr>
          <w:rFonts w:ascii="仿宋_GB2312" w:eastAsia="仿宋_GB2312"/>
          <w:sz w:val="28"/>
          <w:szCs w:val="28"/>
        </w:rPr>
        <w:t>385</w:t>
      </w:r>
      <w:r>
        <w:rPr>
          <w:rFonts w:ascii="仿宋_GB2312" w:eastAsia="仿宋_GB2312" w:hint="eastAsia"/>
          <w:sz w:val="28"/>
          <w:szCs w:val="28"/>
        </w:rPr>
        <w:t>,</w:t>
      </w:r>
      <w:r>
        <w:rPr>
          <w:rFonts w:ascii="仿宋_GB2312" w:eastAsia="仿宋_GB2312"/>
          <w:sz w:val="28"/>
          <w:szCs w:val="28"/>
        </w:rPr>
        <w:t>448.94</w:t>
      </w:r>
      <w:r>
        <w:rPr>
          <w:rFonts w:ascii="仿宋_GB2312" w:eastAsia="仿宋_GB2312" w:hint="eastAsia"/>
          <w:sz w:val="28"/>
          <w:szCs w:val="28"/>
        </w:rPr>
        <w:t>元，</w:t>
      </w:r>
      <w:r>
        <w:rPr>
          <w:rFonts w:ascii="仿宋_GB2312" w:eastAsia="仿宋_GB2312"/>
          <w:sz w:val="28"/>
          <w:szCs w:val="28"/>
        </w:rPr>
        <w:t>比上年</w:t>
      </w:r>
      <w:r>
        <w:rPr>
          <w:rFonts w:ascii="仿宋_GB2312" w:eastAsia="仿宋_GB2312" w:hint="eastAsia"/>
          <w:sz w:val="28"/>
          <w:szCs w:val="28"/>
        </w:rPr>
        <w:t>减少3,522,610.85元，下降27.3%，其中：基本支出</w:t>
      </w:r>
      <w:r>
        <w:rPr>
          <w:rFonts w:ascii="仿宋_GB2312" w:eastAsia="仿宋_GB2312"/>
          <w:sz w:val="28"/>
          <w:szCs w:val="28"/>
        </w:rPr>
        <w:t>4744869.01</w:t>
      </w:r>
      <w:r>
        <w:rPr>
          <w:rFonts w:ascii="仿宋_GB2312" w:eastAsia="仿宋_GB2312" w:hint="eastAsia"/>
          <w:sz w:val="28"/>
          <w:szCs w:val="28"/>
        </w:rPr>
        <w:t>元，占支出合计的50.6%；项目支出</w:t>
      </w:r>
      <w:r>
        <w:rPr>
          <w:rFonts w:ascii="仿宋_GB2312" w:eastAsia="仿宋_GB2312"/>
          <w:sz w:val="28"/>
          <w:szCs w:val="28"/>
        </w:rPr>
        <w:t>4</w:t>
      </w:r>
      <w:r>
        <w:rPr>
          <w:rFonts w:ascii="仿宋_GB2312" w:eastAsia="仿宋_GB2312" w:hint="eastAsia"/>
          <w:sz w:val="28"/>
          <w:szCs w:val="28"/>
        </w:rPr>
        <w:t>,</w:t>
      </w:r>
      <w:r>
        <w:rPr>
          <w:rFonts w:ascii="仿宋_GB2312" w:eastAsia="仿宋_GB2312"/>
          <w:sz w:val="28"/>
          <w:szCs w:val="28"/>
        </w:rPr>
        <w:t>640</w:t>
      </w:r>
      <w:r>
        <w:rPr>
          <w:rFonts w:ascii="仿宋_GB2312" w:eastAsia="仿宋_GB2312" w:hint="eastAsia"/>
          <w:sz w:val="28"/>
          <w:szCs w:val="28"/>
        </w:rPr>
        <w:t>,</w:t>
      </w:r>
      <w:r>
        <w:rPr>
          <w:rFonts w:ascii="仿宋_GB2312" w:eastAsia="仿宋_GB2312"/>
          <w:sz w:val="28"/>
          <w:szCs w:val="28"/>
        </w:rPr>
        <w:t>579.93</w:t>
      </w:r>
      <w:r>
        <w:rPr>
          <w:rFonts w:ascii="仿宋_GB2312" w:eastAsia="仿宋_GB2312" w:hint="eastAsia"/>
          <w:sz w:val="28"/>
          <w:szCs w:val="28"/>
        </w:rPr>
        <w:t>元，占支出合计的49.4%;上缴上级支出</w:t>
      </w:r>
      <w:r>
        <w:rPr>
          <w:rFonts w:ascii="仿宋_GB2312" w:eastAsia="仿宋_GB2312"/>
          <w:sz w:val="28"/>
          <w:szCs w:val="28"/>
        </w:rPr>
        <w:t>0</w:t>
      </w:r>
      <w:r>
        <w:rPr>
          <w:rFonts w:ascii="仿宋_GB2312" w:eastAsia="仿宋_GB2312" w:hint="eastAsia"/>
          <w:sz w:val="28"/>
          <w:szCs w:val="28"/>
        </w:rPr>
        <w:t>元，占支出合计的0%；经营支出</w:t>
      </w:r>
      <w:r>
        <w:rPr>
          <w:rFonts w:ascii="仿宋_GB2312" w:eastAsia="仿宋_GB2312"/>
          <w:sz w:val="28"/>
          <w:szCs w:val="28"/>
        </w:rPr>
        <w:t>0</w:t>
      </w:r>
      <w:r>
        <w:rPr>
          <w:rFonts w:ascii="仿宋_GB2312" w:eastAsia="仿宋_GB2312" w:hint="eastAsia"/>
          <w:sz w:val="28"/>
          <w:szCs w:val="28"/>
        </w:rPr>
        <w:t>元，占支出合计的0%；对附属单位补助支出</w:t>
      </w:r>
      <w:r>
        <w:rPr>
          <w:rFonts w:ascii="仿宋_GB2312" w:eastAsia="仿宋_GB2312"/>
          <w:sz w:val="28"/>
          <w:szCs w:val="28"/>
        </w:rPr>
        <w:t>0</w:t>
      </w:r>
      <w:r>
        <w:rPr>
          <w:rFonts w:ascii="仿宋_GB2312" w:eastAsia="仿宋_GB2312" w:hint="eastAsia"/>
          <w:sz w:val="28"/>
          <w:szCs w:val="28"/>
        </w:rPr>
        <w:t>元，占支出合计的0%。</w:t>
      </w:r>
    </w:p>
    <w:p w:rsidR="008709DD" w:rsidRDefault="00E4187B" w:rsidP="00A62EF6">
      <w:pPr>
        <w:pStyle w:val="2"/>
        <w:ind w:firstLineChars="1050" w:firstLine="3373"/>
        <w:rPr>
          <w:rFonts w:ascii="仿宋_GB2312" w:eastAsia="仿宋_GB2312"/>
          <w:color w:val="000000"/>
          <w:sz w:val="32"/>
        </w:rPr>
      </w:pPr>
      <w:r>
        <w:rPr>
          <w:rFonts w:ascii="仿宋_GB2312" w:eastAsia="仿宋_GB2312" w:cs="Droid Sans" w:hint="eastAsia"/>
          <w:color w:val="000000"/>
          <w:sz w:val="32"/>
        </w:rPr>
        <w:t xml:space="preserve"> </w:t>
      </w:r>
      <w:r>
        <w:rPr>
          <w:rFonts w:ascii="仿宋_GB2312" w:eastAsia="仿宋_GB2312" w:hint="eastAsia"/>
          <w:color w:val="000000"/>
          <w:sz w:val="32"/>
        </w:rPr>
        <w:t>图2：支出决算</w:t>
      </w:r>
    </w:p>
    <w:p w:rsidR="008709DD" w:rsidRDefault="00E4187B">
      <w:pPr>
        <w:jc w:val="center"/>
        <w:rPr>
          <w:rFonts w:ascii="黑体" w:eastAsia="黑体"/>
          <w:b/>
          <w:sz w:val="28"/>
          <w:szCs w:val="28"/>
        </w:rPr>
      </w:pPr>
      <w:r>
        <w:rPr>
          <w:noProof/>
        </w:rPr>
        <w:drawing>
          <wp:inline distT="0" distB="0" distL="114300" distR="114300">
            <wp:extent cx="4572000" cy="2743200"/>
            <wp:effectExtent l="4445" t="4445" r="14605" b="14605"/>
            <wp:docPr id="1" name="图表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709DD" w:rsidRDefault="00E4187B" w:rsidP="00A62EF6">
      <w:pPr>
        <w:tabs>
          <w:tab w:val="center" w:pos="6979"/>
        </w:tabs>
        <w:spacing w:line="580" w:lineRule="exact"/>
        <w:ind w:firstLineChars="196" w:firstLine="551"/>
        <w:rPr>
          <w:rFonts w:ascii="黑体" w:eastAsia="黑体"/>
          <w:b/>
          <w:sz w:val="28"/>
          <w:szCs w:val="28"/>
        </w:rPr>
      </w:pPr>
      <w:r>
        <w:rPr>
          <w:rFonts w:ascii="黑体" w:eastAsia="黑体" w:hint="eastAsia"/>
          <w:b/>
          <w:sz w:val="28"/>
          <w:szCs w:val="28"/>
        </w:rPr>
        <w:t>三</w:t>
      </w:r>
      <w:r>
        <w:rPr>
          <w:rFonts w:ascii="黑体" w:eastAsia="黑体"/>
          <w:b/>
          <w:sz w:val="28"/>
          <w:szCs w:val="28"/>
        </w:rPr>
        <w:t>、财政拨款</w:t>
      </w:r>
      <w:r>
        <w:rPr>
          <w:rFonts w:ascii="黑体" w:eastAsia="黑体" w:hint="eastAsia"/>
          <w:b/>
          <w:sz w:val="28"/>
          <w:szCs w:val="28"/>
        </w:rPr>
        <w:t>收入支出决算</w:t>
      </w:r>
      <w:r>
        <w:rPr>
          <w:rFonts w:ascii="黑体" w:eastAsia="黑体"/>
          <w:b/>
          <w:sz w:val="28"/>
          <w:szCs w:val="28"/>
        </w:rPr>
        <w:t>总体情况说明</w:t>
      </w:r>
    </w:p>
    <w:p w:rsidR="008709DD" w:rsidRDefault="00E4187B">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2025年度财政拨款收、</w:t>
      </w:r>
      <w:r>
        <w:rPr>
          <w:rFonts w:ascii="仿宋_GB2312" w:eastAsia="仿宋_GB2312"/>
          <w:sz w:val="28"/>
          <w:szCs w:val="28"/>
        </w:rPr>
        <w:t>支</w:t>
      </w:r>
      <w:r>
        <w:rPr>
          <w:rFonts w:ascii="仿宋_GB2312" w:eastAsia="仿宋_GB2312" w:hint="eastAsia"/>
          <w:sz w:val="28"/>
          <w:szCs w:val="28"/>
        </w:rPr>
        <w:t>总计</w:t>
      </w:r>
      <w:r>
        <w:rPr>
          <w:rFonts w:ascii="仿宋_GB2312" w:eastAsia="仿宋_GB2312"/>
          <w:sz w:val="28"/>
          <w:szCs w:val="28"/>
        </w:rPr>
        <w:t>7</w:t>
      </w:r>
      <w:r>
        <w:rPr>
          <w:rFonts w:ascii="仿宋_GB2312" w:eastAsia="仿宋_GB2312" w:hint="eastAsia"/>
          <w:sz w:val="28"/>
          <w:szCs w:val="28"/>
        </w:rPr>
        <w:t>,</w:t>
      </w:r>
      <w:r>
        <w:rPr>
          <w:rFonts w:ascii="仿宋_GB2312" w:eastAsia="仿宋_GB2312"/>
          <w:sz w:val="28"/>
          <w:szCs w:val="28"/>
        </w:rPr>
        <w:t>043</w:t>
      </w:r>
      <w:r>
        <w:rPr>
          <w:rFonts w:ascii="仿宋_GB2312" w:eastAsia="仿宋_GB2312" w:hint="eastAsia"/>
          <w:sz w:val="28"/>
          <w:szCs w:val="28"/>
        </w:rPr>
        <w:t>,</w:t>
      </w:r>
      <w:r>
        <w:rPr>
          <w:rFonts w:ascii="仿宋_GB2312" w:eastAsia="仿宋_GB2312"/>
          <w:sz w:val="28"/>
          <w:szCs w:val="28"/>
        </w:rPr>
        <w:t>996.69</w:t>
      </w:r>
      <w:r>
        <w:rPr>
          <w:rFonts w:ascii="仿宋_GB2312" w:eastAsia="仿宋_GB2312" w:hint="eastAsia"/>
          <w:sz w:val="28"/>
          <w:szCs w:val="28"/>
        </w:rPr>
        <w:t>元，比上年减少1,268,405.27元，下降15.3%。主要原因：落实习惯</w:t>
      </w:r>
      <w:r>
        <w:rPr>
          <w:rFonts w:ascii="仿宋_GB2312" w:eastAsia="仿宋_GB2312" w:hint="eastAsia"/>
          <w:sz w:val="28"/>
          <w:szCs w:val="28"/>
        </w:rPr>
        <w:lastRenderedPageBreak/>
        <w:t>过紧日子要求，压减一般项目经费收支。</w:t>
      </w:r>
    </w:p>
    <w:p w:rsidR="008709DD" w:rsidRDefault="00E4187B" w:rsidP="00A62EF6">
      <w:pPr>
        <w:tabs>
          <w:tab w:val="center" w:pos="6979"/>
        </w:tabs>
        <w:spacing w:line="580" w:lineRule="exact"/>
        <w:ind w:firstLineChars="196" w:firstLine="551"/>
        <w:rPr>
          <w:rFonts w:ascii="黑体" w:eastAsia="黑体"/>
          <w:b/>
          <w:sz w:val="28"/>
          <w:szCs w:val="28"/>
        </w:rPr>
      </w:pPr>
      <w:r>
        <w:rPr>
          <w:rFonts w:ascii="黑体" w:eastAsia="黑体" w:hint="eastAsia"/>
          <w:b/>
          <w:sz w:val="28"/>
          <w:szCs w:val="28"/>
        </w:rPr>
        <w:t>四、一般公共预算财政拨款支出决算情况说明</w:t>
      </w:r>
    </w:p>
    <w:p w:rsidR="008709DD" w:rsidRDefault="00E4187B">
      <w:pPr>
        <w:autoSpaceDE w:val="0"/>
        <w:autoSpaceDN w:val="0"/>
        <w:adjustRightInd w:val="0"/>
        <w:spacing w:line="580" w:lineRule="exact"/>
        <w:ind w:firstLineChars="200" w:firstLine="560"/>
        <w:jc w:val="left"/>
        <w:rPr>
          <w:rFonts w:ascii="仿宋_GB2312" w:eastAsia="仿宋_GB2312"/>
          <w:sz w:val="28"/>
          <w:szCs w:val="28"/>
        </w:rPr>
      </w:pPr>
      <w:r>
        <w:rPr>
          <w:rFonts w:ascii="仿宋_GB2312" w:eastAsia="仿宋_GB2312" w:hint="eastAsia"/>
          <w:sz w:val="28"/>
          <w:szCs w:val="28"/>
        </w:rPr>
        <w:t>（一）一般公共预算财政拨款支出决算总体情况</w:t>
      </w:r>
    </w:p>
    <w:p w:rsidR="008709DD" w:rsidRDefault="00E4187B">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2025年度一般公共预算财政拨款支出</w:t>
      </w:r>
      <w:r>
        <w:rPr>
          <w:rFonts w:ascii="仿宋_GB2312" w:eastAsia="仿宋_GB2312"/>
          <w:sz w:val="28"/>
          <w:szCs w:val="28"/>
        </w:rPr>
        <w:t>7</w:t>
      </w:r>
      <w:r>
        <w:rPr>
          <w:rFonts w:ascii="仿宋_GB2312" w:eastAsia="仿宋_GB2312" w:hint="eastAsia"/>
          <w:sz w:val="28"/>
          <w:szCs w:val="28"/>
        </w:rPr>
        <w:t>,</w:t>
      </w:r>
      <w:r>
        <w:rPr>
          <w:rFonts w:ascii="仿宋_GB2312" w:eastAsia="仿宋_GB2312"/>
          <w:sz w:val="28"/>
          <w:szCs w:val="28"/>
        </w:rPr>
        <w:t>043</w:t>
      </w:r>
      <w:r>
        <w:rPr>
          <w:rFonts w:ascii="仿宋_GB2312" w:eastAsia="仿宋_GB2312" w:hint="eastAsia"/>
          <w:sz w:val="28"/>
          <w:szCs w:val="28"/>
        </w:rPr>
        <w:t>,</w:t>
      </w:r>
      <w:r>
        <w:rPr>
          <w:rFonts w:ascii="仿宋_GB2312" w:eastAsia="仿宋_GB2312"/>
          <w:sz w:val="28"/>
          <w:szCs w:val="28"/>
        </w:rPr>
        <w:t>996.69</w:t>
      </w:r>
      <w:r>
        <w:rPr>
          <w:rFonts w:ascii="仿宋_GB2312" w:eastAsia="仿宋_GB2312" w:hint="eastAsia"/>
          <w:sz w:val="28"/>
          <w:szCs w:val="28"/>
        </w:rPr>
        <w:t>元，主要用于以下方面（按大类）：科学技术支出7,021,342.69元，占本年财政拨款支出99.7%； 社会保障和就业支出22,654.00元，占本年财政拨款支出0.3%。</w:t>
      </w:r>
    </w:p>
    <w:p w:rsidR="008709DD" w:rsidRDefault="00E4187B">
      <w:pPr>
        <w:autoSpaceDE w:val="0"/>
        <w:autoSpaceDN w:val="0"/>
        <w:adjustRightInd w:val="0"/>
        <w:spacing w:line="580" w:lineRule="exact"/>
        <w:ind w:firstLineChars="200" w:firstLine="560"/>
        <w:jc w:val="left"/>
        <w:rPr>
          <w:rFonts w:ascii="仿宋_GB2312" w:eastAsia="仿宋_GB2312"/>
          <w:sz w:val="28"/>
          <w:szCs w:val="28"/>
        </w:rPr>
      </w:pPr>
      <w:r>
        <w:rPr>
          <w:rFonts w:ascii="仿宋_GB2312" w:eastAsia="仿宋_GB2312" w:hint="eastAsia"/>
          <w:sz w:val="28"/>
          <w:szCs w:val="28"/>
        </w:rPr>
        <w:t>（二）一般公共预算财政拨款支出决算具体情况</w:t>
      </w:r>
    </w:p>
    <w:p w:rsidR="008709DD" w:rsidRDefault="00E4187B">
      <w:pPr>
        <w:tabs>
          <w:tab w:val="center" w:pos="6979"/>
        </w:tabs>
        <w:spacing w:line="520" w:lineRule="exact"/>
        <w:ind w:firstLineChars="200" w:firstLine="560"/>
        <w:rPr>
          <w:rFonts w:ascii="仿宋_GB2312" w:eastAsia="仿宋_GB2312" w:cs="仿宋_GB2312"/>
          <w:sz w:val="28"/>
          <w:szCs w:val="28"/>
        </w:rPr>
      </w:pPr>
      <w:r>
        <w:rPr>
          <w:rFonts w:ascii="仿宋_GB2312" w:eastAsia="仿宋_GB2312" w:hAnsi="Calibri" w:cs="仿宋_GB2312" w:hint="eastAsia"/>
          <w:sz w:val="28"/>
          <w:szCs w:val="28"/>
        </w:rPr>
        <w:t>1、“科学技术支出”（类）2025年年初预算7,201,121.24元,2025年度决算7,021,342.69元，</w:t>
      </w:r>
      <w:r>
        <w:rPr>
          <w:rFonts w:ascii="仿宋_GB2312" w:eastAsia="仿宋_GB2312" w:hint="eastAsia"/>
          <w:sz w:val="28"/>
          <w:szCs w:val="28"/>
        </w:rPr>
        <w:t>完成年初预算的97.5%</w:t>
      </w:r>
      <w:r>
        <w:rPr>
          <w:rFonts w:ascii="仿宋_GB2312" w:eastAsia="仿宋_GB2312" w:hAnsi="Calibri" w:cs="仿宋_GB2312" w:hint="eastAsia"/>
          <w:sz w:val="28"/>
          <w:szCs w:val="28"/>
        </w:rPr>
        <w:t>。其中：</w:t>
      </w:r>
    </w:p>
    <w:p w:rsidR="008709DD" w:rsidRDefault="00E4187B">
      <w:pPr>
        <w:tabs>
          <w:tab w:val="center" w:pos="6979"/>
        </w:tabs>
        <w:spacing w:line="520" w:lineRule="exact"/>
        <w:ind w:firstLineChars="200" w:firstLine="560"/>
        <w:rPr>
          <w:rFonts w:ascii="仿宋_GB2312" w:eastAsia="仿宋_GB2312" w:cs="仿宋_GB2312"/>
          <w:sz w:val="28"/>
          <w:szCs w:val="28"/>
        </w:rPr>
      </w:pPr>
      <w:r>
        <w:rPr>
          <w:rFonts w:ascii="仿宋_GB2312" w:eastAsia="仿宋_GB2312" w:hAnsi="Calibri" w:cs="仿宋_GB2312" w:hint="eastAsia"/>
          <w:sz w:val="28"/>
          <w:szCs w:val="28"/>
        </w:rPr>
        <w:t>“科技条件与服务”（款）2025年年初预算4,641,121.24元，2025年度决算47,22,215.01元，</w:t>
      </w:r>
      <w:r>
        <w:rPr>
          <w:rFonts w:ascii="仿宋_GB2312" w:eastAsia="仿宋_GB2312" w:hint="eastAsia"/>
          <w:sz w:val="28"/>
          <w:szCs w:val="28"/>
        </w:rPr>
        <w:t>完成年初预算的101.7</w:t>
      </w:r>
      <w:r>
        <w:rPr>
          <w:rFonts w:ascii="仿宋_GB2312" w:eastAsia="仿宋_GB2312" w:hAnsi="Calibri" w:cs="仿宋_GB2312" w:hint="eastAsia"/>
          <w:sz w:val="28"/>
          <w:szCs w:val="28"/>
        </w:rPr>
        <w:t>%。主要原因：受人员社保工资调整等因素影响，实际支出相应增加；</w:t>
      </w:r>
    </w:p>
    <w:p w:rsidR="008709DD" w:rsidRDefault="00E4187B">
      <w:pPr>
        <w:spacing w:line="500" w:lineRule="exact"/>
        <w:ind w:firstLineChars="200" w:firstLine="560"/>
        <w:rPr>
          <w:rFonts w:ascii="仿宋_GB2312" w:eastAsia="仿宋_GB2312" w:cs="仿宋_GB2312"/>
          <w:sz w:val="28"/>
          <w:szCs w:val="28"/>
        </w:rPr>
      </w:pPr>
      <w:r>
        <w:rPr>
          <w:rFonts w:ascii="仿宋_GB2312" w:eastAsia="仿宋_GB2312" w:hAnsi="Calibri" w:cs="仿宋_GB2312" w:hint="eastAsia"/>
          <w:sz w:val="28"/>
          <w:szCs w:val="28"/>
        </w:rPr>
        <w:t xml:space="preserve"> “其他科学技术支出”（款）2025年年初预算2,560,000.00元，2025年度决算2,299,127.68元，</w:t>
      </w:r>
      <w:r>
        <w:rPr>
          <w:rFonts w:ascii="仿宋_GB2312" w:eastAsia="仿宋_GB2312" w:hint="eastAsia"/>
          <w:sz w:val="28"/>
          <w:szCs w:val="28"/>
        </w:rPr>
        <w:t>完成年初预算的89.8%，</w:t>
      </w:r>
      <w:r>
        <w:rPr>
          <w:rFonts w:ascii="仿宋_GB2312" w:eastAsia="仿宋_GB2312" w:hAnsi="Calibri" w:cs="仿宋_GB2312" w:hint="eastAsia"/>
          <w:sz w:val="28"/>
          <w:szCs w:val="28"/>
        </w:rPr>
        <w:t>主要原因：落实习惯过紧日子要求，从严管控项目支出。</w:t>
      </w:r>
    </w:p>
    <w:p w:rsidR="008709DD" w:rsidRDefault="00E4187B">
      <w:pPr>
        <w:tabs>
          <w:tab w:val="center" w:pos="6979"/>
        </w:tabs>
        <w:spacing w:line="520" w:lineRule="exact"/>
        <w:ind w:firstLineChars="200" w:firstLine="560"/>
        <w:rPr>
          <w:rFonts w:ascii="仿宋_GB2312" w:eastAsia="仿宋_GB2312" w:cs="仿宋_GB2312"/>
          <w:sz w:val="28"/>
          <w:szCs w:val="28"/>
        </w:rPr>
      </w:pPr>
      <w:r>
        <w:rPr>
          <w:rFonts w:ascii="仿宋_GB2312" w:eastAsia="仿宋_GB2312" w:hAnsi="Calibri" w:cs="仿宋_GB2312" w:hint="eastAsia"/>
          <w:sz w:val="28"/>
          <w:szCs w:val="28"/>
        </w:rPr>
        <w:t>2、“社会保障和就业支出”(类)2025年年初预算22,254.00元,2025年度决算22,654.00元，</w:t>
      </w:r>
      <w:r>
        <w:rPr>
          <w:rFonts w:ascii="仿宋_GB2312" w:eastAsia="仿宋_GB2312" w:hint="eastAsia"/>
          <w:sz w:val="28"/>
          <w:szCs w:val="28"/>
        </w:rPr>
        <w:t>完成年初预算的101.8%</w:t>
      </w:r>
      <w:r>
        <w:rPr>
          <w:rFonts w:ascii="仿宋_GB2312" w:eastAsia="仿宋_GB2312" w:hAnsi="Calibri" w:cs="仿宋_GB2312" w:hint="eastAsia"/>
          <w:sz w:val="28"/>
          <w:szCs w:val="28"/>
        </w:rPr>
        <w:t>。其中：</w:t>
      </w:r>
    </w:p>
    <w:p w:rsidR="008709DD" w:rsidRDefault="00E4187B">
      <w:pPr>
        <w:tabs>
          <w:tab w:val="center" w:pos="6979"/>
        </w:tabs>
        <w:spacing w:line="520" w:lineRule="exact"/>
        <w:ind w:firstLineChars="200" w:firstLine="560"/>
        <w:rPr>
          <w:rFonts w:ascii="仿宋_GB2312" w:eastAsia="仿宋_GB2312" w:cs="仿宋_GB2312"/>
          <w:sz w:val="28"/>
          <w:szCs w:val="28"/>
        </w:rPr>
      </w:pPr>
      <w:r>
        <w:rPr>
          <w:rFonts w:ascii="仿宋_GB2312" w:eastAsia="仿宋_GB2312" w:hAnsi="Calibri" w:cs="仿宋_GB2312" w:hint="eastAsia"/>
          <w:sz w:val="28"/>
          <w:szCs w:val="28"/>
        </w:rPr>
        <w:t>“行政事业单位养老支出”（款）2025年年初预算22,254.00元，2025年度决算22,654.00元，</w:t>
      </w:r>
      <w:r>
        <w:rPr>
          <w:rFonts w:ascii="仿宋_GB2312" w:eastAsia="仿宋_GB2312" w:hint="eastAsia"/>
          <w:sz w:val="28"/>
          <w:szCs w:val="28"/>
        </w:rPr>
        <w:t>完成年初预算的101.8%</w:t>
      </w:r>
      <w:r>
        <w:rPr>
          <w:rFonts w:ascii="仿宋_GB2312" w:eastAsia="仿宋_GB2312" w:hAnsi="Calibri" w:cs="仿宋_GB2312" w:hint="eastAsia"/>
          <w:sz w:val="28"/>
          <w:szCs w:val="28"/>
        </w:rPr>
        <w:t>。主要原因：本年度追加退休人员费用400.00元。</w:t>
      </w:r>
    </w:p>
    <w:p w:rsidR="008709DD" w:rsidRDefault="00E4187B" w:rsidP="00A62EF6">
      <w:pPr>
        <w:spacing w:line="580" w:lineRule="exact"/>
        <w:ind w:firstLineChars="200" w:firstLine="562"/>
        <w:rPr>
          <w:rFonts w:ascii="仿宋_GB2312" w:eastAsia="仿宋_GB2312"/>
          <w:sz w:val="28"/>
          <w:szCs w:val="28"/>
        </w:rPr>
      </w:pPr>
      <w:r>
        <w:rPr>
          <w:rFonts w:ascii="黑体" w:eastAsia="黑体" w:hint="eastAsia"/>
          <w:b/>
          <w:sz w:val="28"/>
          <w:szCs w:val="28"/>
        </w:rPr>
        <w:t>五、政府性基金预算财政拨款支出决算情况说明</w:t>
      </w:r>
    </w:p>
    <w:p w:rsidR="008709DD" w:rsidRDefault="00E4187B">
      <w:pPr>
        <w:spacing w:line="580" w:lineRule="exact"/>
        <w:ind w:firstLineChars="200" w:firstLine="560"/>
        <w:rPr>
          <w:rFonts w:ascii="仿宋_GB2312" w:eastAsia="仿宋_GB2312" w:hAnsi="Calibri" w:cs="仿宋_GB2312"/>
          <w:sz w:val="28"/>
          <w:szCs w:val="28"/>
        </w:rPr>
      </w:pPr>
      <w:r>
        <w:rPr>
          <w:rFonts w:ascii="仿宋_GB2312" w:eastAsia="仿宋_GB2312" w:hAnsi="Calibri" w:cs="仿宋_GB2312" w:hint="eastAsia"/>
          <w:sz w:val="28"/>
          <w:szCs w:val="28"/>
        </w:rPr>
        <w:lastRenderedPageBreak/>
        <w:t>本部门无此项经费支出。</w:t>
      </w:r>
    </w:p>
    <w:p w:rsidR="008709DD" w:rsidRDefault="00E4187B" w:rsidP="00A62EF6">
      <w:pPr>
        <w:spacing w:line="580" w:lineRule="exact"/>
        <w:ind w:firstLineChars="200" w:firstLine="562"/>
        <w:rPr>
          <w:rFonts w:ascii="黑体" w:eastAsia="黑体"/>
          <w:b/>
          <w:sz w:val="28"/>
          <w:szCs w:val="28"/>
        </w:rPr>
      </w:pPr>
      <w:r>
        <w:rPr>
          <w:rFonts w:ascii="黑体" w:eastAsia="黑体" w:hint="eastAsia"/>
          <w:b/>
          <w:sz w:val="28"/>
          <w:szCs w:val="28"/>
        </w:rPr>
        <w:t>六、国有资本经营预算财</w:t>
      </w:r>
      <w:r>
        <w:rPr>
          <w:rFonts w:ascii="黑体" w:eastAsia="黑体"/>
          <w:b/>
          <w:sz w:val="28"/>
          <w:szCs w:val="28"/>
        </w:rPr>
        <w:t>政拨款</w:t>
      </w:r>
      <w:r>
        <w:rPr>
          <w:rFonts w:ascii="黑体" w:eastAsia="黑体" w:hint="eastAsia"/>
          <w:b/>
          <w:sz w:val="28"/>
          <w:szCs w:val="28"/>
        </w:rPr>
        <w:t>收支情况</w:t>
      </w:r>
    </w:p>
    <w:p w:rsidR="008709DD" w:rsidRDefault="00E4187B" w:rsidP="00A62EF6">
      <w:pPr>
        <w:ind w:firstLineChars="192" w:firstLine="538"/>
        <w:rPr>
          <w:rFonts w:ascii="仿宋_GB2312" w:eastAsia="仿宋_GB2312"/>
          <w:sz w:val="28"/>
          <w:szCs w:val="28"/>
        </w:rPr>
      </w:pPr>
      <w:r>
        <w:rPr>
          <w:rFonts w:ascii="仿宋_GB2312" w:eastAsia="仿宋_GB2312" w:hint="eastAsia"/>
          <w:sz w:val="28"/>
          <w:szCs w:val="28"/>
        </w:rPr>
        <w:t>2025年度国有资本经营预算财政</w:t>
      </w:r>
      <w:r>
        <w:rPr>
          <w:rFonts w:ascii="仿宋_GB2312" w:eastAsia="仿宋_GB2312"/>
          <w:sz w:val="28"/>
          <w:szCs w:val="28"/>
        </w:rPr>
        <w:t>拨款</w:t>
      </w:r>
      <w:r>
        <w:rPr>
          <w:rFonts w:ascii="仿宋_GB2312" w:eastAsia="仿宋_GB2312" w:hint="eastAsia"/>
          <w:sz w:val="28"/>
          <w:szCs w:val="28"/>
        </w:rPr>
        <w:t>收入总</w:t>
      </w:r>
      <w:r>
        <w:rPr>
          <w:rFonts w:ascii="仿宋_GB2312" w:eastAsia="仿宋_GB2312"/>
          <w:sz w:val="28"/>
          <w:szCs w:val="28"/>
        </w:rPr>
        <w:t>计0</w:t>
      </w:r>
      <w:r>
        <w:rPr>
          <w:rFonts w:ascii="仿宋_GB2312" w:eastAsia="仿宋_GB2312" w:hint="eastAsia"/>
          <w:sz w:val="28"/>
          <w:szCs w:val="28"/>
        </w:rPr>
        <w:t>元，国有资本经营预算财政</w:t>
      </w:r>
      <w:r>
        <w:rPr>
          <w:rFonts w:ascii="仿宋_GB2312" w:eastAsia="仿宋_GB2312"/>
          <w:sz w:val="28"/>
          <w:szCs w:val="28"/>
        </w:rPr>
        <w:t>拨款</w:t>
      </w:r>
      <w:r>
        <w:rPr>
          <w:rFonts w:ascii="仿宋_GB2312" w:eastAsia="仿宋_GB2312" w:hint="eastAsia"/>
          <w:sz w:val="28"/>
          <w:szCs w:val="28"/>
        </w:rPr>
        <w:t>支出总</w:t>
      </w:r>
      <w:r>
        <w:rPr>
          <w:rFonts w:ascii="仿宋_GB2312" w:eastAsia="仿宋_GB2312"/>
          <w:sz w:val="28"/>
          <w:szCs w:val="28"/>
        </w:rPr>
        <w:t>计0</w:t>
      </w:r>
      <w:r>
        <w:rPr>
          <w:rFonts w:ascii="仿宋_GB2312" w:eastAsia="仿宋_GB2312" w:hint="eastAsia"/>
          <w:sz w:val="28"/>
          <w:szCs w:val="28"/>
        </w:rPr>
        <w:t>元。</w:t>
      </w:r>
    </w:p>
    <w:p w:rsidR="008709DD" w:rsidRDefault="00E4187B" w:rsidP="00A62EF6">
      <w:pPr>
        <w:spacing w:line="580" w:lineRule="exact"/>
        <w:ind w:firstLineChars="196" w:firstLine="551"/>
        <w:rPr>
          <w:rFonts w:ascii="黑体" w:eastAsia="黑体"/>
          <w:sz w:val="28"/>
          <w:szCs w:val="28"/>
        </w:rPr>
      </w:pPr>
      <w:r>
        <w:rPr>
          <w:rFonts w:ascii="黑体" w:eastAsia="黑体" w:hint="eastAsia"/>
          <w:b/>
          <w:sz w:val="28"/>
          <w:szCs w:val="28"/>
        </w:rPr>
        <w:t>七、财政拨款基本支出决算情况说明</w:t>
      </w:r>
    </w:p>
    <w:p w:rsidR="008709DD" w:rsidRDefault="00E4187B" w:rsidP="00A62EF6">
      <w:pPr>
        <w:tabs>
          <w:tab w:val="center" w:pos="6979"/>
        </w:tabs>
        <w:spacing w:line="580" w:lineRule="exact"/>
        <w:ind w:firstLineChars="196" w:firstLine="549"/>
        <w:rPr>
          <w:rFonts w:ascii="黑体" w:eastAsia="黑体"/>
          <w:b/>
          <w:sz w:val="28"/>
          <w:szCs w:val="28"/>
        </w:rPr>
      </w:pPr>
      <w:r>
        <w:rPr>
          <w:rFonts w:ascii="仿宋_GB2312" w:eastAsia="仿宋_GB2312" w:hint="eastAsia"/>
          <w:sz w:val="28"/>
          <w:szCs w:val="28"/>
        </w:rPr>
        <w:t>2025年度使用一般公共预算财政拨款安排基本支出</w:t>
      </w:r>
      <w:r>
        <w:rPr>
          <w:rFonts w:ascii="仿宋_GB2312" w:eastAsia="仿宋_GB2312"/>
          <w:sz w:val="28"/>
          <w:szCs w:val="28"/>
        </w:rPr>
        <w:t>4</w:t>
      </w:r>
      <w:r>
        <w:rPr>
          <w:rFonts w:ascii="仿宋_GB2312" w:eastAsia="仿宋_GB2312" w:hAnsi="Calibri" w:cs="仿宋_GB2312" w:hint="eastAsia"/>
          <w:sz w:val="28"/>
          <w:szCs w:val="28"/>
        </w:rPr>
        <w:t>,</w:t>
      </w:r>
      <w:r>
        <w:rPr>
          <w:rFonts w:ascii="仿宋_GB2312" w:eastAsia="仿宋_GB2312"/>
          <w:sz w:val="28"/>
          <w:szCs w:val="28"/>
        </w:rPr>
        <w:t>744</w:t>
      </w:r>
      <w:r>
        <w:rPr>
          <w:rFonts w:ascii="仿宋_GB2312" w:eastAsia="仿宋_GB2312" w:hAnsi="Calibri" w:cs="仿宋_GB2312" w:hint="eastAsia"/>
          <w:sz w:val="28"/>
          <w:szCs w:val="28"/>
        </w:rPr>
        <w:t>,</w:t>
      </w:r>
      <w:r>
        <w:rPr>
          <w:rFonts w:ascii="仿宋_GB2312" w:eastAsia="仿宋_GB2312"/>
          <w:sz w:val="28"/>
          <w:szCs w:val="28"/>
        </w:rPr>
        <w:t>869.01</w:t>
      </w:r>
      <w:r>
        <w:rPr>
          <w:rFonts w:ascii="仿宋_GB2312" w:eastAsia="仿宋_GB2312" w:hint="eastAsia"/>
          <w:sz w:val="28"/>
          <w:szCs w:val="28"/>
        </w:rPr>
        <w:t>元，使用政府性基金财政拨款安排基本支出</w:t>
      </w:r>
      <w:r>
        <w:rPr>
          <w:rFonts w:ascii="仿宋_GB2312" w:eastAsia="仿宋_GB2312"/>
          <w:sz w:val="28"/>
          <w:szCs w:val="28"/>
        </w:rPr>
        <w:t>0</w:t>
      </w:r>
      <w:r>
        <w:rPr>
          <w:rFonts w:ascii="仿宋_GB2312" w:eastAsia="仿宋_GB2312" w:hint="eastAsia"/>
          <w:sz w:val="28"/>
          <w:szCs w:val="28"/>
        </w:rPr>
        <w:t>元，（1）工资福利支出包括基本工资</w:t>
      </w:r>
      <w:r>
        <w:rPr>
          <w:rFonts w:ascii="仿宋_GB2312" w:eastAsia="仿宋_GB2312"/>
          <w:sz w:val="28"/>
          <w:szCs w:val="28"/>
        </w:rPr>
        <w:t>、津贴补贴、奖金、伙食补助费、绩效工资、</w:t>
      </w:r>
      <w:r>
        <w:rPr>
          <w:rFonts w:ascii="仿宋_GB2312" w:eastAsia="仿宋_GB2312" w:hint="eastAsia"/>
          <w:sz w:val="28"/>
          <w:szCs w:val="28"/>
        </w:rPr>
        <w:t>其他</w:t>
      </w:r>
      <w:r>
        <w:rPr>
          <w:rFonts w:ascii="仿宋_GB2312" w:eastAsia="仿宋_GB2312"/>
          <w:sz w:val="28"/>
          <w:szCs w:val="28"/>
        </w:rPr>
        <w:t>社会保障缴费、其他工资福利</w:t>
      </w:r>
      <w:r>
        <w:rPr>
          <w:rFonts w:ascii="仿宋_GB2312" w:eastAsia="仿宋_GB2312" w:hint="eastAsia"/>
          <w:sz w:val="28"/>
          <w:szCs w:val="28"/>
        </w:rPr>
        <w:t>等</w:t>
      </w:r>
      <w:r>
        <w:rPr>
          <w:rFonts w:ascii="仿宋_GB2312" w:eastAsia="仿宋_GB2312"/>
          <w:sz w:val="28"/>
          <w:szCs w:val="28"/>
        </w:rPr>
        <w:t>支出</w:t>
      </w:r>
      <w:r>
        <w:rPr>
          <w:rFonts w:ascii="仿宋_GB2312" w:eastAsia="仿宋_GB2312" w:hint="eastAsia"/>
          <w:sz w:val="28"/>
          <w:szCs w:val="28"/>
        </w:rPr>
        <w:t>4,558,031.70元；（2）商品和服务支出包括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ascii="仿宋_GB2312" w:eastAsia="仿宋_GB2312" w:hint="eastAsia"/>
          <w:sz w:val="28"/>
          <w:szCs w:val="28"/>
        </w:rPr>
        <w:t>用</w:t>
      </w:r>
      <w:r>
        <w:rPr>
          <w:rFonts w:ascii="仿宋_GB2312" w:eastAsia="仿宋_GB2312"/>
          <w:sz w:val="28"/>
          <w:szCs w:val="28"/>
        </w:rPr>
        <w:t>、其他商品和服务</w:t>
      </w:r>
      <w:r>
        <w:rPr>
          <w:rFonts w:ascii="仿宋_GB2312" w:eastAsia="仿宋_GB2312" w:hint="eastAsia"/>
          <w:sz w:val="28"/>
          <w:szCs w:val="28"/>
        </w:rPr>
        <w:t>等</w:t>
      </w:r>
      <w:r>
        <w:rPr>
          <w:rFonts w:ascii="仿宋_GB2312" w:eastAsia="仿宋_GB2312"/>
          <w:sz w:val="28"/>
          <w:szCs w:val="28"/>
        </w:rPr>
        <w:t>支出</w:t>
      </w:r>
      <w:r>
        <w:rPr>
          <w:rFonts w:ascii="仿宋_GB2312" w:eastAsia="仿宋_GB2312" w:hint="eastAsia"/>
          <w:sz w:val="28"/>
          <w:szCs w:val="28"/>
        </w:rPr>
        <w:t>165,203.31元；（3）对个人和家庭补助支出包括</w:t>
      </w:r>
      <w:r>
        <w:rPr>
          <w:rFonts w:ascii="仿宋_GB2312" w:eastAsia="仿宋_GB2312"/>
          <w:sz w:val="28"/>
          <w:szCs w:val="28"/>
        </w:rPr>
        <w:t>离休费、退休费、抚恤金、生活补助、</w:t>
      </w:r>
      <w:r>
        <w:rPr>
          <w:rFonts w:ascii="仿宋_GB2312" w:eastAsia="仿宋_GB2312" w:hint="eastAsia"/>
          <w:sz w:val="28"/>
          <w:szCs w:val="28"/>
        </w:rPr>
        <w:t>救济费</w:t>
      </w:r>
      <w:r>
        <w:rPr>
          <w:rFonts w:ascii="仿宋_GB2312" w:eastAsia="仿宋_GB2312"/>
          <w:sz w:val="28"/>
          <w:szCs w:val="28"/>
        </w:rPr>
        <w:t>、医疗费</w:t>
      </w:r>
      <w:r>
        <w:rPr>
          <w:rFonts w:ascii="仿宋_GB2312" w:eastAsia="仿宋_GB2312" w:hint="eastAsia"/>
          <w:sz w:val="28"/>
          <w:szCs w:val="28"/>
        </w:rPr>
        <w:t>补助</w:t>
      </w:r>
      <w:r>
        <w:rPr>
          <w:rFonts w:ascii="仿宋_GB2312" w:eastAsia="仿宋_GB2312"/>
          <w:sz w:val="28"/>
          <w:szCs w:val="28"/>
        </w:rPr>
        <w:t>、助学金、奖励金</w:t>
      </w:r>
      <w:r>
        <w:rPr>
          <w:rFonts w:ascii="仿宋_GB2312" w:eastAsia="仿宋_GB2312" w:hint="eastAsia"/>
          <w:sz w:val="28"/>
          <w:szCs w:val="28"/>
        </w:rPr>
        <w:t>、</w:t>
      </w:r>
      <w:r>
        <w:rPr>
          <w:rFonts w:ascii="仿宋_GB2312" w:eastAsia="仿宋_GB2312"/>
          <w:sz w:val="28"/>
          <w:szCs w:val="28"/>
        </w:rPr>
        <w:t>其他对个人和家庭的补助</w:t>
      </w:r>
      <w:r>
        <w:rPr>
          <w:rFonts w:ascii="仿宋_GB2312" w:eastAsia="仿宋_GB2312" w:hint="eastAsia"/>
          <w:sz w:val="28"/>
          <w:szCs w:val="28"/>
        </w:rPr>
        <w:t>等</w:t>
      </w:r>
      <w:r>
        <w:rPr>
          <w:rFonts w:ascii="仿宋_GB2312" w:eastAsia="仿宋_GB2312"/>
          <w:sz w:val="28"/>
          <w:szCs w:val="28"/>
        </w:rPr>
        <w:t>支出</w:t>
      </w:r>
      <w:r>
        <w:rPr>
          <w:rFonts w:ascii="仿宋_GB2312" w:eastAsia="仿宋_GB2312" w:hint="eastAsia"/>
          <w:sz w:val="28"/>
          <w:szCs w:val="28"/>
        </w:rPr>
        <w:t>21,634.00元。（4）其他资本性支出包括</w:t>
      </w:r>
      <w:r>
        <w:rPr>
          <w:rFonts w:ascii="仿宋_GB2312" w:eastAsia="仿宋_GB2312"/>
          <w:sz w:val="28"/>
          <w:szCs w:val="28"/>
        </w:rPr>
        <w:t>办公设备购置、专用设备购置</w:t>
      </w:r>
      <w:r>
        <w:rPr>
          <w:rFonts w:ascii="仿宋_GB2312" w:eastAsia="仿宋_GB2312" w:hint="eastAsia"/>
          <w:sz w:val="28"/>
          <w:szCs w:val="28"/>
        </w:rPr>
        <w:t>等支出0元</w:t>
      </w:r>
      <w:r>
        <w:rPr>
          <w:rFonts w:ascii="仿宋_GB2312" w:eastAsia="仿宋_GB2312"/>
          <w:sz w:val="28"/>
          <w:szCs w:val="28"/>
        </w:rPr>
        <w:t>。</w:t>
      </w:r>
    </w:p>
    <w:p w:rsidR="008709DD" w:rsidRDefault="00E4187B">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rsidR="008709DD" w:rsidRDefault="00E4187B">
      <w:pPr>
        <w:tabs>
          <w:tab w:val="center" w:pos="6979"/>
        </w:tabs>
        <w:jc w:val="center"/>
        <w:rPr>
          <w:rFonts w:ascii="宋体" w:hAnsi="宋体" w:cs="宋体"/>
          <w:b/>
          <w:spacing w:val="40"/>
          <w:kern w:val="0"/>
          <w:sz w:val="32"/>
          <w:szCs w:val="32"/>
        </w:rPr>
      </w:pPr>
      <w:r>
        <w:rPr>
          <w:rFonts w:ascii="宋体" w:hAnsi="宋体" w:cs="宋体" w:hint="eastAsia"/>
          <w:b/>
          <w:bCs/>
          <w:spacing w:val="40"/>
          <w:kern w:val="0"/>
          <w:sz w:val="32"/>
          <w:szCs w:val="32"/>
        </w:rPr>
        <w:t>第三部分</w:t>
      </w:r>
      <w:r>
        <w:rPr>
          <w:rFonts w:ascii="宋体" w:hAnsi="宋体" w:hint="eastAsia"/>
          <w:b/>
          <w:spacing w:val="40"/>
          <w:sz w:val="32"/>
          <w:szCs w:val="32"/>
        </w:rPr>
        <w:t>2025年度</w:t>
      </w:r>
      <w:r>
        <w:rPr>
          <w:rFonts w:ascii="宋体" w:hAnsi="宋体" w:cs="宋体" w:hint="eastAsia"/>
          <w:b/>
          <w:spacing w:val="40"/>
          <w:kern w:val="0"/>
          <w:sz w:val="32"/>
          <w:szCs w:val="32"/>
        </w:rPr>
        <w:t>其他重要事项的情况说明</w:t>
      </w:r>
    </w:p>
    <w:p w:rsidR="008709DD" w:rsidRDefault="00E4187B">
      <w:pPr>
        <w:spacing w:line="560" w:lineRule="exact"/>
        <w:ind w:firstLineChars="200" w:firstLine="560"/>
        <w:rPr>
          <w:rFonts w:ascii="黑体" w:eastAsia="黑体"/>
          <w:sz w:val="28"/>
          <w:szCs w:val="28"/>
        </w:rPr>
      </w:pPr>
      <w:r>
        <w:rPr>
          <w:rFonts w:ascii="黑体" w:eastAsia="黑体" w:hint="eastAsia"/>
          <w:sz w:val="28"/>
          <w:szCs w:val="28"/>
        </w:rPr>
        <w:t>一、“三公”经费财政拨款决算情况</w:t>
      </w:r>
    </w:p>
    <w:p w:rsidR="008709DD" w:rsidRDefault="00E4187B">
      <w:pPr>
        <w:spacing w:line="560" w:lineRule="exact"/>
        <w:ind w:firstLine="600"/>
        <w:rPr>
          <w:rFonts w:ascii="仿宋_GB2312" w:eastAsia="仿宋_GB2312"/>
          <w:sz w:val="28"/>
          <w:szCs w:val="28"/>
        </w:rPr>
      </w:pPr>
      <w:r>
        <w:rPr>
          <w:rFonts w:ascii="仿宋_GB2312" w:eastAsia="仿宋_GB2312" w:hint="eastAsia"/>
          <w:sz w:val="28"/>
          <w:szCs w:val="28"/>
        </w:rPr>
        <w:t>2025年度“三公”经费财政拨款决算数</w:t>
      </w:r>
      <w:r>
        <w:rPr>
          <w:rFonts w:ascii="仿宋_GB2312" w:eastAsia="仿宋_GB2312"/>
          <w:sz w:val="28"/>
          <w:szCs w:val="28"/>
        </w:rPr>
        <w:t>13</w:t>
      </w:r>
      <w:r>
        <w:rPr>
          <w:rFonts w:ascii="仿宋_GB2312" w:eastAsia="仿宋_GB2312" w:hAnsi="Calibri" w:cs="仿宋_GB2312" w:hint="eastAsia"/>
          <w:sz w:val="28"/>
          <w:szCs w:val="28"/>
        </w:rPr>
        <w:t>,</w:t>
      </w:r>
      <w:r>
        <w:rPr>
          <w:rFonts w:ascii="仿宋_GB2312" w:eastAsia="仿宋_GB2312"/>
          <w:sz w:val="28"/>
          <w:szCs w:val="28"/>
        </w:rPr>
        <w:t>137.85</w:t>
      </w:r>
      <w:r>
        <w:rPr>
          <w:rFonts w:ascii="仿宋_GB2312" w:eastAsia="仿宋_GB2312" w:hint="eastAsia"/>
          <w:sz w:val="28"/>
          <w:szCs w:val="28"/>
        </w:rPr>
        <w:t>元，比2025年度“三公”经费财政拨款年初预算</w:t>
      </w:r>
      <w:r>
        <w:rPr>
          <w:rFonts w:ascii="仿宋_GB2312" w:eastAsia="仿宋_GB2312"/>
          <w:sz w:val="28"/>
          <w:szCs w:val="28"/>
        </w:rPr>
        <w:t>18</w:t>
      </w:r>
      <w:r>
        <w:rPr>
          <w:rFonts w:ascii="仿宋_GB2312" w:eastAsia="仿宋_GB2312" w:hAnsi="Calibri" w:cs="仿宋_GB2312" w:hint="eastAsia"/>
          <w:sz w:val="28"/>
          <w:szCs w:val="28"/>
        </w:rPr>
        <w:t>,</w:t>
      </w:r>
      <w:bookmarkStart w:id="4" w:name="_GoBack"/>
      <w:bookmarkEnd w:id="4"/>
      <w:r>
        <w:rPr>
          <w:rFonts w:ascii="仿宋_GB2312" w:eastAsia="仿宋_GB2312"/>
          <w:sz w:val="28"/>
          <w:szCs w:val="28"/>
        </w:rPr>
        <w:t>435</w:t>
      </w:r>
      <w:r>
        <w:rPr>
          <w:rFonts w:ascii="仿宋_GB2312" w:eastAsia="仿宋_GB2312" w:hint="eastAsia"/>
          <w:sz w:val="28"/>
          <w:szCs w:val="28"/>
        </w:rPr>
        <w:t>.00元减少</w:t>
      </w:r>
      <w:r>
        <w:rPr>
          <w:rFonts w:ascii="仿宋_GB2312" w:eastAsia="仿宋_GB2312"/>
          <w:sz w:val="28"/>
          <w:szCs w:val="28"/>
        </w:rPr>
        <w:t>5</w:t>
      </w:r>
      <w:r>
        <w:rPr>
          <w:rFonts w:ascii="仿宋_GB2312" w:eastAsia="仿宋_GB2312" w:hAnsi="Calibri" w:cs="仿宋_GB2312" w:hint="eastAsia"/>
          <w:sz w:val="28"/>
          <w:szCs w:val="28"/>
        </w:rPr>
        <w:t>,</w:t>
      </w:r>
      <w:r>
        <w:rPr>
          <w:rFonts w:ascii="仿宋_GB2312" w:eastAsia="仿宋_GB2312"/>
          <w:sz w:val="28"/>
          <w:szCs w:val="28"/>
        </w:rPr>
        <w:t>297.15</w:t>
      </w:r>
      <w:r>
        <w:rPr>
          <w:rFonts w:ascii="仿宋_GB2312" w:eastAsia="仿宋_GB2312" w:hint="eastAsia"/>
          <w:sz w:val="28"/>
          <w:szCs w:val="28"/>
        </w:rPr>
        <w:t>元。其中：</w:t>
      </w:r>
    </w:p>
    <w:p w:rsidR="008709DD" w:rsidRDefault="00E4187B">
      <w:pPr>
        <w:spacing w:line="560" w:lineRule="exact"/>
        <w:ind w:firstLineChars="200" w:firstLine="560"/>
        <w:rPr>
          <w:rFonts w:ascii="仿宋_GB2312" w:eastAsia="仿宋_GB2312" w:hAnsi="Calibri"/>
          <w:sz w:val="28"/>
          <w:szCs w:val="28"/>
        </w:rPr>
      </w:pPr>
      <w:r>
        <w:rPr>
          <w:rFonts w:ascii="仿宋_GB2312" w:eastAsia="仿宋_GB2312" w:hint="eastAsia"/>
          <w:sz w:val="28"/>
          <w:szCs w:val="28"/>
        </w:rPr>
        <w:lastRenderedPageBreak/>
        <w:t>1.因公出国（境）费用。2025年度决算数</w:t>
      </w:r>
      <w:r>
        <w:rPr>
          <w:rFonts w:ascii="仿宋_GB2312" w:eastAsia="仿宋_GB2312"/>
          <w:sz w:val="28"/>
          <w:szCs w:val="28"/>
        </w:rPr>
        <w:t>0</w:t>
      </w:r>
      <w:r>
        <w:rPr>
          <w:rFonts w:ascii="仿宋_GB2312" w:eastAsia="仿宋_GB2312" w:hint="eastAsia"/>
          <w:sz w:val="28"/>
          <w:szCs w:val="28"/>
        </w:rPr>
        <w:t>元，比2025年度年初预算数</w:t>
      </w:r>
      <w:r>
        <w:rPr>
          <w:rFonts w:ascii="仿宋_GB2312" w:eastAsia="仿宋_GB2312"/>
          <w:sz w:val="28"/>
          <w:szCs w:val="28"/>
        </w:rPr>
        <w:t>0</w:t>
      </w:r>
      <w:r>
        <w:rPr>
          <w:rFonts w:ascii="仿宋_GB2312" w:eastAsia="仿宋_GB2312" w:hint="eastAsia"/>
          <w:sz w:val="28"/>
          <w:szCs w:val="28"/>
        </w:rPr>
        <w:t>元增减</w:t>
      </w:r>
      <w:r>
        <w:rPr>
          <w:rFonts w:ascii="仿宋_GB2312" w:eastAsia="仿宋_GB2312"/>
          <w:sz w:val="28"/>
          <w:szCs w:val="28"/>
        </w:rPr>
        <w:t>0</w:t>
      </w:r>
      <w:r>
        <w:rPr>
          <w:rFonts w:ascii="仿宋_GB2312" w:eastAsia="仿宋_GB2312" w:hint="eastAsia"/>
          <w:sz w:val="28"/>
          <w:szCs w:val="28"/>
        </w:rPr>
        <w:t>元。主要原因：</w:t>
      </w:r>
      <w:r>
        <w:rPr>
          <w:rFonts w:ascii="仿宋_GB2312" w:eastAsia="仿宋_GB2312" w:hAnsi="Calibri" w:hint="eastAsia"/>
          <w:color w:val="000000"/>
          <w:sz w:val="28"/>
          <w:szCs w:val="28"/>
        </w:rPr>
        <w:t>本年无此项预算支出。</w:t>
      </w:r>
    </w:p>
    <w:p w:rsidR="008709DD" w:rsidRDefault="00E4187B">
      <w:pPr>
        <w:spacing w:line="560" w:lineRule="exact"/>
        <w:ind w:firstLine="600"/>
        <w:rPr>
          <w:rFonts w:ascii="仿宋_GB2312" w:eastAsia="仿宋_GB2312"/>
          <w:sz w:val="28"/>
          <w:szCs w:val="28"/>
        </w:rPr>
      </w:pPr>
      <w:r>
        <w:rPr>
          <w:rFonts w:ascii="仿宋_GB2312" w:eastAsia="仿宋_GB2312" w:hint="eastAsia"/>
          <w:sz w:val="28"/>
          <w:szCs w:val="28"/>
        </w:rPr>
        <w:t>2.公务接待费。2025年度决算数</w:t>
      </w:r>
      <w:r>
        <w:rPr>
          <w:rFonts w:ascii="仿宋_GB2312" w:eastAsia="仿宋_GB2312"/>
          <w:sz w:val="28"/>
          <w:szCs w:val="28"/>
        </w:rPr>
        <w:t>0</w:t>
      </w:r>
      <w:r>
        <w:rPr>
          <w:rFonts w:ascii="仿宋_GB2312" w:eastAsia="仿宋_GB2312" w:hint="eastAsia"/>
          <w:sz w:val="28"/>
          <w:szCs w:val="28"/>
        </w:rPr>
        <w:t>元，比2025年度年初预算数</w:t>
      </w:r>
      <w:r>
        <w:rPr>
          <w:rFonts w:ascii="仿宋_GB2312" w:eastAsia="仿宋_GB2312"/>
          <w:sz w:val="28"/>
          <w:szCs w:val="28"/>
        </w:rPr>
        <w:t>435</w:t>
      </w:r>
      <w:r>
        <w:rPr>
          <w:rFonts w:ascii="仿宋_GB2312" w:eastAsia="仿宋_GB2312" w:hint="eastAsia"/>
          <w:sz w:val="28"/>
          <w:szCs w:val="28"/>
        </w:rPr>
        <w:t>.00元减少</w:t>
      </w:r>
      <w:r>
        <w:rPr>
          <w:rFonts w:ascii="仿宋_GB2312" w:eastAsia="仿宋_GB2312"/>
          <w:sz w:val="28"/>
          <w:szCs w:val="28"/>
        </w:rPr>
        <w:t>435</w:t>
      </w:r>
      <w:r>
        <w:rPr>
          <w:rFonts w:ascii="仿宋_GB2312" w:eastAsia="仿宋_GB2312" w:hint="eastAsia"/>
          <w:sz w:val="28"/>
          <w:szCs w:val="28"/>
        </w:rPr>
        <w:t>.00元。主要原因：</w:t>
      </w:r>
      <w:r>
        <w:rPr>
          <w:rFonts w:ascii="仿宋_GB2312" w:eastAsia="仿宋_GB2312" w:hAnsi="Calibri" w:hint="eastAsia"/>
          <w:color w:val="000000"/>
          <w:sz w:val="28"/>
          <w:szCs w:val="28"/>
        </w:rPr>
        <w:t>本年无此项支出</w:t>
      </w:r>
      <w:r>
        <w:rPr>
          <w:rFonts w:ascii="仿宋_GB2312" w:eastAsia="仿宋_GB2312" w:hint="eastAsia"/>
          <w:sz w:val="28"/>
          <w:szCs w:val="28"/>
        </w:rPr>
        <w:t>。</w:t>
      </w:r>
    </w:p>
    <w:p w:rsidR="008709DD" w:rsidRDefault="00E4187B">
      <w:pPr>
        <w:spacing w:line="560" w:lineRule="exact"/>
        <w:ind w:firstLineChars="200" w:firstLine="560"/>
        <w:rPr>
          <w:rFonts w:ascii="仿宋_GB2312" w:eastAsia="仿宋_GB2312"/>
          <w:sz w:val="28"/>
          <w:szCs w:val="28"/>
        </w:rPr>
      </w:pPr>
      <w:r>
        <w:rPr>
          <w:rFonts w:ascii="仿宋_GB2312" w:eastAsia="仿宋_GB2312" w:hint="eastAsia"/>
          <w:sz w:val="28"/>
          <w:szCs w:val="28"/>
        </w:rPr>
        <w:t>3.公务用车购置及运行维护费。2025年度决算数</w:t>
      </w:r>
      <w:r>
        <w:rPr>
          <w:rFonts w:ascii="仿宋_GB2312" w:eastAsia="仿宋_GB2312"/>
          <w:sz w:val="28"/>
          <w:szCs w:val="28"/>
        </w:rPr>
        <w:t>13</w:t>
      </w:r>
      <w:r>
        <w:rPr>
          <w:rFonts w:ascii="仿宋_GB2312" w:eastAsia="仿宋_GB2312" w:hAnsi="Calibri" w:cs="仿宋_GB2312" w:hint="eastAsia"/>
          <w:sz w:val="28"/>
          <w:szCs w:val="28"/>
        </w:rPr>
        <w:t>,</w:t>
      </w:r>
      <w:r>
        <w:rPr>
          <w:rFonts w:ascii="仿宋_GB2312" w:eastAsia="仿宋_GB2312"/>
          <w:sz w:val="28"/>
          <w:szCs w:val="28"/>
        </w:rPr>
        <w:t>137.85</w:t>
      </w:r>
      <w:r>
        <w:rPr>
          <w:rFonts w:ascii="仿宋_GB2312" w:eastAsia="仿宋_GB2312" w:hint="eastAsia"/>
          <w:sz w:val="28"/>
          <w:szCs w:val="28"/>
        </w:rPr>
        <w:t>元，比2025年度年初预算数</w:t>
      </w:r>
      <w:r>
        <w:rPr>
          <w:rFonts w:ascii="仿宋_GB2312" w:eastAsia="仿宋_GB2312"/>
          <w:sz w:val="28"/>
          <w:szCs w:val="28"/>
        </w:rPr>
        <w:t>18</w:t>
      </w:r>
      <w:r>
        <w:rPr>
          <w:rFonts w:ascii="仿宋_GB2312" w:eastAsia="仿宋_GB2312" w:hAnsi="Calibri" w:cs="仿宋_GB2312" w:hint="eastAsia"/>
          <w:sz w:val="28"/>
          <w:szCs w:val="28"/>
        </w:rPr>
        <w:t>,</w:t>
      </w:r>
      <w:r>
        <w:rPr>
          <w:rFonts w:ascii="仿宋_GB2312" w:eastAsia="仿宋_GB2312"/>
          <w:sz w:val="28"/>
          <w:szCs w:val="28"/>
        </w:rPr>
        <w:t>000</w:t>
      </w:r>
      <w:r>
        <w:rPr>
          <w:rFonts w:ascii="仿宋_GB2312" w:eastAsia="仿宋_GB2312" w:hint="eastAsia"/>
          <w:sz w:val="28"/>
          <w:szCs w:val="28"/>
        </w:rPr>
        <w:t>.00元减少</w:t>
      </w:r>
      <w:r>
        <w:rPr>
          <w:rFonts w:ascii="仿宋_GB2312" w:eastAsia="仿宋_GB2312"/>
          <w:sz w:val="28"/>
          <w:szCs w:val="28"/>
        </w:rPr>
        <w:t>4</w:t>
      </w:r>
      <w:r>
        <w:rPr>
          <w:rFonts w:ascii="仿宋_GB2312" w:eastAsia="仿宋_GB2312" w:hAnsi="Calibri" w:cs="仿宋_GB2312" w:hint="eastAsia"/>
          <w:sz w:val="28"/>
          <w:szCs w:val="28"/>
        </w:rPr>
        <w:t>,</w:t>
      </w:r>
      <w:r>
        <w:rPr>
          <w:rFonts w:ascii="仿宋_GB2312" w:eastAsia="仿宋_GB2312"/>
          <w:sz w:val="28"/>
          <w:szCs w:val="28"/>
        </w:rPr>
        <w:t>862.15</w:t>
      </w:r>
      <w:r>
        <w:rPr>
          <w:rFonts w:ascii="仿宋_GB2312" w:eastAsia="仿宋_GB2312" w:hint="eastAsia"/>
          <w:sz w:val="28"/>
          <w:szCs w:val="28"/>
        </w:rPr>
        <w:t>元。其中，公务用车购置费2025年度决算数0元，主要原因：</w:t>
      </w:r>
      <w:r>
        <w:rPr>
          <w:rFonts w:ascii="仿宋_GB2312" w:eastAsia="仿宋_GB2312" w:hAnsi="Calibri" w:hint="eastAsia"/>
          <w:sz w:val="28"/>
          <w:szCs w:val="28"/>
        </w:rPr>
        <w:t>本年无此项预算</w:t>
      </w:r>
      <w:r>
        <w:rPr>
          <w:rFonts w:ascii="仿宋_GB2312" w:eastAsia="仿宋_GB2312" w:hint="eastAsia"/>
          <w:sz w:val="28"/>
          <w:szCs w:val="28"/>
        </w:rPr>
        <w:t>，2025年度购置（更新）0辆。公务用车运行维护费2025年度决算数13</w:t>
      </w:r>
      <w:r>
        <w:rPr>
          <w:rFonts w:ascii="仿宋_GB2312" w:eastAsia="仿宋_GB2312" w:hAnsi="Calibri" w:cs="仿宋_GB2312" w:hint="eastAsia"/>
          <w:sz w:val="28"/>
          <w:szCs w:val="28"/>
        </w:rPr>
        <w:t>,</w:t>
      </w:r>
      <w:r>
        <w:rPr>
          <w:rFonts w:ascii="仿宋_GB2312" w:eastAsia="仿宋_GB2312" w:hint="eastAsia"/>
          <w:sz w:val="28"/>
          <w:szCs w:val="28"/>
        </w:rPr>
        <w:t>137.85元，主要原因：</w:t>
      </w:r>
      <w:r>
        <w:rPr>
          <w:rFonts w:ascii="仿宋_GB2312" w:eastAsia="仿宋_GB2312" w:hAnsi="Calibri" w:cs="仿宋_GB2312" w:hint="eastAsia"/>
          <w:color w:val="000000"/>
          <w:sz w:val="28"/>
          <w:szCs w:val="28"/>
        </w:rPr>
        <w:t>本年只发生公务用车运行维护费，未购置公务用车</w:t>
      </w:r>
      <w:r>
        <w:rPr>
          <w:rFonts w:ascii="仿宋_GB2312" w:eastAsia="仿宋_GB2312" w:hint="eastAsia"/>
          <w:sz w:val="28"/>
          <w:szCs w:val="28"/>
        </w:rPr>
        <w:t>。2025年度公务用车保有量</w:t>
      </w:r>
      <w:r>
        <w:rPr>
          <w:rFonts w:ascii="仿宋_GB2312" w:eastAsia="仿宋_GB2312"/>
          <w:sz w:val="28"/>
          <w:szCs w:val="28"/>
        </w:rPr>
        <w:t>1</w:t>
      </w:r>
      <w:r>
        <w:rPr>
          <w:rFonts w:ascii="仿宋_GB2312" w:eastAsia="仿宋_GB2312" w:hint="eastAsia"/>
          <w:sz w:val="28"/>
          <w:szCs w:val="28"/>
        </w:rPr>
        <w:t>辆。</w:t>
      </w:r>
    </w:p>
    <w:p w:rsidR="008709DD" w:rsidRDefault="00E4187B">
      <w:pPr>
        <w:tabs>
          <w:tab w:val="center" w:pos="6979"/>
        </w:tabs>
        <w:ind w:firstLineChars="198" w:firstLine="554"/>
        <w:rPr>
          <w:rFonts w:ascii="黑体" w:eastAsia="黑体"/>
          <w:sz w:val="28"/>
          <w:szCs w:val="28"/>
        </w:rPr>
      </w:pPr>
      <w:r>
        <w:rPr>
          <w:rFonts w:ascii="黑体" w:eastAsia="黑体" w:hint="eastAsia"/>
          <w:sz w:val="28"/>
          <w:szCs w:val="28"/>
        </w:rPr>
        <w:t>二、机关运行经费支出情况</w:t>
      </w:r>
    </w:p>
    <w:p w:rsidR="008709DD" w:rsidRDefault="00E4187B" w:rsidP="00A62EF6">
      <w:pPr>
        <w:ind w:firstLineChars="192" w:firstLine="538"/>
        <w:rPr>
          <w:rFonts w:ascii="仿宋_GB2312" w:eastAsia="仿宋_GB2312"/>
          <w:sz w:val="28"/>
          <w:szCs w:val="28"/>
        </w:rPr>
      </w:pPr>
      <w:r>
        <w:rPr>
          <w:rFonts w:ascii="仿宋_GB2312" w:eastAsia="仿宋_GB2312" w:hint="eastAsia"/>
          <w:sz w:val="28"/>
          <w:szCs w:val="28"/>
        </w:rPr>
        <w:t>本部门2025年无机关运行经费</w:t>
      </w:r>
    </w:p>
    <w:p w:rsidR="008709DD" w:rsidRDefault="00E4187B">
      <w:pPr>
        <w:ind w:left="540"/>
        <w:rPr>
          <w:rFonts w:ascii="黑体" w:eastAsia="黑体"/>
          <w:sz w:val="28"/>
          <w:szCs w:val="28"/>
        </w:rPr>
      </w:pPr>
      <w:r>
        <w:rPr>
          <w:rFonts w:ascii="黑体" w:eastAsia="黑体" w:hint="eastAsia"/>
          <w:sz w:val="28"/>
          <w:szCs w:val="28"/>
        </w:rPr>
        <w:t>三、政府采购支出情况</w:t>
      </w:r>
    </w:p>
    <w:p w:rsidR="008709DD" w:rsidRDefault="00E4187B" w:rsidP="00A62EF6">
      <w:pPr>
        <w:ind w:firstLineChars="192" w:firstLine="538"/>
        <w:rPr>
          <w:rFonts w:ascii="仿宋_GB2312" w:eastAsia="仿宋_GB2312"/>
          <w:sz w:val="28"/>
          <w:szCs w:val="28"/>
        </w:rPr>
      </w:pPr>
      <w:r>
        <w:rPr>
          <w:rFonts w:ascii="仿宋_GB2312" w:eastAsia="仿宋_GB2312" w:hint="eastAsia"/>
          <w:sz w:val="28"/>
          <w:szCs w:val="28"/>
        </w:rPr>
        <w:t>2025年度政府采购支出总额</w:t>
      </w:r>
      <w:r>
        <w:rPr>
          <w:rFonts w:ascii="仿宋_GB2312" w:eastAsia="仿宋_GB2312"/>
          <w:sz w:val="28"/>
          <w:szCs w:val="28"/>
        </w:rPr>
        <w:t>65</w:t>
      </w:r>
      <w:r>
        <w:rPr>
          <w:rFonts w:ascii="仿宋_GB2312" w:eastAsia="仿宋_GB2312" w:hAnsi="Calibri" w:cs="仿宋_GB2312" w:hint="eastAsia"/>
          <w:sz w:val="28"/>
          <w:szCs w:val="28"/>
        </w:rPr>
        <w:t>,</w:t>
      </w:r>
      <w:r>
        <w:rPr>
          <w:rFonts w:ascii="仿宋_GB2312" w:eastAsia="仿宋_GB2312"/>
          <w:sz w:val="28"/>
          <w:szCs w:val="28"/>
        </w:rPr>
        <w:t>533.14</w:t>
      </w:r>
      <w:r>
        <w:rPr>
          <w:rFonts w:ascii="仿宋_GB2312" w:eastAsia="仿宋_GB2312" w:hint="eastAsia"/>
          <w:sz w:val="28"/>
          <w:szCs w:val="28"/>
        </w:rPr>
        <w:t>元，其中：政府采购货物支出</w:t>
      </w:r>
      <w:r>
        <w:rPr>
          <w:rFonts w:ascii="仿宋_GB2312" w:eastAsia="仿宋_GB2312"/>
          <w:sz w:val="28"/>
          <w:szCs w:val="28"/>
        </w:rPr>
        <w:t>0</w:t>
      </w:r>
      <w:r>
        <w:rPr>
          <w:rFonts w:ascii="仿宋_GB2312" w:eastAsia="仿宋_GB2312" w:hint="eastAsia"/>
          <w:sz w:val="28"/>
          <w:szCs w:val="28"/>
        </w:rPr>
        <w:t>元，政府采购工程支出</w:t>
      </w:r>
      <w:r>
        <w:rPr>
          <w:rFonts w:ascii="仿宋_GB2312" w:eastAsia="仿宋_GB2312"/>
          <w:sz w:val="28"/>
          <w:szCs w:val="28"/>
        </w:rPr>
        <w:t>0</w:t>
      </w:r>
      <w:r>
        <w:rPr>
          <w:rFonts w:ascii="仿宋_GB2312" w:eastAsia="仿宋_GB2312" w:hint="eastAsia"/>
          <w:sz w:val="28"/>
          <w:szCs w:val="28"/>
        </w:rPr>
        <w:t>元，政府采购服务支出</w:t>
      </w:r>
      <w:r>
        <w:rPr>
          <w:rFonts w:ascii="仿宋_GB2312" w:eastAsia="仿宋_GB2312"/>
          <w:sz w:val="28"/>
          <w:szCs w:val="28"/>
        </w:rPr>
        <w:t>65</w:t>
      </w:r>
      <w:r>
        <w:rPr>
          <w:rFonts w:ascii="仿宋_GB2312" w:eastAsia="仿宋_GB2312" w:hAnsi="Calibri" w:cs="仿宋_GB2312" w:hint="eastAsia"/>
          <w:sz w:val="28"/>
          <w:szCs w:val="28"/>
        </w:rPr>
        <w:t>,</w:t>
      </w:r>
      <w:r>
        <w:rPr>
          <w:rFonts w:ascii="仿宋_GB2312" w:eastAsia="仿宋_GB2312"/>
          <w:sz w:val="28"/>
          <w:szCs w:val="28"/>
        </w:rPr>
        <w:t>533.14</w:t>
      </w:r>
      <w:r>
        <w:rPr>
          <w:rFonts w:ascii="仿宋_GB2312" w:eastAsia="仿宋_GB2312" w:hint="eastAsia"/>
          <w:sz w:val="28"/>
          <w:szCs w:val="28"/>
        </w:rPr>
        <w:t>元。授予中小企业合同金额</w:t>
      </w:r>
      <w:r>
        <w:rPr>
          <w:rFonts w:ascii="仿宋_GB2312" w:eastAsia="仿宋_GB2312"/>
          <w:sz w:val="28"/>
          <w:szCs w:val="28"/>
        </w:rPr>
        <w:t>58</w:t>
      </w:r>
      <w:r>
        <w:rPr>
          <w:rFonts w:ascii="仿宋_GB2312" w:eastAsia="仿宋_GB2312" w:hAnsi="Calibri" w:cs="仿宋_GB2312" w:hint="eastAsia"/>
          <w:sz w:val="28"/>
          <w:szCs w:val="28"/>
        </w:rPr>
        <w:t>,</w:t>
      </w:r>
      <w:r>
        <w:rPr>
          <w:rFonts w:ascii="仿宋_GB2312" w:eastAsia="仿宋_GB2312"/>
          <w:sz w:val="28"/>
          <w:szCs w:val="28"/>
        </w:rPr>
        <w:t>770.81</w:t>
      </w:r>
      <w:r>
        <w:rPr>
          <w:rFonts w:ascii="仿宋_GB2312" w:eastAsia="仿宋_GB2312" w:hint="eastAsia"/>
          <w:sz w:val="28"/>
          <w:szCs w:val="28"/>
        </w:rPr>
        <w:t>元，占政府采购支出总额的89.7%，其中：授予小微企业合同金额</w:t>
      </w:r>
      <w:r>
        <w:rPr>
          <w:rFonts w:ascii="仿宋_GB2312" w:eastAsia="仿宋_GB2312"/>
          <w:sz w:val="28"/>
          <w:szCs w:val="28"/>
        </w:rPr>
        <w:t>58</w:t>
      </w:r>
      <w:r>
        <w:rPr>
          <w:rFonts w:ascii="仿宋_GB2312" w:eastAsia="仿宋_GB2312" w:hAnsi="Calibri" w:cs="仿宋_GB2312" w:hint="eastAsia"/>
          <w:sz w:val="28"/>
          <w:szCs w:val="28"/>
        </w:rPr>
        <w:t>,</w:t>
      </w:r>
      <w:r>
        <w:rPr>
          <w:rFonts w:ascii="仿宋_GB2312" w:eastAsia="仿宋_GB2312"/>
          <w:sz w:val="28"/>
          <w:szCs w:val="28"/>
        </w:rPr>
        <w:t>770.81</w:t>
      </w:r>
      <w:r>
        <w:rPr>
          <w:rFonts w:ascii="仿宋_GB2312" w:eastAsia="仿宋_GB2312" w:hint="eastAsia"/>
          <w:sz w:val="28"/>
          <w:szCs w:val="28"/>
        </w:rPr>
        <w:t>元，占政府采购支出总额的</w:t>
      </w:r>
      <w:r>
        <w:rPr>
          <w:rFonts w:ascii="仿宋_GB2312" w:eastAsia="仿宋_GB2312"/>
          <w:sz w:val="28"/>
          <w:szCs w:val="28"/>
        </w:rPr>
        <w:t>89.</w:t>
      </w:r>
      <w:r>
        <w:rPr>
          <w:rFonts w:ascii="仿宋_GB2312" w:eastAsia="仿宋_GB2312" w:hint="eastAsia"/>
          <w:sz w:val="28"/>
          <w:szCs w:val="28"/>
        </w:rPr>
        <w:t>7%。</w:t>
      </w:r>
    </w:p>
    <w:p w:rsidR="008709DD" w:rsidRDefault="00E4187B">
      <w:pPr>
        <w:ind w:firstLineChars="200" w:firstLine="560"/>
        <w:rPr>
          <w:rFonts w:ascii="黑体" w:eastAsia="黑体"/>
          <w:sz w:val="28"/>
          <w:szCs w:val="28"/>
          <w:highlight w:val="yellow"/>
        </w:rPr>
      </w:pPr>
      <w:r>
        <w:rPr>
          <w:rFonts w:ascii="黑体" w:eastAsia="黑体" w:hint="eastAsia"/>
          <w:sz w:val="28"/>
          <w:szCs w:val="28"/>
        </w:rPr>
        <w:t>四、国有资产占用情况</w:t>
      </w:r>
    </w:p>
    <w:p w:rsidR="008709DD" w:rsidRDefault="00E4187B">
      <w:pPr>
        <w:ind w:firstLineChars="200" w:firstLine="560"/>
        <w:rPr>
          <w:rFonts w:ascii="仿宋_GB2312" w:eastAsia="仿宋_GB2312"/>
          <w:sz w:val="32"/>
          <w:szCs w:val="32"/>
        </w:rPr>
      </w:pPr>
      <w:r>
        <w:rPr>
          <w:rFonts w:ascii="仿宋_GB2312" w:eastAsia="仿宋_GB2312" w:hint="eastAsia"/>
          <w:sz w:val="28"/>
          <w:szCs w:val="28"/>
        </w:rPr>
        <w:t>截至12月31日，北京市门头沟区科技开发服务中心共有车辆1台；单位价值100万元（含）以上的设备0台（套）。</w:t>
      </w:r>
    </w:p>
    <w:p w:rsidR="008709DD" w:rsidRDefault="00E4187B">
      <w:pPr>
        <w:ind w:firstLineChars="200" w:firstLine="560"/>
        <w:jc w:val="left"/>
        <w:rPr>
          <w:rFonts w:ascii="仿宋_GB2312" w:eastAsia="仿宋_GB2312"/>
          <w:color w:val="000000"/>
          <w:sz w:val="32"/>
          <w:szCs w:val="32"/>
        </w:rPr>
      </w:pPr>
      <w:r>
        <w:rPr>
          <w:rFonts w:ascii="黑体" w:eastAsia="黑体" w:hint="eastAsia"/>
          <w:sz w:val="28"/>
          <w:szCs w:val="28"/>
        </w:rPr>
        <w:lastRenderedPageBreak/>
        <w:t>五、</w:t>
      </w:r>
      <w:r>
        <w:rPr>
          <w:rFonts w:ascii="黑体" w:eastAsia="黑体"/>
          <w:sz w:val="28"/>
          <w:szCs w:val="28"/>
        </w:rPr>
        <w:t>专业名词解释</w:t>
      </w:r>
    </w:p>
    <w:p w:rsidR="008709DD" w:rsidRDefault="00E4187B">
      <w:pPr>
        <w:ind w:firstLineChars="200" w:firstLine="560"/>
        <w:rPr>
          <w:rFonts w:ascii="仿宋_GB2312" w:eastAsia="仿宋_GB2312"/>
          <w:sz w:val="28"/>
          <w:szCs w:val="28"/>
        </w:rPr>
      </w:pPr>
      <w:r>
        <w:rPr>
          <w:rFonts w:ascii="仿宋_GB2312" w:eastAsia="仿宋_GB2312" w:hint="eastAsia"/>
          <w:sz w:val="28"/>
          <w:szCs w:val="28"/>
        </w:rPr>
        <w:t>1.基本支出：指为保障机构正常运转、完成日常工作任务而发生的人员支出和公用支出。</w:t>
      </w:r>
    </w:p>
    <w:p w:rsidR="008709DD" w:rsidRDefault="00E4187B">
      <w:pPr>
        <w:ind w:firstLineChars="200" w:firstLine="560"/>
        <w:rPr>
          <w:rFonts w:ascii="仿宋_GB2312" w:eastAsia="仿宋_GB2312"/>
          <w:sz w:val="28"/>
          <w:szCs w:val="28"/>
        </w:rPr>
      </w:pPr>
      <w:r>
        <w:rPr>
          <w:rFonts w:ascii="仿宋_GB2312" w:eastAsia="仿宋_GB2312" w:hint="eastAsia"/>
          <w:sz w:val="28"/>
          <w:szCs w:val="28"/>
        </w:rPr>
        <w:t>2.项目支出：指在基本支出之外为完成特定行政任务或事业发展目标所发生的支出。</w:t>
      </w:r>
    </w:p>
    <w:p w:rsidR="008709DD" w:rsidRDefault="00E4187B">
      <w:pPr>
        <w:ind w:firstLineChars="200" w:firstLine="560"/>
        <w:rPr>
          <w:rFonts w:ascii="仿宋_GB2312" w:eastAsia="仿宋_GB2312"/>
          <w:sz w:val="28"/>
          <w:szCs w:val="28"/>
        </w:rPr>
      </w:pPr>
      <w:r>
        <w:rPr>
          <w:rFonts w:ascii="仿宋_GB2312" w:eastAsia="仿宋_GB2312" w:hint="eastAsia"/>
          <w:sz w:val="28"/>
          <w:szCs w:val="28"/>
        </w:rPr>
        <w:t>3.“三公”经费：是指单位通过财政拨款资金安排的因公出国（境）费、公务用车购置及运行费和公务接待费。</w:t>
      </w:r>
    </w:p>
    <w:p w:rsidR="008709DD" w:rsidRDefault="00E4187B">
      <w:pPr>
        <w:ind w:firstLineChars="200" w:firstLine="560"/>
      </w:pPr>
      <w:r>
        <w:rPr>
          <w:rFonts w:ascii="仿宋_GB2312" w:eastAsia="仿宋_GB2312" w:hint="eastAsia"/>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rsidR="008709DD" w:rsidRDefault="00E4187B">
      <w:pPr>
        <w:ind w:firstLineChars="200" w:firstLine="560"/>
        <w:rPr>
          <w:rFonts w:ascii="仿宋_GB2312" w:eastAsia="仿宋_GB2312"/>
          <w:sz w:val="28"/>
          <w:szCs w:val="28"/>
        </w:rPr>
      </w:pPr>
      <w:r>
        <w:rPr>
          <w:rFonts w:ascii="仿宋_GB2312" w:eastAsia="仿宋_GB2312" w:hint="eastAsia"/>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rsidR="008709DD" w:rsidRDefault="00E4187B">
      <w:pPr>
        <w:ind w:firstLineChars="200" w:firstLine="560"/>
        <w:rPr>
          <w:rFonts w:ascii="仿宋_GB2312" w:eastAsia="仿宋_GB2312" w:cs="仿宋_GB2312"/>
          <w:sz w:val="28"/>
          <w:szCs w:val="28"/>
        </w:rPr>
      </w:pPr>
      <w:bookmarkStart w:id="5" w:name="OLE_LINK3"/>
      <w:bookmarkStart w:id="6" w:name="OLE_LINK4"/>
      <w:bookmarkStart w:id="7" w:name="OLE_LINK9"/>
      <w:r>
        <w:rPr>
          <w:rFonts w:ascii="仿宋_GB2312" w:eastAsia="仿宋_GB2312" w:hint="eastAsia"/>
          <w:sz w:val="28"/>
          <w:szCs w:val="28"/>
        </w:rPr>
        <w:t>6.</w:t>
      </w:r>
      <w:r>
        <w:rPr>
          <w:rFonts w:ascii="仿宋_GB2312" w:eastAsia="仿宋_GB2312" w:cs="仿宋_GB2312" w:hint="eastAsia"/>
          <w:sz w:val="28"/>
          <w:szCs w:val="28"/>
        </w:rPr>
        <w:t>科技专项经费支出：指用于科学技术管理事务方面的支出、科学技术普及方面支出、应用技术研究与开发支出以及其他科技方面的支出。</w:t>
      </w:r>
    </w:p>
    <w:bookmarkEnd w:id="5"/>
    <w:bookmarkEnd w:id="6"/>
    <w:bookmarkEnd w:id="7"/>
    <w:p w:rsidR="008709DD" w:rsidRDefault="008709DD">
      <w:pPr>
        <w:pStyle w:val="2"/>
      </w:pPr>
    </w:p>
    <w:p w:rsidR="008709DD" w:rsidRDefault="008709DD">
      <w:pPr>
        <w:rPr>
          <w:rFonts w:ascii="黑体" w:eastAsia="黑体"/>
          <w:sz w:val="32"/>
          <w:szCs w:val="32"/>
        </w:rPr>
      </w:pPr>
    </w:p>
    <w:p w:rsidR="008709DD" w:rsidRDefault="008709DD">
      <w:pPr>
        <w:tabs>
          <w:tab w:val="center" w:pos="6979"/>
        </w:tabs>
        <w:spacing w:line="380" w:lineRule="exact"/>
        <w:jc w:val="center"/>
        <w:rPr>
          <w:rFonts w:ascii="宋体" w:hAnsi="宋体" w:cs="宋体"/>
          <w:b/>
          <w:bCs/>
          <w:kern w:val="0"/>
          <w:sz w:val="28"/>
          <w:szCs w:val="28"/>
        </w:rPr>
      </w:pPr>
    </w:p>
    <w:p w:rsidR="008709DD" w:rsidRDefault="008709DD">
      <w:pPr>
        <w:tabs>
          <w:tab w:val="center" w:pos="6979"/>
        </w:tabs>
        <w:spacing w:line="380" w:lineRule="exact"/>
        <w:jc w:val="center"/>
        <w:rPr>
          <w:rFonts w:ascii="宋体" w:hAnsi="宋体" w:cs="宋体"/>
          <w:b/>
          <w:bCs/>
          <w:kern w:val="0"/>
          <w:sz w:val="28"/>
          <w:szCs w:val="28"/>
        </w:rPr>
      </w:pPr>
    </w:p>
    <w:p w:rsidR="008709DD" w:rsidRDefault="008709DD">
      <w:pPr>
        <w:rPr>
          <w:rFonts w:ascii="黑体" w:eastAsia="黑体"/>
          <w:sz w:val="32"/>
          <w:szCs w:val="32"/>
        </w:rPr>
      </w:pPr>
    </w:p>
    <w:p w:rsidR="008709DD" w:rsidRDefault="008709DD">
      <w:pPr>
        <w:ind w:firstLineChars="200" w:firstLine="640"/>
        <w:jc w:val="center"/>
        <w:rPr>
          <w:rFonts w:ascii="黑体" w:eastAsia="黑体"/>
          <w:sz w:val="32"/>
          <w:szCs w:val="32"/>
        </w:rPr>
      </w:pPr>
    </w:p>
    <w:p w:rsidR="008709DD" w:rsidRDefault="00E4187B" w:rsidP="00A62EF6">
      <w:pPr>
        <w:tabs>
          <w:tab w:val="center" w:pos="6979"/>
        </w:tabs>
        <w:spacing w:line="580" w:lineRule="exact"/>
        <w:ind w:firstLineChars="200" w:firstLine="723"/>
        <w:jc w:val="center"/>
        <w:rPr>
          <w:rFonts w:asciiTheme="minorEastAsia" w:eastAsiaTheme="minorEastAsia" w:hAnsiTheme="minorEastAsia"/>
          <w:b/>
          <w:sz w:val="36"/>
          <w:szCs w:val="36"/>
        </w:rPr>
      </w:pPr>
      <w:r>
        <w:rPr>
          <w:rFonts w:asciiTheme="minorEastAsia" w:eastAsiaTheme="minorEastAsia" w:hAnsiTheme="minorEastAsia" w:hint="eastAsia"/>
          <w:b/>
          <w:sz w:val="36"/>
          <w:szCs w:val="36"/>
        </w:rPr>
        <w:t>第四部分2025年度部门绩效评价情况</w:t>
      </w:r>
    </w:p>
    <w:p w:rsidR="008709DD" w:rsidRDefault="008709DD">
      <w:pPr>
        <w:tabs>
          <w:tab w:val="center" w:pos="6979"/>
        </w:tabs>
        <w:spacing w:line="580" w:lineRule="exact"/>
        <w:ind w:firstLineChars="200" w:firstLine="560"/>
        <w:jc w:val="center"/>
        <w:rPr>
          <w:rFonts w:ascii="华文中宋" w:eastAsia="华文中宋" w:hAnsi="华文中宋"/>
          <w:sz w:val="28"/>
          <w:szCs w:val="28"/>
        </w:rPr>
      </w:pPr>
    </w:p>
    <w:p w:rsidR="008709DD" w:rsidRDefault="00E4187B">
      <w:pPr>
        <w:spacing w:line="580" w:lineRule="exact"/>
        <w:ind w:firstLine="640"/>
        <w:rPr>
          <w:rFonts w:ascii="楷体_GB2312" w:eastAsia="楷体_GB2312" w:hAnsi="仿宋"/>
          <w:b/>
          <w:sz w:val="32"/>
          <w:szCs w:val="32"/>
        </w:rPr>
      </w:pPr>
      <w:r>
        <w:rPr>
          <w:rFonts w:ascii="楷体_GB2312" w:eastAsia="楷体_GB2312" w:hAnsi="仿宋" w:hint="eastAsia"/>
          <w:b/>
          <w:sz w:val="32"/>
          <w:szCs w:val="32"/>
        </w:rPr>
        <w:t>一</w:t>
      </w:r>
      <w:r w:rsidR="00A62EF6">
        <w:rPr>
          <w:rFonts w:ascii="楷体_GB2312" w:eastAsia="楷体_GB2312" w:hAnsi="仿宋" w:hint="eastAsia"/>
          <w:b/>
          <w:sz w:val="32"/>
          <w:szCs w:val="32"/>
        </w:rPr>
        <w:t>、</w:t>
      </w:r>
      <w:r>
        <w:rPr>
          <w:rFonts w:ascii="楷体_GB2312" w:eastAsia="楷体_GB2312" w:hAnsi="仿宋" w:hint="eastAsia"/>
          <w:b/>
          <w:sz w:val="32"/>
          <w:szCs w:val="32"/>
        </w:rPr>
        <w:t>项目支出绩效自评表</w:t>
      </w:r>
    </w:p>
    <w:p w:rsidR="008709DD" w:rsidRDefault="00E4187B">
      <w:pPr>
        <w:spacing w:line="580" w:lineRule="exact"/>
        <w:ind w:firstLineChars="250" w:firstLine="800"/>
        <w:rPr>
          <w:rFonts w:ascii="仿宋_GB2312" w:eastAsia="仿宋_GB2312"/>
          <w:sz w:val="32"/>
          <w:szCs w:val="32"/>
        </w:rPr>
      </w:pPr>
      <w:r>
        <w:rPr>
          <w:rFonts w:ascii="仿宋_GB2312" w:eastAsia="仿宋_GB2312" w:hint="eastAsia"/>
          <w:sz w:val="32"/>
          <w:szCs w:val="32"/>
        </w:rPr>
        <w:t>附件：1.项目支出绩效自评表</w:t>
      </w:r>
    </w:p>
    <w:sectPr w:rsidR="008709DD" w:rsidSect="008709DD">
      <w:footerReference w:type="even" r:id="rId11"/>
      <w:footerReference w:type="default" r:id="rId12"/>
      <w:pgSz w:w="16838" w:h="11906" w:orient="landscape"/>
      <w:pgMar w:top="1134" w:right="1134" w:bottom="1134" w:left="1134" w:header="851" w:footer="992" w:gutter="0"/>
      <w:cols w:space="720"/>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3E1B" w:rsidRDefault="00ED3E1B" w:rsidP="008709DD">
      <w:r>
        <w:separator/>
      </w:r>
    </w:p>
  </w:endnote>
  <w:endnote w:type="continuationSeparator" w:id="0">
    <w:p w:rsidR="00ED3E1B" w:rsidRDefault="00ED3E1B" w:rsidP="008709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楷体_GB2312">
    <w:altName w:val="黑体"/>
    <w:charset w:val="86"/>
    <w:family w:val="modern"/>
    <w:pitch w:val="default"/>
    <w:sig w:usb0="00000000" w:usb1="080E0000" w:usb2="00000000" w:usb3="00000000" w:csb0="00040000" w:csb1="00000000"/>
  </w:font>
  <w:font w:name="Droid Sans">
    <w:altName w:val="宋体"/>
    <w:charset w:val="00"/>
    <w:family w:val="auto"/>
    <w:pitch w:val="default"/>
    <w:sig w:usb0="00000000" w:usb1="00000000" w:usb2="00000000" w:usb3="00000000" w:csb0="00040001" w:csb1="00000000"/>
  </w:font>
  <w:font w:name="华文中宋">
    <w:altName w:val="微软雅黑"/>
    <w:charset w:val="86"/>
    <w:family w:val="auto"/>
    <w:pitch w:val="variable"/>
    <w:sig w:usb0="00000000" w:usb1="080F0000" w:usb2="00000010" w:usb3="00000000" w:csb0="0004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DD" w:rsidRDefault="00DA0B55">
    <w:pPr>
      <w:pStyle w:val="a7"/>
      <w:framePr w:wrap="around" w:vAnchor="text" w:hAnchor="margin" w:xAlign="center" w:y="1"/>
      <w:rPr>
        <w:rStyle w:val="ab"/>
      </w:rPr>
    </w:pPr>
    <w:r>
      <w:fldChar w:fldCharType="begin"/>
    </w:r>
    <w:r w:rsidR="00E4187B">
      <w:rPr>
        <w:rStyle w:val="ab"/>
      </w:rPr>
      <w:instrText xml:space="preserve">PAGE  </w:instrText>
    </w:r>
    <w:r>
      <w:fldChar w:fldCharType="separate"/>
    </w:r>
    <w:r w:rsidR="00F33F5C">
      <w:rPr>
        <w:rStyle w:val="ab"/>
        <w:noProof/>
      </w:rPr>
      <w:t>3</w:t>
    </w:r>
    <w:r>
      <w:fldChar w:fldCharType="end"/>
    </w:r>
  </w:p>
  <w:p w:rsidR="008709DD" w:rsidRDefault="008709DD">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DD" w:rsidRDefault="00DA0B55">
    <w:pPr>
      <w:pStyle w:val="a7"/>
      <w:framePr w:wrap="around" w:vAnchor="text" w:hAnchor="margin" w:xAlign="center" w:y="1"/>
      <w:rPr>
        <w:rStyle w:val="ab"/>
      </w:rPr>
    </w:pPr>
    <w:r>
      <w:fldChar w:fldCharType="begin"/>
    </w:r>
    <w:r w:rsidR="00E4187B">
      <w:rPr>
        <w:rStyle w:val="ab"/>
      </w:rPr>
      <w:instrText xml:space="preserve">PAGE  </w:instrText>
    </w:r>
    <w:r>
      <w:fldChar w:fldCharType="separate"/>
    </w:r>
    <w:r w:rsidR="00E4187B">
      <w:rPr>
        <w:rStyle w:val="ab"/>
      </w:rPr>
      <w:t>15</w:t>
    </w:r>
    <w:r>
      <w:fldChar w:fldCharType="end"/>
    </w:r>
  </w:p>
  <w:p w:rsidR="008709DD" w:rsidRDefault="008709DD">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DD" w:rsidRDefault="00DA0B55">
    <w:pPr>
      <w:pStyle w:val="a7"/>
      <w:framePr w:wrap="around" w:vAnchor="text" w:hAnchor="margin" w:xAlign="center" w:y="1"/>
      <w:rPr>
        <w:rStyle w:val="ab"/>
      </w:rPr>
    </w:pPr>
    <w:r>
      <w:fldChar w:fldCharType="begin"/>
    </w:r>
    <w:r w:rsidR="00E4187B">
      <w:rPr>
        <w:rStyle w:val="ab"/>
      </w:rPr>
      <w:instrText xml:space="preserve">PAGE  </w:instrText>
    </w:r>
    <w:r>
      <w:fldChar w:fldCharType="separate"/>
    </w:r>
    <w:r w:rsidR="00F33F5C">
      <w:rPr>
        <w:rStyle w:val="ab"/>
        <w:noProof/>
      </w:rPr>
      <w:t>6</w:t>
    </w:r>
    <w:r>
      <w:fldChar w:fldCharType="end"/>
    </w:r>
  </w:p>
  <w:p w:rsidR="008709DD" w:rsidRDefault="008709DD">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3E1B" w:rsidRDefault="00ED3E1B" w:rsidP="008709DD">
      <w:r>
        <w:separator/>
      </w:r>
    </w:p>
  </w:footnote>
  <w:footnote w:type="continuationSeparator" w:id="0">
    <w:p w:rsidR="00ED3E1B" w:rsidRDefault="00ED3E1B" w:rsidP="008709D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6F9D256"/>
    <w:multiLevelType w:val="singleLevel"/>
    <w:tmpl w:val="F6F9D256"/>
    <w:lvl w:ilvl="0">
      <w:start w:val="2"/>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stylePaneFormatFilter w:val="3F01"/>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WZmNWE4NzRhMTczNjJlZDE5ZTE5YTczN2QxMzcyMjAifQ=="/>
  </w:docVars>
  <w:rsids>
    <w:rsidRoot w:val="00100246"/>
    <w:rsid w:val="95F35EF6"/>
    <w:rsid w:val="9BFFD860"/>
    <w:rsid w:val="AC5F73DE"/>
    <w:rsid w:val="B5DDD2C8"/>
    <w:rsid w:val="B7DF0FA8"/>
    <w:rsid w:val="B9DFABD9"/>
    <w:rsid w:val="BC0D83FC"/>
    <w:rsid w:val="BF3BDEFB"/>
    <w:rsid w:val="C75F6086"/>
    <w:rsid w:val="C7F7ED2D"/>
    <w:rsid w:val="CFAF854E"/>
    <w:rsid w:val="D8D7928E"/>
    <w:rsid w:val="D8FE3136"/>
    <w:rsid w:val="DDDE60B7"/>
    <w:rsid w:val="DE9F6A22"/>
    <w:rsid w:val="DF4FCE6A"/>
    <w:rsid w:val="E4FED278"/>
    <w:rsid w:val="EDAA365C"/>
    <w:rsid w:val="EDADFC12"/>
    <w:rsid w:val="EEFD92D0"/>
    <w:rsid w:val="EFF241CD"/>
    <w:rsid w:val="F2FD229B"/>
    <w:rsid w:val="F7F709E9"/>
    <w:rsid w:val="F7FF3690"/>
    <w:rsid w:val="F9BD3900"/>
    <w:rsid w:val="FC8B9876"/>
    <w:rsid w:val="FEDFF218"/>
    <w:rsid w:val="FEDFFFFF"/>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09DD"/>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4B25"/>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2EF6"/>
    <w:rsid w:val="00A6350C"/>
    <w:rsid w:val="00A6370B"/>
    <w:rsid w:val="00A63A73"/>
    <w:rsid w:val="00A6655C"/>
    <w:rsid w:val="00A66CBB"/>
    <w:rsid w:val="00A6704E"/>
    <w:rsid w:val="00A67EA4"/>
    <w:rsid w:val="00A773FF"/>
    <w:rsid w:val="00A83AA1"/>
    <w:rsid w:val="00A906F4"/>
    <w:rsid w:val="00A9343A"/>
    <w:rsid w:val="00A95932"/>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0B55"/>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187B"/>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3E1B"/>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3F5C"/>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79004AC"/>
    <w:rsid w:val="0BA148CA"/>
    <w:rsid w:val="0C1165C4"/>
    <w:rsid w:val="0D6D544B"/>
    <w:rsid w:val="0DD136FE"/>
    <w:rsid w:val="0F8E2C57"/>
    <w:rsid w:val="1059665E"/>
    <w:rsid w:val="10AC13BA"/>
    <w:rsid w:val="11980797"/>
    <w:rsid w:val="145A6C1B"/>
    <w:rsid w:val="14B73493"/>
    <w:rsid w:val="167A2FF9"/>
    <w:rsid w:val="17E05399"/>
    <w:rsid w:val="18581C69"/>
    <w:rsid w:val="186D28E5"/>
    <w:rsid w:val="1AEC0734"/>
    <w:rsid w:val="1C203C3A"/>
    <w:rsid w:val="1DEF20B0"/>
    <w:rsid w:val="214243FA"/>
    <w:rsid w:val="21AD613C"/>
    <w:rsid w:val="22467189"/>
    <w:rsid w:val="257A14F5"/>
    <w:rsid w:val="27196C26"/>
    <w:rsid w:val="29EF086F"/>
    <w:rsid w:val="2A014A0F"/>
    <w:rsid w:val="2EFFE297"/>
    <w:rsid w:val="301437CA"/>
    <w:rsid w:val="32791381"/>
    <w:rsid w:val="349D1F0A"/>
    <w:rsid w:val="34DD0473"/>
    <w:rsid w:val="3C181CA7"/>
    <w:rsid w:val="3C684897"/>
    <w:rsid w:val="41C6204F"/>
    <w:rsid w:val="433E495C"/>
    <w:rsid w:val="489F2FD7"/>
    <w:rsid w:val="4AC27CB3"/>
    <w:rsid w:val="4BF72BEF"/>
    <w:rsid w:val="4FA90297"/>
    <w:rsid w:val="4FC41A43"/>
    <w:rsid w:val="51DB3C59"/>
    <w:rsid w:val="550C0952"/>
    <w:rsid w:val="55762E42"/>
    <w:rsid w:val="57A7B272"/>
    <w:rsid w:val="58470068"/>
    <w:rsid w:val="58747CAC"/>
    <w:rsid w:val="5A1720F9"/>
    <w:rsid w:val="5B9C37C2"/>
    <w:rsid w:val="5BA7C654"/>
    <w:rsid w:val="60A54109"/>
    <w:rsid w:val="61D01CDF"/>
    <w:rsid w:val="64C0607C"/>
    <w:rsid w:val="65756C86"/>
    <w:rsid w:val="674D385B"/>
    <w:rsid w:val="676F09E1"/>
    <w:rsid w:val="6E3FF100"/>
    <w:rsid w:val="71793A80"/>
    <w:rsid w:val="7357290B"/>
    <w:rsid w:val="798524E4"/>
    <w:rsid w:val="7A7F1C49"/>
    <w:rsid w:val="7B5B7AE6"/>
    <w:rsid w:val="7B7B6628"/>
    <w:rsid w:val="7BA7071E"/>
    <w:rsid w:val="7BDF6DA8"/>
    <w:rsid w:val="7BDF7589"/>
    <w:rsid w:val="7C7EDC1A"/>
    <w:rsid w:val="7CCED98D"/>
    <w:rsid w:val="7D08410F"/>
    <w:rsid w:val="7D2759BE"/>
    <w:rsid w:val="7DB96DED"/>
    <w:rsid w:val="7DD3AD81"/>
    <w:rsid w:val="7E6B2B39"/>
    <w:rsid w:val="7F7FE70F"/>
    <w:rsid w:val="7FFF772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Indent" w:qFormat="1"/>
    <w:lsdException w:name="Subtitle" w:qFormat="1"/>
    <w:lsdException w:name="Dat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8709DD"/>
    <w:pPr>
      <w:widowControl w:val="0"/>
      <w:jc w:val="both"/>
    </w:pPr>
    <w:rPr>
      <w:kern w:val="2"/>
      <w:sz w:val="21"/>
      <w:szCs w:val="24"/>
    </w:rPr>
  </w:style>
  <w:style w:type="paragraph" w:styleId="2">
    <w:name w:val="heading 2"/>
    <w:basedOn w:val="a"/>
    <w:next w:val="a"/>
    <w:qFormat/>
    <w:rsid w:val="008709DD"/>
    <w:pPr>
      <w:keepNext/>
      <w:keepLines/>
      <w:spacing w:before="100" w:beforeAutospacing="1" w:after="100" w:afterAutospacing="1"/>
      <w:outlineLvl w:val="1"/>
    </w:pPr>
    <w:rPr>
      <w:rFonts w:ascii="Cambria" w:eastAsia="黑体" w:hAnsi="Cambria"/>
      <w:b/>
      <w:bCs/>
      <w:kern w:val="0"/>
      <w:sz w:val="36"/>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rsid w:val="008709DD"/>
    <w:pPr>
      <w:ind w:firstLineChars="200" w:firstLine="200"/>
    </w:pPr>
  </w:style>
  <w:style w:type="paragraph" w:styleId="a4">
    <w:name w:val="Body Text Indent"/>
    <w:basedOn w:val="a"/>
    <w:qFormat/>
    <w:rsid w:val="008709DD"/>
    <w:pPr>
      <w:ind w:firstLine="645"/>
    </w:pPr>
    <w:rPr>
      <w:rFonts w:ascii="仿宋_GB2312" w:eastAsia="仿宋_GB2312" w:hAnsi="Calibri"/>
      <w:sz w:val="32"/>
      <w:szCs w:val="32"/>
    </w:rPr>
  </w:style>
  <w:style w:type="paragraph" w:styleId="a5">
    <w:name w:val="Date"/>
    <w:basedOn w:val="a"/>
    <w:next w:val="a"/>
    <w:qFormat/>
    <w:rsid w:val="008709DD"/>
    <w:pPr>
      <w:ind w:leftChars="2500" w:left="100"/>
    </w:pPr>
  </w:style>
  <w:style w:type="paragraph" w:styleId="a6">
    <w:name w:val="Balloon Text"/>
    <w:basedOn w:val="a"/>
    <w:semiHidden/>
    <w:qFormat/>
    <w:rsid w:val="008709DD"/>
    <w:rPr>
      <w:sz w:val="18"/>
      <w:szCs w:val="18"/>
    </w:rPr>
  </w:style>
  <w:style w:type="paragraph" w:styleId="a7">
    <w:name w:val="footer"/>
    <w:basedOn w:val="a"/>
    <w:link w:val="Char"/>
    <w:qFormat/>
    <w:rsid w:val="008709DD"/>
    <w:pPr>
      <w:tabs>
        <w:tab w:val="center" w:pos="4153"/>
        <w:tab w:val="right" w:pos="8306"/>
      </w:tabs>
      <w:snapToGrid w:val="0"/>
      <w:jc w:val="left"/>
    </w:pPr>
    <w:rPr>
      <w:sz w:val="18"/>
      <w:szCs w:val="18"/>
    </w:rPr>
  </w:style>
  <w:style w:type="paragraph" w:styleId="a8">
    <w:name w:val="header"/>
    <w:basedOn w:val="a"/>
    <w:link w:val="Char0"/>
    <w:qFormat/>
    <w:rsid w:val="008709DD"/>
    <w:pPr>
      <w:pBdr>
        <w:bottom w:val="single" w:sz="6" w:space="1" w:color="auto"/>
      </w:pBdr>
      <w:tabs>
        <w:tab w:val="center" w:pos="4153"/>
        <w:tab w:val="right" w:pos="8306"/>
      </w:tabs>
      <w:snapToGrid w:val="0"/>
      <w:jc w:val="center"/>
    </w:pPr>
    <w:rPr>
      <w:rFonts w:ascii="Calibri" w:hAnsi="Calibri"/>
      <w:sz w:val="18"/>
      <w:szCs w:val="18"/>
    </w:rPr>
  </w:style>
  <w:style w:type="paragraph" w:styleId="a9">
    <w:name w:val="Normal (Web)"/>
    <w:basedOn w:val="a"/>
    <w:unhideWhenUsed/>
    <w:qFormat/>
    <w:rsid w:val="008709DD"/>
    <w:pPr>
      <w:spacing w:before="100" w:beforeAutospacing="1" w:after="100" w:afterAutospacing="1"/>
      <w:ind w:right="238"/>
      <w:jc w:val="left"/>
    </w:pPr>
    <w:rPr>
      <w:b/>
      <w:kern w:val="0"/>
      <w:sz w:val="24"/>
      <w:szCs w:val="20"/>
    </w:rPr>
  </w:style>
  <w:style w:type="character" w:styleId="aa">
    <w:name w:val="Strong"/>
    <w:qFormat/>
    <w:rsid w:val="008709DD"/>
    <w:rPr>
      <w:b/>
    </w:rPr>
  </w:style>
  <w:style w:type="character" w:styleId="ab">
    <w:name w:val="page number"/>
    <w:qFormat/>
    <w:rsid w:val="008709DD"/>
  </w:style>
  <w:style w:type="character" w:customStyle="1" w:styleId="Char">
    <w:name w:val="页脚 Char"/>
    <w:link w:val="a7"/>
    <w:qFormat/>
    <w:rsid w:val="008709DD"/>
    <w:rPr>
      <w:rFonts w:eastAsia="宋体"/>
      <w:kern w:val="2"/>
      <w:sz w:val="18"/>
      <w:szCs w:val="18"/>
      <w:lang w:val="en-US" w:eastAsia="zh-CN" w:bidi="ar-SA"/>
    </w:rPr>
  </w:style>
  <w:style w:type="character" w:customStyle="1" w:styleId="Char0">
    <w:name w:val="页眉 Char"/>
    <w:link w:val="a8"/>
    <w:qFormat/>
    <w:rsid w:val="008709DD"/>
    <w:rPr>
      <w:rFonts w:ascii="Calibri" w:eastAsia="宋体" w:hAnsi="Calibri"/>
      <w:kern w:val="2"/>
      <w:sz w:val="18"/>
      <w:szCs w:val="18"/>
      <w:lang w:val="en-US" w:eastAsia="zh-CN" w:bidi="ar-SA"/>
    </w:rPr>
  </w:style>
  <w:style w:type="paragraph" w:customStyle="1" w:styleId="CharCharCharCharCharCharChar">
    <w:name w:val="Char Char Char Char Char Char Char"/>
    <w:basedOn w:val="a"/>
    <w:qFormat/>
    <w:rsid w:val="008709DD"/>
    <w:rPr>
      <w:rFonts w:ascii="Tahoma" w:hAnsi="Tahoma"/>
      <w:sz w:val="24"/>
      <w:szCs w:val="20"/>
    </w:rPr>
  </w:style>
  <w:style w:type="paragraph" w:customStyle="1" w:styleId="Char1CharCharChar">
    <w:name w:val="Char1 Char Char Char"/>
    <w:basedOn w:val="a"/>
    <w:qFormat/>
    <w:rsid w:val="008709DD"/>
    <w:pPr>
      <w:widowControl/>
      <w:spacing w:after="160" w:line="240" w:lineRule="exact"/>
      <w:jc w:val="left"/>
    </w:pPr>
    <w:rPr>
      <w:szCs w:val="20"/>
    </w:rPr>
  </w:style>
  <w:style w:type="paragraph" w:customStyle="1" w:styleId="Char1">
    <w:name w:val="Char"/>
    <w:basedOn w:val="a"/>
    <w:qFormat/>
    <w:rsid w:val="008709DD"/>
    <w:rPr>
      <w:rFonts w:ascii="Tahoma" w:hAnsi="Tahoma"/>
      <w:sz w:val="24"/>
      <w:szCs w:val="20"/>
    </w:rPr>
  </w:style>
  <w:style w:type="paragraph" w:customStyle="1" w:styleId="CharChar3CharChar">
    <w:name w:val="Char Char3 Char Char"/>
    <w:basedOn w:val="a"/>
    <w:qFormat/>
    <w:rsid w:val="008709DD"/>
    <w:rPr>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___11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___21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pieChart>
        <c:varyColors val="1"/>
        <c:ser>
          <c:idx val="0"/>
          <c:order val="0"/>
          <c:tx>
            <c:strRef>
              <c:f>Sheet1!$B$1</c:f>
              <c:strCache>
                <c:ptCount val="1"/>
                <c:pt idx="0">
                  <c:v>收入</c:v>
                </c:pt>
              </c:strCache>
            </c:strRef>
          </c:tx>
          <c:dLbls>
            <c:dLbl>
              <c:idx val="0"/>
              <c:layout>
                <c:manualLayout>
                  <c:x val="4.6627024542334722E-2"/>
                  <c:y val="-5.0505303688318298E-3"/>
                </c:manualLayout>
              </c:layout>
              <c:tx>
                <c:rich>
                  <a:bodyPr/>
                  <a:lstStyle/>
                  <a:p>
                    <a:r>
                      <a:t>92.4%</a:t>
                    </a:r>
                  </a:p>
                </c:rich>
              </c:tx>
              <c:dLblPos val="bestFit"/>
              <c:showPercent val="1"/>
              <c:extLst>
                <c:ext xmlns:c15="http://schemas.microsoft.com/office/drawing/2012/chart" uri="{CE6537A1-D6FC-4f65-9D91-7224C49458BB}">
                  <c15:layout/>
                </c:ext>
              </c:extLst>
            </c:dLbl>
            <c:dLbl>
              <c:idx val="1"/>
              <c:tx>
                <c:rich>
                  <a:bodyPr/>
                  <a:lstStyle/>
                  <a:p>
                    <a:r>
                      <a:t>7.</a:t>
                    </a:r>
                    <a:r>
                      <a:rPr lang="en-US" altLang="zh-CN"/>
                      <a:t>6</a:t>
                    </a:r>
                    <a:r>
                      <a:t>%</a:t>
                    </a:r>
                  </a:p>
                </c:rich>
              </c:tx>
              <c:dLblPos val="bestFit"/>
              <c:showPercent val="1"/>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Percent val="1"/>
            <c:showLeaderLines val="1"/>
            <c:extLst>
              <c:ext xmlns:c15="http://schemas.microsoft.com/office/drawing/2012/chart" uri="{CE6537A1-D6FC-4f65-9D91-7224C49458BB}">
                <c15:layout/>
                <c15:showLeaderLines val="true"/>
                <c15:leaderLines/>
              </c:ext>
            </c:extLst>
          </c:dLbls>
          <c:cat>
            <c:strRef>
              <c:f>Sheet1!$A$2:$A$3</c:f>
              <c:strCache>
                <c:ptCount val="2"/>
                <c:pt idx="0">
                  <c:v>财政拨款收入</c:v>
                </c:pt>
                <c:pt idx="1">
                  <c:v>其他收入</c:v>
                </c:pt>
              </c:strCache>
            </c:strRef>
          </c:cat>
          <c:val>
            <c:numRef>
              <c:f>Sheet1!$B$2:$B$3</c:f>
              <c:numCache>
                <c:formatCode>General</c:formatCode>
                <c:ptCount val="2"/>
                <c:pt idx="0">
                  <c:v>704.4</c:v>
                </c:pt>
                <c:pt idx="1">
                  <c:v>57.74</c:v>
                </c:pt>
              </c:numCache>
            </c:numRef>
          </c:val>
        </c:ser>
        <c:dLbls>
          <c:showVal val="1"/>
        </c:dLbls>
        <c:firstSliceAng val="0"/>
      </c:pieChart>
    </c:plotArea>
    <c:legend>
      <c:legendPos val="r"/>
      <c:layout>
        <c:manualLayout>
          <c:xMode val="edge"/>
          <c:yMode val="edge"/>
          <c:x val="0.7382413087934564"/>
          <c:y val="0.24106899372784321"/>
        </c:manualLayout>
      </c:layout>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chart>
  <c:txPr>
    <a:bodyPr/>
    <a:lstStyle/>
    <a:p>
      <a:pPr>
        <a:defRPr lang="zh-CN"/>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pieChart>
        <c:varyColors val="1"/>
        <c:ser>
          <c:idx val="0"/>
          <c:order val="0"/>
          <c:tx>
            <c:strRef>
              <c:f>Sheet0!$B$1</c:f>
              <c:strCache>
                <c:ptCount val="1"/>
                <c:pt idx="0">
                  <c:v>支出</c:v>
                </c:pt>
              </c:strCache>
            </c:strRef>
          </c:tx>
          <c:dPt>
            <c:idx val="0"/>
            <c:spPr>
              <a:solidFill>
                <a:srgbClr val="4F81BD"/>
              </a:solidFill>
              <a:ln w="19050">
                <a:solidFill>
                  <a:srgbClr val="FFFFFF"/>
                </a:solidFill>
              </a:ln>
              <a:effectLst/>
            </c:spPr>
          </c:dPt>
          <c:dPt>
            <c:idx val="1"/>
            <c:spPr>
              <a:solidFill>
                <a:srgbClr val="C0504D"/>
              </a:solidFill>
              <a:ln w="19050">
                <a:solidFill>
                  <a:srgbClr val="FFFFFF"/>
                </a:solidFill>
              </a:ln>
              <a:effectLst/>
            </c:spPr>
          </c:dPt>
          <c:dLbls>
            <c:dLbl>
              <c:idx val="0"/>
              <c:tx>
                <c:rich>
                  <a:bodyPr/>
                  <a:lstStyle/>
                  <a:p>
                    <a:r>
                      <a:t>50.6%</a:t>
                    </a:r>
                  </a:p>
                </c:rich>
              </c:tx>
              <c:dLblPos val="bestFit"/>
              <c:showPercent val="1"/>
              <c:extLst>
                <c:ext xmlns:c15="http://schemas.microsoft.com/office/drawing/2012/chart" uri="{CE6537A1-D6FC-4f65-9D91-7224C49458BB}"/>
              </c:extLst>
            </c:dLbl>
            <c:dLbl>
              <c:idx val="1"/>
              <c:tx>
                <c:rich>
                  <a:bodyPr/>
                  <a:lstStyle/>
                  <a:p>
                    <a:r>
                      <a:t>49.4%</a:t>
                    </a:r>
                  </a:p>
                </c:rich>
              </c:tx>
              <c:dLblPos val="bestFit"/>
              <c:showPercent val="1"/>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endParaRPr lang="zh-CN"/>
              </a:p>
            </c:txPr>
            <c:dLblPos val="bestFit"/>
            <c:showPercent val="1"/>
            <c:showLeaderLines val="1"/>
            <c:extLst>
              <c:ext xmlns:c15="http://schemas.microsoft.com/office/drawing/2012/chart" uri="{CE6537A1-D6FC-4f65-9D91-7224C49458BB}">
                <c15:layout/>
                <c15:showLeaderLines val="true"/>
                <c15:leaderLines>
                  <c:spPr>
                    <a:ln w="9525" cap="flat" cmpd="sng" algn="ctr">
                      <a:solidFill>
                        <a:srgbClr val="A6A6A6">
                          <a:lumMod val="35000"/>
                          <a:lumOff val="65000"/>
                        </a:srgbClr>
                      </a:solidFill>
                      <a:prstDash val="solid"/>
                      <a:round/>
                    </a:ln>
                    <a:effectLst/>
                  </c:spPr>
                </c15:leaderLines>
              </c:ext>
            </c:extLst>
          </c:dLbls>
          <c:cat>
            <c:strRef>
              <c:f>Sheet0!$A$2:$A$3</c:f>
              <c:strCache>
                <c:ptCount val="2"/>
                <c:pt idx="0">
                  <c:v>基本支出</c:v>
                </c:pt>
                <c:pt idx="1">
                  <c:v>项目支出</c:v>
                </c:pt>
              </c:strCache>
            </c:strRef>
          </c:cat>
          <c:val>
            <c:numRef>
              <c:f>Sheet0!$B$2:$B$3</c:f>
              <c:numCache>
                <c:formatCode>General</c:formatCode>
                <c:ptCount val="2"/>
                <c:pt idx="0">
                  <c:v>474.48999999999978</c:v>
                </c:pt>
                <c:pt idx="1">
                  <c:v>464.06</c:v>
                </c:pt>
              </c:numCache>
            </c:numRef>
          </c:val>
        </c:ser>
        <c:dLbls>
          <c:showPercent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
    <c:plotVisOnly val="1"/>
    <c:dispBlanksAs val="zero"/>
  </c:chart>
  <c:spPr>
    <a:ln w="9525" cap="flat" cmpd="sng" algn="ctr">
      <a:solidFill>
        <a:srgbClr val="D9D9D9">
          <a:lumMod val="15000"/>
          <a:lumOff val="85000"/>
        </a:srgbClr>
      </a:solidFill>
      <a:prstDash val="solid"/>
      <a:round/>
    </a:ln>
    <a:effectLst/>
  </c:spPr>
  <c:txPr>
    <a:bodyPr/>
    <a:lstStyle/>
    <a:p>
      <a:pPr>
        <a:defRPr lang="zh-CN"/>
      </a:pPr>
      <a:endParaRPr lang="zh-CN"/>
    </a:p>
  </c:txPr>
  <c:externalData r:id="rId1"/>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539</Words>
  <Characters>3076</Characters>
  <Application>Microsoft Office Word</Application>
  <DocSecurity>0</DocSecurity>
  <Lines>25</Lines>
  <Paragraphs>7</Paragraphs>
  <ScaleCrop>false</ScaleCrop>
  <Company>P R C</Company>
  <LinksUpToDate>false</LinksUpToDate>
  <CharactersWithSpaces>3608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北京市财政局关于做好向市人大常委会报送2015年度市级部门决算（草案）</dc:title>
  <dc:creator>常程</dc:creator>
  <cp:lastModifiedBy>xbany</cp:lastModifiedBy>
  <cp:revision>28</cp:revision>
  <cp:lastPrinted>2020-08-08T11:39:00Z</cp:lastPrinted>
  <dcterms:created xsi:type="dcterms:W3CDTF">2017-07-12T15:16:00Z</dcterms:created>
  <dcterms:modified xsi:type="dcterms:W3CDTF">2026-09-03T08:38:00Z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