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707CFF">
      <w:pPr>
        <w:jc w:val="center"/>
        <w:rPr>
          <w:rFonts w:ascii="仿宋_GB2312" w:eastAsia="仿宋_GB2312"/>
          <w:b/>
          <w:sz w:val="32"/>
          <w:szCs w:val="32"/>
        </w:rPr>
      </w:pPr>
      <w:bookmarkStart w:id="4" w:name="_GoBack"/>
      <w:bookmarkEnd w:id="4"/>
    </w:p>
    <w:p w14:paraId="1AD1BCC2">
      <w:pPr>
        <w:jc w:val="center"/>
        <w:rPr>
          <w:rFonts w:ascii="黑体" w:eastAsia="黑体"/>
          <w:sz w:val="72"/>
          <w:szCs w:val="72"/>
        </w:rPr>
      </w:pPr>
    </w:p>
    <w:p w14:paraId="17CE5D69">
      <w:pPr>
        <w:jc w:val="center"/>
        <w:rPr>
          <w:rFonts w:ascii="黑体" w:eastAsia="黑体"/>
          <w:sz w:val="72"/>
          <w:szCs w:val="72"/>
        </w:rPr>
      </w:pPr>
    </w:p>
    <w:p w14:paraId="4F664B92">
      <w:pPr>
        <w:jc w:val="center"/>
        <w:rPr>
          <w:rFonts w:ascii="黑体" w:eastAsia="黑体"/>
          <w:sz w:val="72"/>
          <w:szCs w:val="72"/>
        </w:rPr>
      </w:pPr>
    </w:p>
    <w:p w14:paraId="48D64425">
      <w:pPr>
        <w:jc w:val="center"/>
        <w:rPr>
          <w:rFonts w:ascii="黑体" w:eastAsia="黑体"/>
          <w:sz w:val="72"/>
          <w:szCs w:val="72"/>
        </w:rPr>
      </w:pPr>
    </w:p>
    <w:p w14:paraId="465395E3">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14:paraId="244E17E9">
      <w:pPr>
        <w:jc w:val="center"/>
        <w:rPr>
          <w:rFonts w:ascii="黑体" w:eastAsia="黑体"/>
          <w:sz w:val="52"/>
          <w:szCs w:val="52"/>
        </w:rPr>
      </w:pPr>
    </w:p>
    <w:p w14:paraId="7F37C4B5">
      <w:pPr>
        <w:jc w:val="center"/>
        <w:rPr>
          <w:rFonts w:ascii="黑体" w:eastAsia="黑体"/>
          <w:sz w:val="52"/>
          <w:szCs w:val="52"/>
        </w:rPr>
      </w:pPr>
    </w:p>
    <w:p w14:paraId="4A27908E">
      <w:pPr>
        <w:jc w:val="center"/>
        <w:rPr>
          <w:rFonts w:ascii="黑体" w:eastAsia="黑体"/>
          <w:sz w:val="52"/>
          <w:szCs w:val="52"/>
        </w:rPr>
      </w:pPr>
    </w:p>
    <w:p w14:paraId="2A929F72">
      <w:pPr>
        <w:jc w:val="center"/>
        <w:rPr>
          <w:rFonts w:ascii="黑体" w:eastAsia="黑体"/>
          <w:sz w:val="52"/>
          <w:szCs w:val="52"/>
        </w:rPr>
      </w:pPr>
    </w:p>
    <w:p w14:paraId="31B80CEC">
      <w:pPr>
        <w:jc w:val="center"/>
        <w:rPr>
          <w:rFonts w:ascii="黑体" w:eastAsia="黑体"/>
          <w:sz w:val="32"/>
          <w:szCs w:val="32"/>
        </w:rPr>
      </w:pPr>
    </w:p>
    <w:p w14:paraId="39D237DF">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16903F0B">
      <w:pPr>
        <w:spacing w:line="500" w:lineRule="exact"/>
        <w:ind w:firstLine="645"/>
        <w:jc w:val="center"/>
        <w:rPr>
          <w:rFonts w:ascii="宋体" w:hAnsi="宋体" w:cs="宋体"/>
          <w:b/>
          <w:bCs/>
          <w:kern w:val="0"/>
          <w:sz w:val="36"/>
          <w:szCs w:val="36"/>
        </w:rPr>
      </w:pPr>
    </w:p>
    <w:p w14:paraId="596BB0F9">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14:paraId="74E7766B">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34082E43">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4D52291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285E7CA8">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5AD183F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1CE24FC9">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3D60277E">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0AFFF00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2C382EB5">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78A8391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7FCCAA0D">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335F6961">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14:paraId="720DBBCA">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66FE9989">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14:paraId="466AEA85">
      <w:pPr>
        <w:tabs>
          <w:tab w:val="center" w:pos="6979"/>
        </w:tabs>
        <w:spacing w:before="156" w:beforeLines="50" w:after="156" w:afterLines="50"/>
        <w:jc w:val="center"/>
        <w:rPr>
          <w:rFonts w:ascii="宋体" w:hAnsi="宋体" w:cs="宋体"/>
          <w:b/>
          <w:bCs/>
          <w:spacing w:val="40"/>
          <w:kern w:val="0"/>
          <w:sz w:val="32"/>
          <w:szCs w:val="32"/>
        </w:rPr>
      </w:pPr>
    </w:p>
    <w:p w14:paraId="54A11E23">
      <w:pPr>
        <w:tabs>
          <w:tab w:val="center" w:pos="6979"/>
        </w:tabs>
        <w:spacing w:before="156" w:beforeLines="50" w:after="156" w:afterLines="50"/>
        <w:jc w:val="center"/>
        <w:rPr>
          <w:rFonts w:ascii="宋体" w:hAnsi="宋体" w:cs="宋体"/>
          <w:b/>
          <w:bCs/>
          <w:spacing w:val="40"/>
          <w:kern w:val="0"/>
          <w:sz w:val="32"/>
          <w:szCs w:val="32"/>
        </w:rPr>
      </w:pPr>
    </w:p>
    <w:p w14:paraId="2F749A85">
      <w:pPr>
        <w:tabs>
          <w:tab w:val="center" w:pos="6979"/>
        </w:tabs>
        <w:spacing w:before="156" w:beforeLines="50" w:after="156" w:afterLines="50"/>
        <w:jc w:val="center"/>
        <w:rPr>
          <w:rFonts w:ascii="宋体" w:hAnsi="宋体" w:cs="宋体"/>
          <w:b/>
          <w:bCs/>
          <w:spacing w:val="40"/>
          <w:kern w:val="0"/>
          <w:sz w:val="32"/>
          <w:szCs w:val="32"/>
        </w:rPr>
      </w:pPr>
    </w:p>
    <w:p w14:paraId="03F9028E">
      <w:pPr>
        <w:tabs>
          <w:tab w:val="center" w:pos="6979"/>
        </w:tabs>
        <w:spacing w:before="156" w:beforeLines="50" w:after="156" w:afterLines="50"/>
        <w:jc w:val="center"/>
        <w:rPr>
          <w:rFonts w:ascii="宋体" w:hAnsi="宋体" w:cs="宋体"/>
          <w:b/>
          <w:bCs/>
          <w:spacing w:val="40"/>
          <w:kern w:val="0"/>
          <w:sz w:val="32"/>
          <w:szCs w:val="32"/>
        </w:rPr>
      </w:pPr>
    </w:p>
    <w:p w14:paraId="3665394D">
      <w:pPr>
        <w:tabs>
          <w:tab w:val="center" w:pos="6979"/>
        </w:tabs>
        <w:spacing w:before="156" w:beforeLines="50" w:after="156" w:afterLines="50"/>
        <w:jc w:val="center"/>
        <w:rPr>
          <w:rFonts w:ascii="宋体" w:hAnsi="宋体" w:cs="宋体"/>
          <w:b/>
          <w:bCs/>
          <w:spacing w:val="40"/>
          <w:kern w:val="0"/>
          <w:sz w:val="32"/>
          <w:szCs w:val="32"/>
        </w:rPr>
      </w:pPr>
    </w:p>
    <w:p w14:paraId="4923805F">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14:paraId="17416501">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027F1B4E">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14:paraId="26B8B53B">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14:paraId="1F20B870">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14:paraId="2E594F0A">
      <w:pPr>
        <w:spacing w:line="520" w:lineRule="exact"/>
        <w:ind w:firstLine="560" w:firstLineChars="200"/>
      </w:pPr>
      <w:r>
        <w:rPr>
          <w:rFonts w:hint="eastAsia" w:ascii="仿宋_GB2312" w:eastAsia="仿宋_GB2312"/>
          <w:sz w:val="28"/>
          <w:szCs w:val="32"/>
          <w:lang w:eastAsia="zh-CN"/>
        </w:rPr>
        <w:t>北京市门头沟区市场监督管理局于</w:t>
      </w:r>
      <w:r>
        <w:rPr>
          <w:rFonts w:hint="eastAsia" w:ascii="仿宋_GB2312" w:eastAsia="仿宋_GB2312"/>
          <w:sz w:val="28"/>
          <w:szCs w:val="32"/>
          <w:lang w:val="en-US" w:eastAsia="zh-CN"/>
        </w:rPr>
        <w:t>2019年3月22日挂牌成立，负有以下主要职责：负责本区市场综合监督管理；负责本区市场主体统一登记注册；负责组织和指导本区市场监管综合执法工作；负责监督管理本区市场秩序；负责本区宏观质量管理；负责本区产品质量安全监督管理；负责本区特种设备安全监督管理；负责本区食品安全监督管理综合协调；负责本区食品安全监督管理；负责统一管理本区计量工作；负责统一管理本区标准化工作；根据国家认证认可监督管理部门授权，依法组织对本区认证活动实施监督；负责本区市场监督管理科技和信息化建设、新闻宣传、对外交流与合作；负责本区药品零售、医疗器械经营的许可、检查和处罚，以及化妆品经营和药品、医疗器械使用环节质量的检查和处罚；负责组织指导实施本区商标专利执法工作；完成区委、区政府交办的其他任务。</w:t>
      </w:r>
    </w:p>
    <w:p w14:paraId="32ACD257">
      <w:pPr>
        <w:numPr>
          <w:ilvl w:val="0"/>
          <w:numId w:val="1"/>
        </w:numPr>
        <w:tabs>
          <w:tab w:val="center" w:pos="6979"/>
        </w:tabs>
        <w:spacing w:line="580" w:lineRule="exact"/>
        <w:ind w:firstLine="700" w:firstLineChars="250"/>
        <w:rPr>
          <w:rFonts w:hint="eastAsia" w:ascii="仿宋_GB2312" w:hAnsi="Times New Roman" w:eastAsia="仿宋_GB2312" w:cs="Times New Roman"/>
          <w:b w:val="0"/>
          <w:bCs w:val="0"/>
          <w:kern w:val="2"/>
          <w:sz w:val="28"/>
          <w:szCs w:val="32"/>
          <w:lang w:val="en-US" w:eastAsia="zh-CN" w:bidi="ar-SA"/>
        </w:rPr>
      </w:pP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14:paraId="70DEA0CA">
      <w:pPr>
        <w:numPr>
          <w:ilvl w:val="0"/>
          <w:numId w:val="0"/>
        </w:numPr>
        <w:tabs>
          <w:tab w:val="center" w:pos="6979"/>
        </w:tabs>
        <w:spacing w:line="580" w:lineRule="exact"/>
        <w:ind w:firstLine="560" w:firstLineChars="200"/>
        <w:rPr>
          <w:rFonts w:hint="eastAsia" w:ascii="仿宋_GB2312" w:hAnsi="Times New Roman" w:eastAsia="仿宋_GB2312" w:cs="Times New Roman"/>
          <w:b w:val="0"/>
          <w:bCs w:val="0"/>
          <w:kern w:val="2"/>
          <w:sz w:val="28"/>
          <w:szCs w:val="32"/>
          <w:lang w:val="en-US" w:eastAsia="zh-CN" w:bidi="ar-SA"/>
        </w:rPr>
      </w:pPr>
      <w:r>
        <w:rPr>
          <w:rFonts w:hint="eastAsia" w:ascii="仿宋_GB2312" w:hAnsi="Times New Roman" w:eastAsia="仿宋_GB2312" w:cs="Times New Roman"/>
          <w:b w:val="0"/>
          <w:bCs w:val="0"/>
          <w:kern w:val="2"/>
          <w:sz w:val="28"/>
          <w:szCs w:val="32"/>
          <w:lang w:val="en-US" w:eastAsia="zh-CN" w:bidi="ar-SA"/>
        </w:rPr>
        <w:t>本部门共设22个内设机构，15个派出机构，下设7个事业单位，分别为北京市门头沟区知识产权服务中心、北京市门头沟区市场监督管理综合服务保障中心、北京市门头沟区市场监督管理政务服务中心、北京市门头沟区市场监督管理检验检测所、北京市门头沟区特种设备检测所、北京市门头沟区消费者协会、北京市门头沟区私营个体经济指导服务中心。当年无变动。</w:t>
      </w:r>
    </w:p>
    <w:p w14:paraId="16F368FF">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183B5A10">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113</w:t>
      </w:r>
      <w:r>
        <w:rPr>
          <w:rFonts w:hint="eastAsia" w:ascii="仿宋_GB2312" w:eastAsia="仿宋_GB2312"/>
          <w:sz w:val="28"/>
          <w:szCs w:val="28"/>
          <w:lang w:val="en-US" w:eastAsia="zh-CN"/>
        </w:rPr>
        <w:t>,</w:t>
      </w:r>
      <w:r>
        <w:rPr>
          <w:rFonts w:ascii="仿宋_GB2312" w:eastAsia="仿宋_GB2312"/>
          <w:sz w:val="28"/>
          <w:szCs w:val="28"/>
        </w:rPr>
        <w:t>984</w:t>
      </w:r>
      <w:r>
        <w:rPr>
          <w:rFonts w:hint="eastAsia" w:ascii="仿宋_GB2312" w:eastAsia="仿宋_GB2312"/>
          <w:sz w:val="28"/>
          <w:szCs w:val="28"/>
          <w:lang w:val="en-US" w:eastAsia="zh-CN"/>
        </w:rPr>
        <w:t>,</w:t>
      </w:r>
      <w:r>
        <w:rPr>
          <w:rFonts w:ascii="仿宋_GB2312" w:eastAsia="仿宋_GB2312"/>
          <w:sz w:val="28"/>
          <w:szCs w:val="28"/>
        </w:rPr>
        <w:t>911.15</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1,698,586.98</w:t>
      </w:r>
      <w:r>
        <w:rPr>
          <w:rFonts w:hint="eastAsia" w:ascii="仿宋_GB2312" w:eastAsia="仿宋_GB2312"/>
          <w:sz w:val="28"/>
          <w:szCs w:val="28"/>
        </w:rPr>
        <w:t>元，下降</w:t>
      </w:r>
      <w:r>
        <w:rPr>
          <w:rFonts w:hint="eastAsia" w:ascii="仿宋_GB2312" w:eastAsia="仿宋_GB2312"/>
          <w:sz w:val="28"/>
          <w:szCs w:val="28"/>
          <w:lang w:val="en-US" w:eastAsia="zh-CN"/>
        </w:rPr>
        <w:t>1.5</w:t>
      </w:r>
      <w:r>
        <w:rPr>
          <w:rFonts w:hint="eastAsia" w:ascii="仿宋_GB2312" w:eastAsia="仿宋_GB2312"/>
          <w:sz w:val="28"/>
          <w:szCs w:val="28"/>
        </w:rPr>
        <w:t>%。</w:t>
      </w:r>
    </w:p>
    <w:p w14:paraId="6AFDE1FA">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03F064F8">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113</w:t>
      </w:r>
      <w:r>
        <w:rPr>
          <w:rFonts w:hint="eastAsia" w:ascii="仿宋_GB2312" w:eastAsia="仿宋_GB2312"/>
          <w:sz w:val="28"/>
          <w:szCs w:val="28"/>
          <w:lang w:val="en-US" w:eastAsia="zh-CN"/>
        </w:rPr>
        <w:t>,</w:t>
      </w:r>
      <w:r>
        <w:rPr>
          <w:rFonts w:ascii="仿宋_GB2312" w:eastAsia="仿宋_GB2312"/>
          <w:sz w:val="28"/>
          <w:szCs w:val="28"/>
        </w:rPr>
        <w:t>413</w:t>
      </w:r>
      <w:r>
        <w:rPr>
          <w:rFonts w:hint="eastAsia" w:ascii="仿宋_GB2312" w:eastAsia="仿宋_GB2312"/>
          <w:sz w:val="28"/>
          <w:szCs w:val="28"/>
          <w:lang w:val="en-US" w:eastAsia="zh-CN"/>
        </w:rPr>
        <w:t>,</w:t>
      </w:r>
      <w:r>
        <w:rPr>
          <w:rFonts w:ascii="仿宋_GB2312" w:eastAsia="仿宋_GB2312"/>
          <w:sz w:val="28"/>
          <w:szCs w:val="28"/>
        </w:rPr>
        <w:t>355.18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96,240.87</w:t>
      </w:r>
      <w:r>
        <w:rPr>
          <w:rFonts w:hint="eastAsia" w:ascii="仿宋_GB2312" w:eastAsia="仿宋_GB2312"/>
          <w:sz w:val="28"/>
          <w:szCs w:val="28"/>
        </w:rPr>
        <w:t>元，下降</w:t>
      </w:r>
      <w:r>
        <w:rPr>
          <w:rFonts w:hint="eastAsia" w:ascii="仿宋_GB2312" w:eastAsia="仿宋_GB2312"/>
          <w:sz w:val="28"/>
          <w:szCs w:val="28"/>
          <w:lang w:val="en-US" w:eastAsia="zh-CN"/>
        </w:rPr>
        <w:t>0.1</w:t>
      </w:r>
      <w:r>
        <w:rPr>
          <w:rFonts w:hint="eastAsia" w:ascii="仿宋_GB2312" w:eastAsia="仿宋_GB2312"/>
          <w:sz w:val="28"/>
          <w:szCs w:val="28"/>
        </w:rPr>
        <w:t>%。</w:t>
      </w:r>
    </w:p>
    <w:p w14:paraId="58E1694A">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113</w:t>
      </w:r>
      <w:r>
        <w:rPr>
          <w:rFonts w:hint="eastAsia" w:ascii="仿宋_GB2312" w:eastAsia="仿宋_GB2312"/>
          <w:sz w:val="28"/>
          <w:szCs w:val="28"/>
          <w:lang w:val="en-US" w:eastAsia="zh-CN"/>
        </w:rPr>
        <w:t>,</w:t>
      </w:r>
      <w:r>
        <w:rPr>
          <w:rFonts w:ascii="仿宋_GB2312" w:eastAsia="仿宋_GB2312"/>
          <w:sz w:val="28"/>
          <w:szCs w:val="28"/>
        </w:rPr>
        <w:t>413</w:t>
      </w:r>
      <w:r>
        <w:rPr>
          <w:rFonts w:hint="eastAsia" w:ascii="仿宋_GB2312" w:eastAsia="仿宋_GB2312"/>
          <w:sz w:val="28"/>
          <w:szCs w:val="28"/>
          <w:lang w:val="en-US" w:eastAsia="zh-CN"/>
        </w:rPr>
        <w:t>,</w:t>
      </w:r>
      <w:r>
        <w:rPr>
          <w:rFonts w:ascii="仿宋_GB2312" w:eastAsia="仿宋_GB2312"/>
          <w:sz w:val="28"/>
          <w:szCs w:val="28"/>
        </w:rPr>
        <w:t>355.18</w:t>
      </w:r>
      <w:r>
        <w:rPr>
          <w:rFonts w:hint="eastAsia" w:ascii="仿宋_GB2312" w:eastAsia="仿宋_GB2312"/>
          <w:sz w:val="28"/>
          <w:szCs w:val="28"/>
        </w:rPr>
        <w:t>元，占收入合计的100%。其中：一般公共预算财政拨款收入</w:t>
      </w:r>
      <w:r>
        <w:rPr>
          <w:rFonts w:ascii="仿宋_GB2312" w:eastAsia="仿宋_GB2312"/>
          <w:sz w:val="28"/>
          <w:szCs w:val="28"/>
        </w:rPr>
        <w:t>113</w:t>
      </w:r>
      <w:r>
        <w:rPr>
          <w:rFonts w:hint="eastAsia" w:ascii="仿宋_GB2312" w:eastAsia="仿宋_GB2312"/>
          <w:sz w:val="28"/>
          <w:szCs w:val="28"/>
          <w:lang w:val="en-US" w:eastAsia="zh-CN"/>
        </w:rPr>
        <w:t>,</w:t>
      </w:r>
      <w:r>
        <w:rPr>
          <w:rFonts w:ascii="仿宋_GB2312" w:eastAsia="仿宋_GB2312"/>
          <w:sz w:val="28"/>
          <w:szCs w:val="28"/>
        </w:rPr>
        <w:t>413</w:t>
      </w:r>
      <w:r>
        <w:rPr>
          <w:rFonts w:hint="eastAsia" w:ascii="仿宋_GB2312" w:eastAsia="仿宋_GB2312"/>
          <w:sz w:val="28"/>
          <w:szCs w:val="28"/>
          <w:lang w:val="en-US" w:eastAsia="zh-CN"/>
        </w:rPr>
        <w:t>,</w:t>
      </w:r>
      <w:r>
        <w:rPr>
          <w:rFonts w:ascii="仿宋_GB2312" w:eastAsia="仿宋_GB2312"/>
          <w:sz w:val="28"/>
          <w:szCs w:val="28"/>
        </w:rPr>
        <w:t>355.18</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14:paraId="3A462C2D">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14:paraId="035E1A72">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14:paraId="31741BD2">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14:paraId="59744D81">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14:paraId="2CA82BF3">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14:paraId="271868AD">
      <w:pPr>
        <w:pStyle w:val="2"/>
        <w:jc w:val="center"/>
      </w:pPr>
      <w:r>
        <w:rPr>
          <w:rFonts w:hint="eastAsia" w:ascii="仿宋_GB2312" w:eastAsia="仿宋_GB2312"/>
          <w:color w:val="000000"/>
          <w:sz w:val="32"/>
        </w:rPr>
        <w:t>图1：收入决算</w:t>
      </w:r>
    </w:p>
    <w:p w14:paraId="2B19120E">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D1FEBD8">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535EDC71">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113</w:t>
      </w:r>
      <w:r>
        <w:rPr>
          <w:rFonts w:hint="eastAsia" w:ascii="仿宋_GB2312" w:eastAsia="仿宋_GB2312"/>
          <w:sz w:val="28"/>
          <w:szCs w:val="28"/>
          <w:lang w:val="en-US" w:eastAsia="zh-CN"/>
        </w:rPr>
        <w:t>,</w:t>
      </w:r>
      <w:r>
        <w:rPr>
          <w:rFonts w:ascii="仿宋_GB2312" w:eastAsia="仿宋_GB2312"/>
          <w:sz w:val="28"/>
          <w:szCs w:val="28"/>
        </w:rPr>
        <w:t>413</w:t>
      </w:r>
      <w:r>
        <w:rPr>
          <w:rFonts w:hint="eastAsia" w:ascii="仿宋_GB2312" w:eastAsia="仿宋_GB2312"/>
          <w:sz w:val="28"/>
          <w:szCs w:val="28"/>
          <w:lang w:val="en-US" w:eastAsia="zh-CN"/>
        </w:rPr>
        <w:t>,</w:t>
      </w:r>
      <w:r>
        <w:rPr>
          <w:rFonts w:ascii="仿宋_GB2312" w:eastAsia="仿宋_GB2312"/>
          <w:sz w:val="28"/>
          <w:szCs w:val="28"/>
        </w:rPr>
        <w:t>844.53</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1,698,097.63</w:t>
      </w:r>
      <w:r>
        <w:rPr>
          <w:rFonts w:hint="eastAsia" w:ascii="仿宋_GB2312" w:eastAsia="仿宋_GB2312"/>
          <w:sz w:val="28"/>
          <w:szCs w:val="28"/>
        </w:rPr>
        <w:t>元，下降</w:t>
      </w:r>
      <w:r>
        <w:rPr>
          <w:rFonts w:hint="eastAsia" w:ascii="仿宋_GB2312" w:eastAsia="仿宋_GB2312"/>
          <w:sz w:val="28"/>
          <w:szCs w:val="28"/>
          <w:lang w:val="en-US" w:eastAsia="zh-CN"/>
        </w:rPr>
        <w:t>1.5</w:t>
      </w:r>
      <w:r>
        <w:rPr>
          <w:rFonts w:hint="eastAsia" w:ascii="仿宋_GB2312" w:eastAsia="仿宋_GB2312"/>
          <w:sz w:val="28"/>
          <w:szCs w:val="28"/>
        </w:rPr>
        <w:t>%，其中：基本支出</w:t>
      </w:r>
      <w:r>
        <w:rPr>
          <w:rFonts w:ascii="仿宋_GB2312" w:eastAsia="仿宋_GB2312"/>
          <w:sz w:val="28"/>
          <w:szCs w:val="28"/>
        </w:rPr>
        <w:t>109</w:t>
      </w:r>
      <w:r>
        <w:rPr>
          <w:rFonts w:hint="eastAsia" w:ascii="仿宋_GB2312" w:eastAsia="仿宋_GB2312"/>
          <w:sz w:val="28"/>
          <w:szCs w:val="28"/>
          <w:lang w:val="en-US" w:eastAsia="zh-CN"/>
        </w:rPr>
        <w:t>,</w:t>
      </w:r>
      <w:r>
        <w:rPr>
          <w:rFonts w:ascii="仿宋_GB2312" w:eastAsia="仿宋_GB2312"/>
          <w:sz w:val="28"/>
          <w:szCs w:val="28"/>
        </w:rPr>
        <w:t>036</w:t>
      </w:r>
      <w:r>
        <w:rPr>
          <w:rFonts w:hint="eastAsia" w:ascii="仿宋_GB2312" w:eastAsia="仿宋_GB2312"/>
          <w:sz w:val="28"/>
          <w:szCs w:val="28"/>
          <w:lang w:val="en-US" w:eastAsia="zh-CN"/>
        </w:rPr>
        <w:t>,</w:t>
      </w:r>
      <w:r>
        <w:rPr>
          <w:rFonts w:ascii="仿宋_GB2312" w:eastAsia="仿宋_GB2312"/>
          <w:sz w:val="28"/>
          <w:szCs w:val="28"/>
        </w:rPr>
        <w:t>451.73</w:t>
      </w:r>
      <w:r>
        <w:rPr>
          <w:rFonts w:hint="eastAsia" w:ascii="仿宋_GB2312" w:eastAsia="仿宋_GB2312"/>
          <w:sz w:val="28"/>
          <w:szCs w:val="28"/>
        </w:rPr>
        <w:t>元，占支出合计的96.14%；项目支出</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377</w:t>
      </w:r>
      <w:r>
        <w:rPr>
          <w:rFonts w:hint="eastAsia" w:ascii="仿宋_GB2312" w:eastAsia="仿宋_GB2312"/>
          <w:sz w:val="28"/>
          <w:szCs w:val="28"/>
          <w:lang w:val="en-US" w:eastAsia="zh-CN"/>
        </w:rPr>
        <w:t>,</w:t>
      </w:r>
      <w:r>
        <w:rPr>
          <w:rFonts w:ascii="仿宋_GB2312" w:eastAsia="仿宋_GB2312"/>
          <w:sz w:val="28"/>
          <w:szCs w:val="28"/>
        </w:rPr>
        <w:t>392.8</w:t>
      </w:r>
      <w:r>
        <w:rPr>
          <w:rFonts w:hint="eastAsia" w:ascii="仿宋_GB2312" w:eastAsia="仿宋_GB2312"/>
          <w:sz w:val="28"/>
          <w:szCs w:val="28"/>
        </w:rPr>
        <w:t>元，占支出合计的3.86%;上缴上级支出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14:paraId="5EBF2064">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14:paraId="7C854501">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7E2C170">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2F64D242">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113</w:t>
      </w:r>
      <w:r>
        <w:rPr>
          <w:rFonts w:hint="eastAsia" w:ascii="仿宋_GB2312" w:eastAsia="仿宋_GB2312"/>
          <w:sz w:val="28"/>
          <w:szCs w:val="28"/>
          <w:lang w:val="en-US" w:eastAsia="zh-CN"/>
        </w:rPr>
        <w:t>,</w:t>
      </w:r>
      <w:r>
        <w:rPr>
          <w:rFonts w:ascii="仿宋_GB2312" w:eastAsia="仿宋_GB2312"/>
          <w:sz w:val="28"/>
          <w:szCs w:val="28"/>
        </w:rPr>
        <w:t>413</w:t>
      </w:r>
      <w:r>
        <w:rPr>
          <w:rFonts w:hint="eastAsia" w:ascii="仿宋_GB2312" w:eastAsia="仿宋_GB2312"/>
          <w:sz w:val="28"/>
          <w:szCs w:val="28"/>
          <w:lang w:val="en-US" w:eastAsia="zh-CN"/>
        </w:rPr>
        <w:t>,</w:t>
      </w:r>
      <w:r>
        <w:rPr>
          <w:rFonts w:ascii="仿宋_GB2312" w:eastAsia="仿宋_GB2312"/>
          <w:sz w:val="28"/>
          <w:szCs w:val="28"/>
        </w:rPr>
        <w:t>355.18</w:t>
      </w:r>
      <w:r>
        <w:rPr>
          <w:rFonts w:hint="eastAsia" w:ascii="仿宋_GB2312" w:eastAsia="仿宋_GB2312"/>
          <w:sz w:val="28"/>
          <w:szCs w:val="28"/>
        </w:rPr>
        <w:t>元，比上年减少</w:t>
      </w:r>
      <w:r>
        <w:rPr>
          <w:rFonts w:hint="eastAsia" w:ascii="仿宋_GB2312" w:eastAsia="仿宋_GB2312"/>
          <w:sz w:val="28"/>
          <w:szCs w:val="28"/>
          <w:lang w:val="en-US" w:eastAsia="zh-CN"/>
        </w:rPr>
        <w:t>1,621,589.73</w:t>
      </w:r>
      <w:r>
        <w:rPr>
          <w:rFonts w:hint="eastAsia" w:ascii="仿宋_GB2312" w:eastAsia="仿宋_GB2312"/>
          <w:sz w:val="28"/>
          <w:szCs w:val="28"/>
        </w:rPr>
        <w:t>元，下降</w:t>
      </w:r>
      <w:r>
        <w:rPr>
          <w:rFonts w:hint="eastAsia" w:ascii="仿宋_GB2312" w:eastAsia="仿宋_GB2312"/>
          <w:sz w:val="28"/>
          <w:szCs w:val="28"/>
          <w:lang w:val="en-US" w:eastAsia="zh-CN"/>
        </w:rPr>
        <w:t>1.5</w:t>
      </w:r>
      <w:r>
        <w:rPr>
          <w:rFonts w:hint="eastAsia" w:ascii="仿宋_GB2312" w:eastAsia="仿宋_GB2312"/>
          <w:sz w:val="28"/>
          <w:szCs w:val="28"/>
        </w:rPr>
        <w:t>%。主要原因</w:t>
      </w:r>
      <w:r>
        <w:rPr>
          <w:rFonts w:hint="eastAsia" w:ascii="仿宋_GB2312" w:eastAsia="仿宋_GB2312"/>
          <w:sz w:val="28"/>
          <w:szCs w:val="28"/>
          <w:lang w:eastAsia="zh-CN"/>
        </w:rPr>
        <w:t>压缩各项经费</w:t>
      </w:r>
      <w:r>
        <w:rPr>
          <w:rFonts w:hint="eastAsia" w:ascii="仿宋_GB2312" w:eastAsia="仿宋_GB2312"/>
          <w:sz w:val="28"/>
          <w:szCs w:val="28"/>
        </w:rPr>
        <w:t>。</w:t>
      </w:r>
    </w:p>
    <w:p w14:paraId="52B1109A">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14:paraId="1E8F9BBF">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0B65C7D7">
      <w:pPr>
        <w:tabs>
          <w:tab w:val="center" w:pos="6979"/>
        </w:tabs>
        <w:spacing w:line="580" w:lineRule="exact"/>
        <w:ind w:firstLine="560" w:firstLineChars="200"/>
        <w:rPr>
          <w:rFonts w:ascii="仿宋_GB2312" w:eastAsia="仿宋_GB2312"/>
          <w:sz w:val="28"/>
          <w:szCs w:val="28"/>
          <w:highlight w:val="red"/>
        </w:rPr>
      </w:pPr>
      <w:r>
        <w:rPr>
          <w:rFonts w:hint="eastAsia" w:ascii="仿宋_GB2312" w:eastAsia="仿宋_GB2312"/>
          <w:sz w:val="28"/>
          <w:szCs w:val="28"/>
        </w:rPr>
        <w:t>2025年度一般公共预算财政拨款支出</w:t>
      </w:r>
      <w:r>
        <w:rPr>
          <w:rFonts w:ascii="仿宋_GB2312" w:eastAsia="仿宋_GB2312"/>
          <w:sz w:val="28"/>
          <w:szCs w:val="28"/>
        </w:rPr>
        <w:t>113</w:t>
      </w:r>
      <w:r>
        <w:rPr>
          <w:rFonts w:hint="eastAsia" w:ascii="仿宋_GB2312" w:eastAsia="仿宋_GB2312"/>
          <w:sz w:val="28"/>
          <w:szCs w:val="28"/>
          <w:lang w:val="en-US" w:eastAsia="zh-CN"/>
        </w:rPr>
        <w:t>,</w:t>
      </w:r>
      <w:r>
        <w:rPr>
          <w:rFonts w:ascii="仿宋_GB2312" w:eastAsia="仿宋_GB2312"/>
          <w:sz w:val="28"/>
          <w:szCs w:val="28"/>
        </w:rPr>
        <w:t>413</w:t>
      </w:r>
      <w:r>
        <w:rPr>
          <w:rFonts w:hint="eastAsia" w:ascii="仿宋_GB2312" w:eastAsia="仿宋_GB2312"/>
          <w:sz w:val="28"/>
          <w:szCs w:val="28"/>
          <w:lang w:val="en-US" w:eastAsia="zh-CN"/>
        </w:rPr>
        <w:t>,</w:t>
      </w:r>
      <w:r>
        <w:rPr>
          <w:rFonts w:ascii="仿宋_GB2312" w:eastAsia="仿宋_GB2312"/>
          <w:sz w:val="28"/>
          <w:szCs w:val="28"/>
        </w:rPr>
        <w:t>355.18</w:t>
      </w:r>
      <w:r>
        <w:rPr>
          <w:rFonts w:hint="eastAsia" w:ascii="仿宋_GB2312" w:eastAsia="仿宋_GB2312"/>
          <w:sz w:val="28"/>
          <w:szCs w:val="28"/>
        </w:rPr>
        <w:t>元，主要用于以下方面（按大类）：一般公共服务支出111,646,965.83元，占本年财政拨款支出</w:t>
      </w:r>
      <w:r>
        <w:rPr>
          <w:rFonts w:hint="eastAsia" w:ascii="仿宋_GB2312" w:eastAsia="仿宋_GB2312"/>
          <w:sz w:val="28"/>
          <w:szCs w:val="28"/>
          <w:lang w:val="en-US" w:eastAsia="zh-CN"/>
        </w:rPr>
        <w:t>98.4</w:t>
      </w:r>
      <w:r>
        <w:rPr>
          <w:rFonts w:hint="eastAsia" w:ascii="仿宋_GB2312" w:eastAsia="仿宋_GB2312"/>
          <w:sz w:val="28"/>
          <w:szCs w:val="28"/>
        </w:rPr>
        <w:t>%； 社会保障和就业支出</w:t>
      </w:r>
      <w:r>
        <w:rPr>
          <w:rFonts w:hint="eastAsia" w:ascii="仿宋_GB2312" w:eastAsia="仿宋_GB2312"/>
          <w:sz w:val="28"/>
          <w:szCs w:val="28"/>
          <w:lang w:val="en-US" w:eastAsia="zh-CN"/>
        </w:rPr>
        <w:t>1,201,010.00</w:t>
      </w:r>
      <w:r>
        <w:rPr>
          <w:rFonts w:hint="eastAsia" w:ascii="仿宋_GB2312" w:eastAsia="仿宋_GB2312"/>
          <w:sz w:val="28"/>
          <w:szCs w:val="28"/>
        </w:rPr>
        <w:t>元，占本年财政拨款支出</w:t>
      </w:r>
      <w:r>
        <w:rPr>
          <w:rFonts w:hint="eastAsia" w:ascii="仿宋_GB2312" w:eastAsia="仿宋_GB2312"/>
          <w:sz w:val="28"/>
          <w:szCs w:val="28"/>
          <w:lang w:val="en-US" w:eastAsia="zh-CN"/>
        </w:rPr>
        <w:t>1.05</w:t>
      </w:r>
      <w:r>
        <w:rPr>
          <w:rFonts w:hint="eastAsia" w:ascii="仿宋_GB2312" w:eastAsia="仿宋_GB2312"/>
          <w:sz w:val="28"/>
          <w:szCs w:val="28"/>
        </w:rPr>
        <w:t>%；农林水支出</w:t>
      </w:r>
      <w:r>
        <w:rPr>
          <w:rFonts w:hint="eastAsia" w:ascii="仿宋_GB2312" w:eastAsia="仿宋_GB2312"/>
          <w:sz w:val="28"/>
          <w:szCs w:val="28"/>
          <w:lang w:val="en-US" w:eastAsia="zh-CN"/>
        </w:rPr>
        <w:t>244,640.70</w:t>
      </w:r>
      <w:r>
        <w:rPr>
          <w:rFonts w:hint="eastAsia" w:ascii="仿宋_GB2312" w:eastAsia="仿宋_GB2312"/>
          <w:sz w:val="28"/>
          <w:szCs w:val="28"/>
        </w:rPr>
        <w:t>元，占本年财政拨款支出</w:t>
      </w:r>
      <w:r>
        <w:rPr>
          <w:rFonts w:hint="eastAsia" w:ascii="仿宋_GB2312" w:eastAsia="仿宋_GB2312"/>
          <w:sz w:val="28"/>
          <w:szCs w:val="28"/>
          <w:lang w:val="en-US" w:eastAsia="zh-CN"/>
        </w:rPr>
        <w:t>0.22</w:t>
      </w:r>
      <w:r>
        <w:rPr>
          <w:rFonts w:hint="eastAsia" w:ascii="仿宋_GB2312" w:eastAsia="仿宋_GB2312"/>
          <w:sz w:val="28"/>
          <w:szCs w:val="28"/>
        </w:rPr>
        <w:t>%</w:t>
      </w:r>
      <w:r>
        <w:rPr>
          <w:rFonts w:hint="eastAsia" w:ascii="仿宋_GB2312" w:eastAsia="仿宋_GB2312"/>
          <w:sz w:val="28"/>
          <w:szCs w:val="28"/>
          <w:lang w:eastAsia="zh-CN"/>
        </w:rPr>
        <w:t>；资源勘探工业信息等支出</w:t>
      </w:r>
      <w:r>
        <w:rPr>
          <w:rFonts w:hint="eastAsia" w:ascii="仿宋_GB2312" w:eastAsia="仿宋_GB2312"/>
          <w:sz w:val="28"/>
          <w:szCs w:val="28"/>
          <w:lang w:val="en-US" w:eastAsia="zh-CN"/>
        </w:rPr>
        <w:t>321,228.00</w:t>
      </w:r>
      <w:r>
        <w:rPr>
          <w:rFonts w:hint="eastAsia" w:ascii="仿宋_GB2312" w:eastAsia="仿宋_GB2312"/>
          <w:sz w:val="28"/>
          <w:szCs w:val="28"/>
        </w:rPr>
        <w:t>元，占本年财政拨款支出</w:t>
      </w:r>
      <w:r>
        <w:rPr>
          <w:rFonts w:hint="eastAsia" w:ascii="仿宋_GB2312" w:eastAsia="仿宋_GB2312"/>
          <w:sz w:val="28"/>
          <w:szCs w:val="28"/>
          <w:lang w:val="en-US" w:eastAsia="zh-CN"/>
        </w:rPr>
        <w:t>0.28</w:t>
      </w:r>
      <w:r>
        <w:rPr>
          <w:rFonts w:hint="eastAsia" w:ascii="仿宋_GB2312" w:eastAsia="仿宋_GB2312"/>
          <w:sz w:val="28"/>
          <w:szCs w:val="28"/>
        </w:rPr>
        <w:t>%。</w:t>
      </w:r>
    </w:p>
    <w:p w14:paraId="45AC56D8">
      <w:pPr>
        <w:numPr>
          <w:ilvl w:val="0"/>
          <w:numId w:val="1"/>
        </w:numPr>
        <w:autoSpaceDE w:val="0"/>
        <w:autoSpaceDN w:val="0"/>
        <w:adjustRightInd w:val="0"/>
        <w:spacing w:line="580" w:lineRule="exact"/>
        <w:ind w:left="0" w:leftChars="0" w:firstLine="700" w:firstLineChars="250"/>
        <w:jc w:val="left"/>
        <w:rPr>
          <w:rFonts w:hint="eastAsia" w:ascii="仿宋_GB2312" w:eastAsia="仿宋_GB2312"/>
          <w:sz w:val="28"/>
          <w:szCs w:val="28"/>
        </w:rPr>
      </w:pPr>
      <w:r>
        <w:rPr>
          <w:rFonts w:hint="eastAsia" w:ascii="仿宋_GB2312" w:eastAsia="仿宋_GB2312"/>
          <w:sz w:val="28"/>
          <w:szCs w:val="28"/>
        </w:rPr>
        <w:t>一般公共预算财政拨款支出决算具体情况</w:t>
      </w:r>
    </w:p>
    <w:p w14:paraId="4B0435F9">
      <w:pPr>
        <w:autoSpaceDE w:val="0"/>
        <w:autoSpaceDN w:val="0"/>
        <w:adjustRightInd w:val="0"/>
        <w:spacing w:line="580" w:lineRule="exact"/>
        <w:ind w:firstLine="560" w:firstLineChars="200"/>
        <w:jc w:val="left"/>
        <w:rPr>
          <w:rFonts w:ascii="仿宋_GB2312" w:eastAsia="仿宋_GB2312"/>
          <w:color w:val="auto"/>
          <w:sz w:val="28"/>
          <w:szCs w:val="28"/>
          <w:highlight w:val="none"/>
        </w:rPr>
      </w:pPr>
      <w:r>
        <w:rPr>
          <w:rFonts w:hint="eastAsia" w:ascii="仿宋_GB2312" w:eastAsia="仿宋_GB2312"/>
          <w:color w:val="auto"/>
          <w:sz w:val="28"/>
          <w:szCs w:val="28"/>
          <w:highlight w:val="none"/>
        </w:rPr>
        <w:t>1、“一般公共服务支出”（类）2025年度年初预算</w:t>
      </w:r>
      <w:r>
        <w:rPr>
          <w:rFonts w:hint="eastAsia" w:ascii="仿宋_GB2312" w:eastAsia="仿宋_GB2312"/>
          <w:color w:val="auto"/>
          <w:sz w:val="28"/>
          <w:szCs w:val="28"/>
          <w:highlight w:val="none"/>
          <w:lang w:val="en-US" w:eastAsia="zh-CN"/>
        </w:rPr>
        <w:t>112,065,891.60</w:t>
      </w:r>
      <w:r>
        <w:rPr>
          <w:rFonts w:hint="eastAsia" w:ascii="仿宋_GB2312" w:eastAsia="仿宋_GB2312"/>
          <w:color w:val="auto"/>
          <w:sz w:val="28"/>
          <w:szCs w:val="28"/>
          <w:highlight w:val="none"/>
        </w:rPr>
        <w:t>元，2025年度决算</w:t>
      </w:r>
      <w:r>
        <w:rPr>
          <w:rFonts w:hint="eastAsia" w:ascii="仿宋_GB2312" w:eastAsia="仿宋_GB2312"/>
          <w:color w:val="auto"/>
          <w:sz w:val="28"/>
          <w:szCs w:val="28"/>
          <w:highlight w:val="none"/>
          <w:lang w:val="en-US" w:eastAsia="zh-CN"/>
        </w:rPr>
        <w:t>111,646,476.48</w:t>
      </w:r>
      <w:r>
        <w:rPr>
          <w:rFonts w:hint="eastAsia" w:ascii="仿宋_GB2312" w:eastAsia="仿宋_GB2312"/>
          <w:color w:val="auto"/>
          <w:sz w:val="28"/>
          <w:szCs w:val="28"/>
          <w:highlight w:val="none"/>
        </w:rPr>
        <w:t>元，完成年初预算的</w:t>
      </w:r>
      <w:r>
        <w:rPr>
          <w:rFonts w:hint="eastAsia" w:ascii="仿宋_GB2312" w:eastAsia="仿宋_GB2312"/>
          <w:color w:val="auto"/>
          <w:sz w:val="28"/>
          <w:szCs w:val="28"/>
          <w:highlight w:val="none"/>
          <w:lang w:val="en-US" w:eastAsia="zh-CN"/>
        </w:rPr>
        <w:t>99.6</w:t>
      </w:r>
      <w:r>
        <w:rPr>
          <w:rFonts w:hint="eastAsia" w:ascii="仿宋_GB2312" w:eastAsia="仿宋_GB2312"/>
          <w:color w:val="auto"/>
          <w:sz w:val="28"/>
          <w:szCs w:val="28"/>
          <w:highlight w:val="none"/>
        </w:rPr>
        <w:t>%。</w:t>
      </w:r>
    </w:p>
    <w:p w14:paraId="6ED34F50">
      <w:pPr>
        <w:autoSpaceDE w:val="0"/>
        <w:autoSpaceDN w:val="0"/>
        <w:adjustRightInd w:val="0"/>
        <w:spacing w:line="580" w:lineRule="exact"/>
        <w:jc w:val="left"/>
        <w:rPr>
          <w:rFonts w:ascii="仿宋_GB2312" w:eastAsia="仿宋_GB2312"/>
          <w:color w:val="auto"/>
          <w:sz w:val="28"/>
          <w:szCs w:val="28"/>
          <w:highlight w:val="none"/>
        </w:rPr>
      </w:pPr>
      <w:r>
        <w:rPr>
          <w:rFonts w:hint="eastAsia" w:ascii="仿宋_GB2312" w:eastAsia="仿宋_GB2312"/>
          <w:color w:val="auto"/>
          <w:sz w:val="28"/>
          <w:szCs w:val="28"/>
          <w:highlight w:val="none"/>
        </w:rPr>
        <w:t>其中：</w:t>
      </w:r>
    </w:p>
    <w:p w14:paraId="2DF15894">
      <w:pPr>
        <w:spacing w:line="580" w:lineRule="exact"/>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“市场监督管理事务”（款）2025年度年初预算</w:t>
      </w:r>
      <w:r>
        <w:rPr>
          <w:rFonts w:hint="eastAsia" w:ascii="仿宋_GB2312" w:eastAsia="仿宋_GB2312"/>
          <w:color w:val="auto"/>
          <w:sz w:val="28"/>
          <w:szCs w:val="28"/>
          <w:highlight w:val="none"/>
          <w:lang w:val="en-US" w:eastAsia="zh-CN"/>
        </w:rPr>
        <w:t>112,065,891.60</w:t>
      </w:r>
      <w:r>
        <w:rPr>
          <w:rFonts w:hint="eastAsia" w:ascii="仿宋_GB2312" w:eastAsia="仿宋_GB2312"/>
          <w:color w:val="auto"/>
          <w:sz w:val="28"/>
          <w:szCs w:val="28"/>
          <w:highlight w:val="none"/>
        </w:rPr>
        <w:t>元，2025年度决算</w:t>
      </w:r>
      <w:r>
        <w:rPr>
          <w:rFonts w:hint="eastAsia" w:ascii="仿宋_GB2312" w:eastAsia="仿宋_GB2312"/>
          <w:color w:val="auto"/>
          <w:sz w:val="28"/>
          <w:szCs w:val="28"/>
          <w:highlight w:val="none"/>
          <w:lang w:val="en-US" w:eastAsia="zh-CN"/>
        </w:rPr>
        <w:t>111,646,476.48</w:t>
      </w:r>
      <w:r>
        <w:rPr>
          <w:rFonts w:hint="eastAsia" w:ascii="仿宋_GB2312" w:eastAsia="仿宋_GB2312"/>
          <w:color w:val="auto"/>
          <w:sz w:val="28"/>
          <w:szCs w:val="28"/>
          <w:highlight w:val="none"/>
        </w:rPr>
        <w:t>元，完成年初预算的</w:t>
      </w:r>
      <w:r>
        <w:rPr>
          <w:rFonts w:hint="eastAsia" w:ascii="仿宋_GB2312" w:eastAsia="仿宋_GB2312"/>
          <w:color w:val="auto"/>
          <w:sz w:val="28"/>
          <w:szCs w:val="28"/>
          <w:highlight w:val="none"/>
          <w:lang w:val="en-US" w:eastAsia="zh-CN"/>
        </w:rPr>
        <w:t>99.6</w:t>
      </w:r>
      <w:r>
        <w:rPr>
          <w:rFonts w:hint="eastAsia" w:ascii="仿宋_GB2312" w:eastAsia="仿宋_GB2312"/>
          <w:color w:val="auto"/>
          <w:sz w:val="28"/>
          <w:szCs w:val="28"/>
          <w:highlight w:val="none"/>
        </w:rPr>
        <w:t>%。主要原因：</w:t>
      </w:r>
      <w:r>
        <w:rPr>
          <w:rFonts w:hint="eastAsia" w:ascii="仿宋_GB2312" w:eastAsia="仿宋_GB2312"/>
          <w:color w:val="auto"/>
          <w:sz w:val="28"/>
          <w:szCs w:val="28"/>
          <w:highlight w:val="none"/>
          <w:lang w:eastAsia="zh-CN"/>
        </w:rPr>
        <w:t>压缩办公经费</w:t>
      </w:r>
      <w:r>
        <w:rPr>
          <w:rFonts w:hint="eastAsia" w:ascii="仿宋_GB2312" w:eastAsia="仿宋_GB2312"/>
          <w:color w:val="auto"/>
          <w:sz w:val="28"/>
          <w:szCs w:val="28"/>
          <w:highlight w:val="none"/>
        </w:rPr>
        <w:t>。</w:t>
      </w:r>
    </w:p>
    <w:p w14:paraId="1D41F0E7">
      <w:pPr>
        <w:spacing w:line="580" w:lineRule="exact"/>
        <w:ind w:firstLine="560" w:firstLineChars="200"/>
        <w:rPr>
          <w:rFonts w:hint="eastAsia" w:ascii="仿宋_GB2312" w:eastAsia="仿宋_GB2312"/>
          <w:color w:val="auto"/>
          <w:sz w:val="28"/>
          <w:szCs w:val="28"/>
          <w:highlight w:val="none"/>
          <w:lang w:eastAsia="zh-CN"/>
        </w:rPr>
      </w:pPr>
      <w:r>
        <w:rPr>
          <w:rFonts w:hint="eastAsia" w:ascii="仿宋_GB2312" w:eastAsia="仿宋_GB2312"/>
          <w:color w:val="auto"/>
          <w:sz w:val="28"/>
          <w:szCs w:val="28"/>
          <w:highlight w:val="none"/>
        </w:rPr>
        <w:t>2、“社会保障和就业支出”(类)2025年度年初预算</w:t>
      </w:r>
      <w:r>
        <w:rPr>
          <w:rFonts w:hint="eastAsia" w:ascii="仿宋_GB2312" w:eastAsia="仿宋_GB2312"/>
          <w:color w:val="auto"/>
          <w:sz w:val="28"/>
          <w:szCs w:val="28"/>
          <w:highlight w:val="none"/>
          <w:lang w:val="en-US" w:eastAsia="zh-CN"/>
        </w:rPr>
        <w:t>1,020,162.00</w:t>
      </w:r>
      <w:r>
        <w:rPr>
          <w:rFonts w:hint="eastAsia" w:ascii="仿宋_GB2312" w:eastAsia="仿宋_GB2312"/>
          <w:color w:val="auto"/>
          <w:sz w:val="28"/>
          <w:szCs w:val="28"/>
          <w:highlight w:val="none"/>
        </w:rPr>
        <w:t>元，2025年度决算</w:t>
      </w:r>
      <w:r>
        <w:rPr>
          <w:rFonts w:hint="eastAsia" w:ascii="仿宋_GB2312" w:eastAsia="仿宋_GB2312"/>
          <w:color w:val="auto"/>
          <w:sz w:val="28"/>
          <w:szCs w:val="28"/>
          <w:highlight w:val="none"/>
          <w:lang w:val="en-US" w:eastAsia="zh-CN"/>
        </w:rPr>
        <w:t>1,201,010.00</w:t>
      </w:r>
      <w:r>
        <w:rPr>
          <w:rFonts w:hint="eastAsia" w:ascii="仿宋_GB2312" w:eastAsia="仿宋_GB2312"/>
          <w:color w:val="auto"/>
          <w:sz w:val="28"/>
          <w:szCs w:val="28"/>
          <w:highlight w:val="none"/>
        </w:rPr>
        <w:t>元，完成年初预算的</w:t>
      </w:r>
      <w:r>
        <w:rPr>
          <w:rFonts w:hint="eastAsia" w:ascii="仿宋_GB2312" w:eastAsia="仿宋_GB2312"/>
          <w:color w:val="auto"/>
          <w:sz w:val="28"/>
          <w:szCs w:val="28"/>
          <w:highlight w:val="none"/>
          <w:lang w:val="en-US" w:eastAsia="zh-CN"/>
        </w:rPr>
        <w:t>117.7</w:t>
      </w:r>
      <w:r>
        <w:rPr>
          <w:rFonts w:hint="eastAsia" w:ascii="仿宋_GB2312" w:eastAsia="仿宋_GB2312"/>
          <w:color w:val="auto"/>
          <w:sz w:val="28"/>
          <w:szCs w:val="28"/>
          <w:highlight w:val="none"/>
        </w:rPr>
        <w:t>%。其中：</w:t>
      </w:r>
      <w:r>
        <w:rPr>
          <w:rFonts w:hint="eastAsia" w:ascii="仿宋_GB2312" w:eastAsia="仿宋_GB2312"/>
          <w:color w:val="auto"/>
          <w:sz w:val="28"/>
          <w:szCs w:val="28"/>
          <w:highlight w:val="none"/>
          <w:lang w:eastAsia="zh-CN"/>
        </w:rPr>
        <w:t>追加的社保经费。</w:t>
      </w:r>
    </w:p>
    <w:p w14:paraId="7DEF6F27">
      <w:pPr>
        <w:spacing w:line="58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3</w:t>
      </w:r>
      <w:r>
        <w:rPr>
          <w:rFonts w:hint="eastAsia" w:ascii="仿宋_GB2312" w:eastAsia="仿宋_GB2312"/>
          <w:color w:val="auto"/>
          <w:sz w:val="28"/>
          <w:szCs w:val="28"/>
          <w:highlight w:val="none"/>
        </w:rPr>
        <w:t>“农林水支出”（类）2025年度年初预算</w:t>
      </w:r>
      <w:r>
        <w:rPr>
          <w:rFonts w:hint="eastAsia" w:ascii="仿宋_GB2312" w:eastAsia="仿宋_GB2312"/>
          <w:color w:val="auto"/>
          <w:sz w:val="28"/>
          <w:szCs w:val="28"/>
          <w:highlight w:val="none"/>
          <w:lang w:val="en-US" w:eastAsia="zh-CN"/>
        </w:rPr>
        <w:t>0.00</w:t>
      </w:r>
      <w:r>
        <w:rPr>
          <w:rFonts w:hint="eastAsia" w:ascii="仿宋_GB2312" w:eastAsia="仿宋_GB2312"/>
          <w:color w:val="auto"/>
          <w:sz w:val="28"/>
          <w:szCs w:val="28"/>
          <w:highlight w:val="none"/>
        </w:rPr>
        <w:t>万元，2025年度决算</w:t>
      </w:r>
      <w:r>
        <w:rPr>
          <w:rFonts w:hint="eastAsia" w:ascii="仿宋_GB2312" w:eastAsia="仿宋_GB2312"/>
          <w:color w:val="auto"/>
          <w:sz w:val="28"/>
          <w:szCs w:val="28"/>
          <w:highlight w:val="none"/>
          <w:lang w:val="en-US" w:eastAsia="zh-CN"/>
        </w:rPr>
        <w:t>244,640.70</w:t>
      </w:r>
      <w:r>
        <w:rPr>
          <w:rFonts w:hint="eastAsia" w:ascii="仿宋_GB2312" w:eastAsia="仿宋_GB2312"/>
          <w:color w:val="auto"/>
          <w:sz w:val="28"/>
          <w:szCs w:val="28"/>
          <w:highlight w:val="none"/>
        </w:rPr>
        <w:t>元，完成年初预算的</w:t>
      </w:r>
      <w:r>
        <w:rPr>
          <w:rFonts w:hint="eastAsia" w:ascii="仿宋_GB2312" w:eastAsia="仿宋_GB2312"/>
          <w:color w:val="auto"/>
          <w:sz w:val="28"/>
          <w:szCs w:val="28"/>
          <w:highlight w:val="none"/>
          <w:lang w:val="en-US" w:eastAsia="zh-CN"/>
        </w:rPr>
        <w:t>100</w:t>
      </w:r>
      <w:r>
        <w:rPr>
          <w:rFonts w:hint="eastAsia" w:ascii="仿宋_GB2312" w:eastAsia="仿宋_GB2312"/>
          <w:color w:val="auto"/>
          <w:sz w:val="28"/>
          <w:szCs w:val="28"/>
          <w:highlight w:val="none"/>
        </w:rPr>
        <w:t>%。主要原因：</w:t>
      </w:r>
      <w:r>
        <w:rPr>
          <w:rFonts w:hint="eastAsia" w:ascii="仿宋_GB2312" w:eastAsia="仿宋_GB2312"/>
          <w:color w:val="auto"/>
          <w:sz w:val="28"/>
          <w:szCs w:val="28"/>
          <w:highlight w:val="none"/>
          <w:lang w:eastAsia="zh-CN"/>
        </w:rPr>
        <w:t>追加的项目经费</w:t>
      </w:r>
      <w:r>
        <w:rPr>
          <w:rFonts w:hint="eastAsia" w:ascii="仿宋_GB2312" w:eastAsia="仿宋_GB2312"/>
          <w:color w:val="auto"/>
          <w:sz w:val="28"/>
          <w:szCs w:val="28"/>
          <w:highlight w:val="none"/>
        </w:rPr>
        <w:t>。</w:t>
      </w:r>
    </w:p>
    <w:p w14:paraId="700FABA8">
      <w:pPr>
        <w:spacing w:line="58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4</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lang w:eastAsia="zh-CN"/>
        </w:rPr>
        <w:t>资源勘探工业信息等支出</w:t>
      </w:r>
      <w:r>
        <w:rPr>
          <w:rFonts w:hint="eastAsia" w:ascii="仿宋_GB2312" w:eastAsia="仿宋_GB2312"/>
          <w:color w:val="auto"/>
          <w:sz w:val="28"/>
          <w:szCs w:val="28"/>
          <w:highlight w:val="none"/>
        </w:rPr>
        <w:t>”（类）2025年度年初预算</w:t>
      </w:r>
      <w:r>
        <w:rPr>
          <w:rFonts w:hint="eastAsia" w:ascii="仿宋_GB2312" w:eastAsia="仿宋_GB2312"/>
          <w:color w:val="auto"/>
          <w:sz w:val="28"/>
          <w:szCs w:val="28"/>
          <w:highlight w:val="none"/>
          <w:lang w:val="en-US" w:eastAsia="zh-CN"/>
        </w:rPr>
        <w:t>0.00</w:t>
      </w:r>
      <w:r>
        <w:rPr>
          <w:rFonts w:hint="eastAsia" w:ascii="仿宋_GB2312" w:eastAsia="仿宋_GB2312"/>
          <w:color w:val="auto"/>
          <w:sz w:val="28"/>
          <w:szCs w:val="28"/>
          <w:highlight w:val="none"/>
        </w:rPr>
        <w:t>万元，2025年度决算</w:t>
      </w:r>
      <w:r>
        <w:rPr>
          <w:rFonts w:hint="eastAsia" w:ascii="仿宋_GB2312" w:eastAsia="仿宋_GB2312"/>
          <w:color w:val="auto"/>
          <w:sz w:val="28"/>
          <w:szCs w:val="28"/>
          <w:highlight w:val="none"/>
          <w:lang w:val="en-US" w:eastAsia="zh-CN"/>
        </w:rPr>
        <w:t>321,228.00</w:t>
      </w:r>
      <w:r>
        <w:rPr>
          <w:rFonts w:hint="eastAsia" w:ascii="仿宋_GB2312" w:eastAsia="仿宋_GB2312"/>
          <w:color w:val="auto"/>
          <w:sz w:val="28"/>
          <w:szCs w:val="28"/>
          <w:highlight w:val="none"/>
        </w:rPr>
        <w:t>元，完成年初预算的</w:t>
      </w:r>
      <w:r>
        <w:rPr>
          <w:rFonts w:hint="eastAsia" w:ascii="仿宋_GB2312" w:eastAsia="仿宋_GB2312"/>
          <w:color w:val="auto"/>
          <w:sz w:val="28"/>
          <w:szCs w:val="28"/>
          <w:highlight w:val="none"/>
          <w:lang w:val="en-US" w:eastAsia="zh-CN"/>
        </w:rPr>
        <w:t>100</w:t>
      </w:r>
      <w:r>
        <w:rPr>
          <w:rFonts w:hint="eastAsia" w:ascii="仿宋_GB2312" w:eastAsia="仿宋_GB2312"/>
          <w:color w:val="auto"/>
          <w:sz w:val="28"/>
          <w:szCs w:val="28"/>
          <w:highlight w:val="none"/>
        </w:rPr>
        <w:t>%。主要原因：</w:t>
      </w:r>
      <w:r>
        <w:rPr>
          <w:rFonts w:hint="eastAsia" w:ascii="仿宋_GB2312" w:eastAsia="仿宋_GB2312"/>
          <w:color w:val="auto"/>
          <w:sz w:val="28"/>
          <w:szCs w:val="28"/>
          <w:highlight w:val="none"/>
          <w:lang w:eastAsia="zh-CN"/>
        </w:rPr>
        <w:t>追加的项目经费</w:t>
      </w:r>
      <w:r>
        <w:rPr>
          <w:rFonts w:hint="eastAsia" w:ascii="仿宋_GB2312" w:eastAsia="仿宋_GB2312"/>
          <w:color w:val="auto"/>
          <w:sz w:val="28"/>
          <w:szCs w:val="28"/>
          <w:highlight w:val="none"/>
        </w:rPr>
        <w:t>。</w:t>
      </w:r>
    </w:p>
    <w:p w14:paraId="716BCE2F">
      <w:pPr>
        <w:pStyle w:val="2"/>
      </w:pPr>
    </w:p>
    <w:p w14:paraId="104FC952">
      <w:pPr>
        <w:numPr>
          <w:ilvl w:val="0"/>
          <w:numId w:val="2"/>
        </w:numPr>
        <w:spacing w:line="580" w:lineRule="exact"/>
        <w:ind w:firstLine="560" w:firstLineChars="200"/>
        <w:rPr>
          <w:rFonts w:hint="eastAsia" w:ascii="黑体" w:eastAsia="黑体"/>
          <w:b/>
          <w:sz w:val="28"/>
          <w:szCs w:val="28"/>
        </w:rPr>
      </w:pPr>
      <w:r>
        <w:rPr>
          <w:rFonts w:hint="eastAsia" w:ascii="黑体" w:eastAsia="黑体"/>
          <w:b/>
          <w:sz w:val="28"/>
          <w:szCs w:val="28"/>
        </w:rPr>
        <w:t>政府性基金预算财政拨款支出决算情况说明</w:t>
      </w:r>
    </w:p>
    <w:p w14:paraId="7661F72C">
      <w:pPr>
        <w:autoSpaceDE w:val="0"/>
        <w:autoSpaceDN w:val="0"/>
        <w:adjustRightInd w:val="0"/>
        <w:spacing w:line="580" w:lineRule="exact"/>
        <w:ind w:firstLine="420" w:firstLineChars="200"/>
        <w:jc w:val="left"/>
        <w:rPr>
          <w:rFonts w:ascii="仿宋_GB2312" w:eastAsia="仿宋_GB2312"/>
          <w:sz w:val="28"/>
          <w:szCs w:val="28"/>
        </w:rPr>
      </w:pPr>
      <w:r>
        <w:rPr>
          <w:rFonts w:hint="eastAsia"/>
          <w:lang w:val="en-US" w:eastAsia="zh-CN"/>
        </w:rPr>
        <w:t xml:space="preserve"> </w:t>
      </w:r>
      <w:r>
        <w:rPr>
          <w:rFonts w:hint="eastAsia" w:ascii="仿宋_GB2312" w:eastAsia="仿宋_GB2312"/>
          <w:sz w:val="28"/>
          <w:szCs w:val="28"/>
        </w:rPr>
        <w:t>（一）政府性基金预算财政拨款支出决算总体情况</w:t>
      </w:r>
    </w:p>
    <w:p w14:paraId="0241D1C2">
      <w:pPr>
        <w:tabs>
          <w:tab w:val="center" w:pos="6979"/>
        </w:tabs>
        <w:spacing w:line="580" w:lineRule="exact"/>
        <w:ind w:firstLine="560" w:firstLineChars="200"/>
        <w:rPr>
          <w:rFonts w:hint="default" w:ascii="仿宋_GB2312" w:hAnsi="Times New Roman" w:eastAsia="仿宋_GB2312" w:cs="Times New Roman"/>
          <w:b w:val="0"/>
          <w:bCs w:val="0"/>
          <w:color w:val="auto"/>
          <w:kern w:val="2"/>
          <w:sz w:val="28"/>
          <w:szCs w:val="28"/>
          <w:highlight w:val="none"/>
          <w:lang w:val="en-US" w:eastAsia="zh-CN" w:bidi="ar-SA"/>
        </w:rPr>
      </w:pPr>
      <w:r>
        <w:rPr>
          <w:rFonts w:hint="eastAsia" w:ascii="仿宋_GB2312" w:eastAsia="仿宋_GB2312"/>
          <w:sz w:val="28"/>
          <w:szCs w:val="28"/>
        </w:rPr>
        <w:t>2025年度政府性基金预算财政拨款支出</w:t>
      </w:r>
      <w:r>
        <w:rPr>
          <w:rFonts w:hint="eastAsia" w:ascii="仿宋_GB2312" w:eastAsia="仿宋_GB2312"/>
          <w:sz w:val="28"/>
          <w:szCs w:val="28"/>
          <w:lang w:val="en-US" w:eastAsia="zh-CN"/>
        </w:rPr>
        <w:t>0.00</w:t>
      </w:r>
      <w:r>
        <w:rPr>
          <w:rFonts w:hint="eastAsia" w:ascii="仿宋_GB2312" w:eastAsia="仿宋_GB2312"/>
          <w:sz w:val="28"/>
          <w:szCs w:val="28"/>
        </w:rPr>
        <w:t>万元。</w:t>
      </w:r>
    </w:p>
    <w:p w14:paraId="4BC4FE6F">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20B6C596">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元。</w:t>
      </w:r>
    </w:p>
    <w:p w14:paraId="587105A7">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14:paraId="362F9C97">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109</w:t>
      </w:r>
      <w:r>
        <w:rPr>
          <w:rFonts w:hint="eastAsia" w:ascii="仿宋_GB2312" w:eastAsia="仿宋_GB2312"/>
          <w:sz w:val="28"/>
          <w:szCs w:val="28"/>
          <w:lang w:val="en-US" w:eastAsia="zh-CN"/>
        </w:rPr>
        <w:t>,</w:t>
      </w:r>
      <w:r>
        <w:rPr>
          <w:rFonts w:ascii="仿宋_GB2312" w:eastAsia="仿宋_GB2312"/>
          <w:sz w:val="28"/>
          <w:szCs w:val="28"/>
        </w:rPr>
        <w:t>035</w:t>
      </w:r>
      <w:r>
        <w:rPr>
          <w:rFonts w:hint="eastAsia" w:ascii="仿宋_GB2312" w:eastAsia="仿宋_GB2312"/>
          <w:sz w:val="28"/>
          <w:szCs w:val="28"/>
          <w:lang w:val="en-US" w:eastAsia="zh-CN"/>
        </w:rPr>
        <w:t>,</w:t>
      </w:r>
      <w:r>
        <w:rPr>
          <w:rFonts w:ascii="仿宋_GB2312" w:eastAsia="仿宋_GB2312"/>
          <w:sz w:val="28"/>
          <w:szCs w:val="28"/>
        </w:rPr>
        <w:t>962.38</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14:paraId="14DB011A">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14:paraId="1297433D">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4372CA2F">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7065C84D">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824</w:t>
      </w:r>
      <w:r>
        <w:rPr>
          <w:rFonts w:hint="eastAsia" w:ascii="仿宋_GB2312" w:eastAsia="仿宋_GB2312"/>
          <w:sz w:val="28"/>
          <w:szCs w:val="28"/>
          <w:lang w:val="en-US" w:eastAsia="zh-CN"/>
        </w:rPr>
        <w:t>,</w:t>
      </w:r>
      <w:r>
        <w:rPr>
          <w:rFonts w:ascii="仿宋_GB2312" w:eastAsia="仿宋_GB2312"/>
          <w:sz w:val="28"/>
          <w:szCs w:val="28"/>
        </w:rPr>
        <w:t>459.64</w:t>
      </w:r>
      <w:r>
        <w:rPr>
          <w:rFonts w:hint="eastAsia" w:ascii="仿宋_GB2312" w:eastAsia="仿宋_GB2312"/>
          <w:sz w:val="28"/>
          <w:szCs w:val="28"/>
        </w:rPr>
        <w:t>元，比2025年度“三公”经费财政拨款年初预算</w:t>
      </w:r>
      <w:r>
        <w:rPr>
          <w:rFonts w:ascii="仿宋_GB2312" w:eastAsia="仿宋_GB2312"/>
          <w:sz w:val="28"/>
          <w:szCs w:val="28"/>
        </w:rPr>
        <w:t>872</w:t>
      </w:r>
      <w:r>
        <w:rPr>
          <w:rFonts w:hint="eastAsia" w:ascii="仿宋_GB2312" w:eastAsia="仿宋_GB2312"/>
          <w:sz w:val="28"/>
          <w:szCs w:val="28"/>
          <w:lang w:val="en-US" w:eastAsia="zh-CN"/>
        </w:rPr>
        <w:t>,</w:t>
      </w:r>
      <w:r>
        <w:rPr>
          <w:rFonts w:ascii="仿宋_GB2312" w:eastAsia="仿宋_GB2312"/>
          <w:sz w:val="28"/>
          <w:szCs w:val="28"/>
        </w:rPr>
        <w:t>276</w:t>
      </w:r>
      <w:r>
        <w:rPr>
          <w:rFonts w:hint="eastAsia" w:ascii="仿宋_GB2312" w:eastAsia="仿宋_GB2312"/>
          <w:sz w:val="28"/>
          <w:szCs w:val="28"/>
          <w:lang w:val="en-US" w:eastAsia="zh-CN"/>
        </w:rPr>
        <w:t>.00</w:t>
      </w:r>
      <w:r>
        <w:rPr>
          <w:rFonts w:hint="eastAsia" w:ascii="仿宋_GB2312" w:eastAsia="仿宋_GB2312"/>
          <w:sz w:val="28"/>
          <w:szCs w:val="28"/>
        </w:rPr>
        <w:t>元</w:t>
      </w:r>
      <w:r>
        <w:rPr>
          <w:rFonts w:hint="eastAsia" w:ascii="仿宋_GB2312" w:eastAsia="仿宋_GB2312"/>
          <w:sz w:val="28"/>
          <w:szCs w:val="28"/>
          <w:lang w:val="en-US" w:eastAsia="zh-CN"/>
        </w:rPr>
        <w:t>,</w:t>
      </w:r>
      <w:r>
        <w:rPr>
          <w:rFonts w:hint="eastAsia" w:ascii="仿宋_GB2312" w:eastAsia="仿宋_GB2312"/>
          <w:sz w:val="28"/>
          <w:szCs w:val="28"/>
        </w:rPr>
        <w:t>减少</w:t>
      </w:r>
      <w:r>
        <w:rPr>
          <w:rFonts w:ascii="仿宋_GB2312" w:eastAsia="仿宋_GB2312"/>
          <w:sz w:val="28"/>
          <w:szCs w:val="28"/>
        </w:rPr>
        <w:t>47</w:t>
      </w:r>
      <w:r>
        <w:rPr>
          <w:rFonts w:hint="eastAsia" w:ascii="仿宋_GB2312" w:eastAsia="仿宋_GB2312"/>
          <w:sz w:val="28"/>
          <w:szCs w:val="28"/>
          <w:lang w:val="en-US" w:eastAsia="zh-CN"/>
        </w:rPr>
        <w:t>,</w:t>
      </w:r>
      <w:r>
        <w:rPr>
          <w:rFonts w:ascii="仿宋_GB2312" w:eastAsia="仿宋_GB2312"/>
          <w:sz w:val="28"/>
          <w:szCs w:val="28"/>
        </w:rPr>
        <w:t>816.36</w:t>
      </w:r>
      <w:r>
        <w:rPr>
          <w:rFonts w:hint="eastAsia" w:ascii="仿宋_GB2312" w:eastAsia="仿宋_GB2312"/>
          <w:sz w:val="28"/>
          <w:szCs w:val="28"/>
        </w:rPr>
        <w:t>元。其中：</w:t>
      </w:r>
    </w:p>
    <w:p w14:paraId="000AC299">
      <w:pPr>
        <w:spacing w:line="560" w:lineRule="exact"/>
        <w:ind w:firstLine="600"/>
        <w:rPr>
          <w:rFonts w:hint="eastAsia" w:ascii="仿宋_GB2312" w:eastAsia="仿宋_GB2312"/>
          <w:sz w:val="28"/>
          <w:szCs w:val="28"/>
          <w:lang w:val="en-US" w:eastAsia="zh-CN"/>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rPr>
        <w:t>元增加（减少）</w:t>
      </w:r>
      <w:r>
        <w:rPr>
          <w:rFonts w:ascii="仿宋_GB2312" w:eastAsia="仿宋_GB2312"/>
          <w:sz w:val="28"/>
          <w:szCs w:val="28"/>
        </w:rPr>
        <w:t>0</w:t>
      </w:r>
      <w:r>
        <w:rPr>
          <w:rFonts w:hint="eastAsia" w:ascii="仿宋_GB2312" w:eastAsia="仿宋_GB2312"/>
          <w:sz w:val="28"/>
          <w:szCs w:val="28"/>
        </w:rPr>
        <w:t>元。主要原因：</w:t>
      </w:r>
      <w:r>
        <w:rPr>
          <w:rFonts w:hint="eastAsia" w:ascii="仿宋_GB2312" w:eastAsia="仿宋_GB2312"/>
          <w:sz w:val="28"/>
          <w:szCs w:val="28"/>
          <w:lang w:val="en-US" w:eastAsia="zh-CN"/>
        </w:rPr>
        <w:t>2025年度</w:t>
      </w:r>
      <w:r>
        <w:rPr>
          <w:rFonts w:hint="eastAsia" w:ascii="仿宋_GB2312" w:eastAsia="仿宋_GB2312"/>
          <w:sz w:val="28"/>
          <w:szCs w:val="28"/>
          <w:lang w:eastAsia="zh-CN"/>
        </w:rPr>
        <w:t>未发生</w:t>
      </w:r>
      <w:r>
        <w:rPr>
          <w:rFonts w:hint="eastAsia" w:ascii="仿宋_GB2312" w:eastAsia="仿宋_GB2312"/>
          <w:sz w:val="28"/>
          <w:szCs w:val="28"/>
        </w:rPr>
        <w:t>因公出国（境）费用</w:t>
      </w:r>
      <w:r>
        <w:rPr>
          <w:rFonts w:hint="eastAsia" w:ascii="仿宋_GB2312" w:eastAsia="仿宋_GB2312"/>
          <w:sz w:val="28"/>
          <w:szCs w:val="28"/>
          <w:lang w:eastAsia="zh-CN"/>
        </w:rPr>
        <w:t>。</w:t>
      </w:r>
    </w:p>
    <w:p w14:paraId="6E3A5F8B">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44</w:t>
      </w:r>
      <w:r>
        <w:rPr>
          <w:rFonts w:hint="eastAsia" w:ascii="仿宋_GB2312" w:eastAsia="仿宋_GB2312"/>
          <w:sz w:val="28"/>
          <w:szCs w:val="28"/>
          <w:lang w:val="en-US" w:eastAsia="zh-CN"/>
        </w:rPr>
        <w:t>,</w:t>
      </w:r>
      <w:r>
        <w:rPr>
          <w:rFonts w:ascii="仿宋_GB2312" w:eastAsia="仿宋_GB2312"/>
          <w:sz w:val="28"/>
          <w:szCs w:val="28"/>
        </w:rPr>
        <w:t>276</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44</w:t>
      </w:r>
      <w:r>
        <w:rPr>
          <w:rFonts w:hint="eastAsia" w:ascii="仿宋_GB2312" w:eastAsia="仿宋_GB2312"/>
          <w:sz w:val="28"/>
          <w:szCs w:val="28"/>
          <w:lang w:val="en-US" w:eastAsia="zh-CN"/>
        </w:rPr>
        <w:t>,</w:t>
      </w:r>
      <w:r>
        <w:rPr>
          <w:rFonts w:ascii="仿宋_GB2312" w:eastAsia="仿宋_GB2312"/>
          <w:sz w:val="28"/>
          <w:szCs w:val="28"/>
        </w:rPr>
        <w:t>276</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eastAsia="仿宋_GB2312"/>
          <w:sz w:val="28"/>
          <w:szCs w:val="28"/>
          <w:lang w:val="en-US" w:eastAsia="zh-CN"/>
        </w:rPr>
        <w:t>2025年度</w:t>
      </w:r>
      <w:r>
        <w:rPr>
          <w:rFonts w:hint="eastAsia" w:ascii="仿宋_GB2312" w:eastAsia="仿宋_GB2312"/>
          <w:sz w:val="28"/>
          <w:szCs w:val="28"/>
          <w:lang w:eastAsia="zh-CN"/>
        </w:rPr>
        <w:t>未发生</w:t>
      </w:r>
      <w:r>
        <w:rPr>
          <w:rFonts w:hint="eastAsia" w:ascii="仿宋_GB2312" w:eastAsia="仿宋_GB2312"/>
          <w:sz w:val="28"/>
          <w:szCs w:val="28"/>
        </w:rPr>
        <w:t>公务接待费。</w:t>
      </w:r>
    </w:p>
    <w:p w14:paraId="08561347">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824</w:t>
      </w:r>
      <w:r>
        <w:rPr>
          <w:rFonts w:hint="eastAsia" w:ascii="仿宋_GB2312" w:eastAsia="仿宋_GB2312"/>
          <w:sz w:val="28"/>
          <w:szCs w:val="28"/>
          <w:lang w:val="en-US" w:eastAsia="zh-CN"/>
        </w:rPr>
        <w:t>,</w:t>
      </w:r>
      <w:r>
        <w:rPr>
          <w:rFonts w:ascii="仿宋_GB2312" w:eastAsia="仿宋_GB2312"/>
          <w:sz w:val="28"/>
          <w:szCs w:val="28"/>
        </w:rPr>
        <w:t>459.64</w:t>
      </w:r>
      <w:r>
        <w:rPr>
          <w:rFonts w:hint="eastAsia" w:ascii="仿宋_GB2312" w:eastAsia="仿宋_GB2312"/>
          <w:sz w:val="28"/>
          <w:szCs w:val="28"/>
        </w:rPr>
        <w:t>元，比2025年度年初预算数</w:t>
      </w:r>
      <w:r>
        <w:rPr>
          <w:rFonts w:ascii="仿宋_GB2312" w:eastAsia="仿宋_GB2312"/>
          <w:sz w:val="28"/>
          <w:szCs w:val="28"/>
        </w:rPr>
        <w:t>828</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元减少</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540.36</w:t>
      </w:r>
      <w:r>
        <w:rPr>
          <w:rFonts w:hint="eastAsia" w:ascii="仿宋_GB2312" w:eastAsia="仿宋_GB2312"/>
          <w:sz w:val="28"/>
          <w:szCs w:val="28"/>
        </w:rPr>
        <w:t>元。其中，公务用车购置费2025年度决算数427</w:t>
      </w:r>
      <w:r>
        <w:rPr>
          <w:rFonts w:hint="eastAsia" w:ascii="仿宋_GB2312" w:eastAsia="仿宋_GB2312"/>
          <w:sz w:val="28"/>
          <w:szCs w:val="28"/>
          <w:lang w:val="en-US" w:eastAsia="zh-CN"/>
        </w:rPr>
        <w:t>,</w:t>
      </w:r>
      <w:r>
        <w:rPr>
          <w:rFonts w:hint="eastAsia" w:ascii="仿宋_GB2312" w:eastAsia="仿宋_GB2312"/>
          <w:sz w:val="28"/>
          <w:szCs w:val="28"/>
        </w:rPr>
        <w:t>900</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eastAsia="仿宋_GB2312"/>
          <w:sz w:val="28"/>
          <w:szCs w:val="28"/>
          <w:lang w:eastAsia="zh-CN"/>
        </w:rPr>
        <w:t>更新执法车</w:t>
      </w:r>
      <w:r>
        <w:rPr>
          <w:rFonts w:hint="eastAsia" w:ascii="仿宋_GB2312" w:eastAsia="仿宋_GB2312"/>
          <w:sz w:val="28"/>
          <w:szCs w:val="28"/>
        </w:rPr>
        <w:t>，2025年度更新2辆。公务用车运行维护费2025年度决算数396</w:t>
      </w:r>
      <w:r>
        <w:rPr>
          <w:rFonts w:hint="eastAsia" w:ascii="仿宋_GB2312" w:eastAsia="仿宋_GB2312"/>
          <w:sz w:val="28"/>
          <w:szCs w:val="28"/>
          <w:lang w:val="en-US" w:eastAsia="zh-CN"/>
        </w:rPr>
        <w:t>,</w:t>
      </w:r>
      <w:r>
        <w:rPr>
          <w:rFonts w:hint="eastAsia" w:ascii="仿宋_GB2312" w:eastAsia="仿宋_GB2312"/>
          <w:sz w:val="28"/>
          <w:szCs w:val="28"/>
        </w:rPr>
        <w:t>559.64元，主要原因：</w:t>
      </w:r>
      <w:r>
        <w:rPr>
          <w:rFonts w:hint="eastAsia" w:ascii="仿宋_GB2312" w:eastAsia="仿宋_GB2312"/>
          <w:sz w:val="28"/>
          <w:szCs w:val="28"/>
          <w:lang w:eastAsia="zh-CN"/>
        </w:rPr>
        <w:t>压缩</w:t>
      </w:r>
      <w:r>
        <w:rPr>
          <w:rFonts w:hint="eastAsia" w:ascii="仿宋_GB2312" w:eastAsia="仿宋_GB2312"/>
          <w:sz w:val="28"/>
          <w:szCs w:val="28"/>
        </w:rPr>
        <w:t>公务用车运行维护费。2025年度公务用车保有量</w:t>
      </w:r>
      <w:r>
        <w:rPr>
          <w:rFonts w:ascii="仿宋_GB2312" w:eastAsia="仿宋_GB2312"/>
          <w:sz w:val="28"/>
          <w:szCs w:val="28"/>
        </w:rPr>
        <w:t>46</w:t>
      </w:r>
      <w:r>
        <w:rPr>
          <w:rFonts w:hint="eastAsia" w:ascii="仿宋_GB2312" w:eastAsia="仿宋_GB2312"/>
          <w:sz w:val="28"/>
          <w:szCs w:val="28"/>
        </w:rPr>
        <w:t>辆。</w:t>
      </w:r>
    </w:p>
    <w:p w14:paraId="1F27A4EE">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14:paraId="41EC9A63">
      <w:pPr>
        <w:ind w:firstLine="537" w:firstLineChars="192"/>
        <w:rPr>
          <w:rFonts w:ascii="仿宋_GB2312" w:eastAsia="仿宋_GB2312"/>
          <w:sz w:val="28"/>
          <w:szCs w:val="28"/>
        </w:rPr>
      </w:pPr>
      <w:r>
        <w:rPr>
          <w:rFonts w:hint="eastAsia" w:ascii="仿宋_GB2312" w:eastAsia="仿宋_GB2312"/>
          <w:sz w:val="28"/>
          <w:szCs w:val="28"/>
        </w:rPr>
        <w:t>2025年度机关运行经费支出合计6</w:t>
      </w:r>
      <w:r>
        <w:rPr>
          <w:rFonts w:hint="eastAsia" w:ascii="仿宋_GB2312" w:eastAsia="仿宋_GB2312"/>
          <w:sz w:val="28"/>
          <w:szCs w:val="28"/>
          <w:lang w:val="en-US" w:eastAsia="zh-CN"/>
        </w:rPr>
        <w:t>,</w:t>
      </w:r>
      <w:r>
        <w:rPr>
          <w:rFonts w:hint="eastAsia" w:ascii="仿宋_GB2312" w:eastAsia="仿宋_GB2312"/>
          <w:sz w:val="28"/>
          <w:szCs w:val="28"/>
        </w:rPr>
        <w:t>941</w:t>
      </w:r>
      <w:r>
        <w:rPr>
          <w:rFonts w:hint="eastAsia" w:ascii="仿宋_GB2312" w:eastAsia="仿宋_GB2312"/>
          <w:sz w:val="28"/>
          <w:szCs w:val="28"/>
          <w:lang w:val="en-US" w:eastAsia="zh-CN"/>
        </w:rPr>
        <w:t>,</w:t>
      </w:r>
      <w:r>
        <w:rPr>
          <w:rFonts w:hint="eastAsia" w:ascii="仿宋_GB2312" w:eastAsia="仿宋_GB2312"/>
          <w:sz w:val="28"/>
          <w:szCs w:val="28"/>
        </w:rPr>
        <w:t>423.84元，比上年增加</w:t>
      </w:r>
      <w:r>
        <w:rPr>
          <w:rFonts w:hint="eastAsia" w:ascii="仿宋_GB2312" w:eastAsia="仿宋_GB2312"/>
          <w:sz w:val="28"/>
          <w:szCs w:val="28"/>
          <w:lang w:val="en-US" w:eastAsia="zh-CN"/>
        </w:rPr>
        <w:t>113,154.43</w:t>
      </w:r>
      <w:r>
        <w:rPr>
          <w:rFonts w:hint="eastAsia" w:ascii="仿宋_GB2312" w:eastAsia="仿宋_GB2312"/>
          <w:sz w:val="28"/>
          <w:szCs w:val="28"/>
        </w:rPr>
        <w:t>元，增加原因：</w:t>
      </w:r>
      <w:r>
        <w:rPr>
          <w:rFonts w:hint="eastAsia" w:ascii="仿宋_GB2312" w:eastAsia="仿宋_GB2312"/>
          <w:sz w:val="28"/>
          <w:szCs w:val="28"/>
          <w:lang w:eastAsia="zh-CN"/>
        </w:rPr>
        <w:t>办公场所老旧，维护成本略有上升</w:t>
      </w:r>
      <w:r>
        <w:rPr>
          <w:rFonts w:hint="eastAsia" w:ascii="仿宋_GB2312" w:eastAsia="仿宋_GB2312"/>
          <w:sz w:val="28"/>
          <w:szCs w:val="28"/>
        </w:rPr>
        <w:t>。</w:t>
      </w:r>
    </w:p>
    <w:p w14:paraId="7D902FA1">
      <w:pPr>
        <w:ind w:left="540"/>
        <w:rPr>
          <w:rFonts w:ascii="黑体" w:eastAsia="黑体"/>
          <w:sz w:val="28"/>
          <w:szCs w:val="28"/>
        </w:rPr>
      </w:pPr>
      <w:r>
        <w:rPr>
          <w:rFonts w:hint="eastAsia" w:ascii="黑体" w:eastAsia="黑体"/>
          <w:sz w:val="28"/>
          <w:szCs w:val="28"/>
        </w:rPr>
        <w:t>三、政府采购支出情况</w:t>
      </w:r>
    </w:p>
    <w:p w14:paraId="21ECBA19">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825</w:t>
      </w:r>
      <w:r>
        <w:rPr>
          <w:rFonts w:hint="eastAsia" w:ascii="仿宋_GB2312" w:eastAsia="仿宋_GB2312"/>
          <w:sz w:val="28"/>
          <w:szCs w:val="28"/>
          <w:lang w:val="en-US" w:eastAsia="zh-CN"/>
        </w:rPr>
        <w:t>,</w:t>
      </w:r>
      <w:r>
        <w:rPr>
          <w:rFonts w:ascii="仿宋_GB2312" w:eastAsia="仿宋_GB2312"/>
          <w:sz w:val="28"/>
          <w:szCs w:val="28"/>
        </w:rPr>
        <w:t>738.12</w:t>
      </w:r>
      <w:r>
        <w:rPr>
          <w:rFonts w:hint="eastAsia" w:ascii="仿宋_GB2312" w:eastAsia="仿宋_GB2312"/>
          <w:sz w:val="28"/>
          <w:szCs w:val="28"/>
        </w:rPr>
        <w:t>元，其中：政府采购货物支出</w:t>
      </w:r>
      <w:r>
        <w:rPr>
          <w:rFonts w:ascii="仿宋_GB2312" w:eastAsia="仿宋_GB2312"/>
          <w:sz w:val="28"/>
          <w:szCs w:val="28"/>
        </w:rPr>
        <w:t>976</w:t>
      </w:r>
      <w:r>
        <w:rPr>
          <w:rFonts w:hint="eastAsia" w:ascii="仿宋_GB2312" w:eastAsia="仿宋_GB2312"/>
          <w:sz w:val="28"/>
          <w:szCs w:val="28"/>
          <w:lang w:val="en-US" w:eastAsia="zh-CN"/>
        </w:rPr>
        <w:t>,</w:t>
      </w:r>
      <w:r>
        <w:rPr>
          <w:rFonts w:ascii="仿宋_GB2312" w:eastAsia="仿宋_GB2312"/>
          <w:sz w:val="28"/>
          <w:szCs w:val="28"/>
        </w:rPr>
        <w:t>824.33</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848</w:t>
      </w:r>
      <w:r>
        <w:rPr>
          <w:rFonts w:hint="eastAsia" w:ascii="仿宋_GB2312" w:eastAsia="仿宋_GB2312"/>
          <w:sz w:val="28"/>
          <w:szCs w:val="28"/>
          <w:lang w:val="en-US" w:eastAsia="zh-CN"/>
        </w:rPr>
        <w:t>,</w:t>
      </w:r>
      <w:r>
        <w:rPr>
          <w:rFonts w:ascii="仿宋_GB2312" w:eastAsia="仿宋_GB2312"/>
          <w:sz w:val="28"/>
          <w:szCs w:val="28"/>
        </w:rPr>
        <w:t>913.79</w:t>
      </w:r>
      <w:r>
        <w:rPr>
          <w:rFonts w:hint="eastAsia" w:ascii="仿宋_GB2312" w:eastAsia="仿宋_GB2312"/>
          <w:sz w:val="28"/>
          <w:szCs w:val="28"/>
        </w:rPr>
        <w:t>元。授予中小企业合同金额</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626</w:t>
      </w:r>
      <w:r>
        <w:rPr>
          <w:rFonts w:hint="eastAsia" w:ascii="仿宋_GB2312" w:eastAsia="仿宋_GB2312"/>
          <w:sz w:val="28"/>
          <w:szCs w:val="28"/>
          <w:lang w:val="en-US" w:eastAsia="zh-CN"/>
        </w:rPr>
        <w:t>,</w:t>
      </w:r>
      <w:r>
        <w:rPr>
          <w:rFonts w:ascii="仿宋_GB2312" w:eastAsia="仿宋_GB2312"/>
          <w:sz w:val="28"/>
          <w:szCs w:val="28"/>
        </w:rPr>
        <w:t>326.33</w:t>
      </w:r>
      <w:r>
        <w:rPr>
          <w:rFonts w:hint="eastAsia" w:ascii="仿宋_GB2312" w:eastAsia="仿宋_GB2312"/>
          <w:sz w:val="28"/>
          <w:szCs w:val="28"/>
        </w:rPr>
        <w:t>元，占政府采购支出总额的75.</w:t>
      </w:r>
      <w:r>
        <w:rPr>
          <w:rFonts w:hint="eastAsia" w:ascii="仿宋_GB2312" w:eastAsia="仿宋_GB2312"/>
          <w:sz w:val="28"/>
          <w:szCs w:val="28"/>
          <w:lang w:val="en-US" w:eastAsia="zh-CN"/>
        </w:rPr>
        <w:t>2</w:t>
      </w:r>
      <w:r>
        <w:rPr>
          <w:rFonts w:hint="eastAsia" w:ascii="仿宋_GB2312" w:eastAsia="仿宋_GB2312"/>
          <w:sz w:val="28"/>
          <w:szCs w:val="28"/>
        </w:rPr>
        <w:t>%，其中：授予小微企业合同金额</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305</w:t>
      </w:r>
      <w:r>
        <w:rPr>
          <w:rFonts w:hint="eastAsia" w:ascii="仿宋_GB2312" w:eastAsia="仿宋_GB2312"/>
          <w:sz w:val="28"/>
          <w:szCs w:val="28"/>
          <w:lang w:val="en-US" w:eastAsia="zh-CN"/>
        </w:rPr>
        <w:t>,</w:t>
      </w:r>
      <w:r>
        <w:rPr>
          <w:rFonts w:ascii="仿宋_GB2312" w:eastAsia="仿宋_GB2312"/>
          <w:sz w:val="28"/>
          <w:szCs w:val="28"/>
        </w:rPr>
        <w:t>098.33</w:t>
      </w:r>
      <w:r>
        <w:rPr>
          <w:rFonts w:hint="eastAsia" w:ascii="仿宋_GB2312" w:eastAsia="仿宋_GB2312"/>
          <w:sz w:val="28"/>
          <w:szCs w:val="28"/>
        </w:rPr>
        <w:t>元，占政府采购支出总额的</w:t>
      </w:r>
      <w:r>
        <w:rPr>
          <w:rFonts w:ascii="仿宋_GB2312" w:eastAsia="仿宋_GB2312"/>
          <w:sz w:val="28"/>
          <w:szCs w:val="28"/>
        </w:rPr>
        <w:t>68.</w:t>
      </w:r>
      <w:r>
        <w:rPr>
          <w:rFonts w:hint="eastAsia" w:ascii="仿宋_GB2312" w:eastAsia="仿宋_GB2312"/>
          <w:sz w:val="28"/>
          <w:szCs w:val="28"/>
          <w:lang w:val="en-US" w:eastAsia="zh-CN"/>
        </w:rPr>
        <w:t>5</w:t>
      </w:r>
      <w:r>
        <w:rPr>
          <w:rFonts w:hint="eastAsia" w:ascii="仿宋_GB2312" w:eastAsia="仿宋_GB2312"/>
          <w:sz w:val="28"/>
          <w:szCs w:val="28"/>
        </w:rPr>
        <w:t>%。</w:t>
      </w:r>
    </w:p>
    <w:p w14:paraId="27DBCA73">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294A0DC9">
      <w:pPr>
        <w:ind w:firstLine="560" w:firstLineChars="200"/>
        <w:rPr>
          <w:rFonts w:ascii="仿宋_GB2312" w:eastAsia="仿宋_GB2312"/>
          <w:sz w:val="32"/>
          <w:szCs w:val="32"/>
        </w:rPr>
      </w:pPr>
      <w:r>
        <w:rPr>
          <w:rFonts w:hint="eastAsia" w:ascii="仿宋_GB2312" w:eastAsia="仿宋_GB2312"/>
          <w:sz w:val="28"/>
          <w:szCs w:val="28"/>
        </w:rPr>
        <w:t>截至12月31日，北京市门头沟区市场监督管理局共有车辆46台；单位价值100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14:paraId="2FF01151">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32325DA0">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22E31A49">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4C730363">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00D6821B">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1C7236B7">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5C3B276E">
      <w:pPr>
        <w:ind w:firstLine="560" w:firstLineChars="200"/>
        <w:rPr>
          <w:rFonts w:ascii="仿宋_GB2312" w:eastAsia="仿宋_GB2312"/>
          <w:bCs/>
          <w:sz w:val="28"/>
          <w:szCs w:val="28"/>
        </w:rPr>
      </w:pPr>
      <w:r>
        <w:rPr>
          <w:rFonts w:hint="eastAsia" w:ascii="仿宋_GB2312" w:eastAsia="仿宋_GB2312"/>
          <w:sz w:val="28"/>
          <w:szCs w:val="28"/>
        </w:rPr>
        <w:t>6.一般公共服务支出（类）市场监督管理事务（款）行政运行（项）：反映行政单位的基本支出。</w:t>
      </w:r>
    </w:p>
    <w:p w14:paraId="1C9C3F2F">
      <w:pPr>
        <w:ind w:firstLine="420" w:firstLineChars="150"/>
        <w:rPr>
          <w:rFonts w:ascii="仿宋_GB2312" w:eastAsia="仿宋_GB2312"/>
          <w:sz w:val="28"/>
          <w:szCs w:val="28"/>
        </w:rPr>
      </w:pPr>
    </w:p>
    <w:p w14:paraId="101F38EC">
      <w:pPr>
        <w:rPr>
          <w:rFonts w:ascii="黑体" w:eastAsia="黑体"/>
          <w:sz w:val="32"/>
          <w:szCs w:val="32"/>
        </w:rPr>
      </w:pPr>
    </w:p>
    <w:p w14:paraId="14CEB557">
      <w:pPr>
        <w:tabs>
          <w:tab w:val="center" w:pos="6979"/>
        </w:tabs>
        <w:spacing w:line="380" w:lineRule="exact"/>
        <w:jc w:val="center"/>
        <w:rPr>
          <w:rFonts w:ascii="宋体" w:hAnsi="宋体" w:cs="宋体"/>
          <w:b/>
          <w:bCs/>
          <w:kern w:val="0"/>
          <w:sz w:val="28"/>
          <w:szCs w:val="28"/>
        </w:rPr>
      </w:pPr>
    </w:p>
    <w:p w14:paraId="2865B6CB">
      <w:pPr>
        <w:tabs>
          <w:tab w:val="center" w:pos="6979"/>
        </w:tabs>
        <w:spacing w:line="380" w:lineRule="exact"/>
        <w:jc w:val="center"/>
        <w:rPr>
          <w:rFonts w:ascii="宋体" w:hAnsi="宋体" w:cs="宋体"/>
          <w:b/>
          <w:bCs/>
          <w:kern w:val="0"/>
          <w:sz w:val="28"/>
          <w:szCs w:val="28"/>
        </w:rPr>
      </w:pPr>
    </w:p>
    <w:p w14:paraId="4EBC325E">
      <w:pPr>
        <w:rPr>
          <w:rFonts w:ascii="黑体" w:eastAsia="黑体"/>
          <w:sz w:val="32"/>
          <w:szCs w:val="32"/>
        </w:rPr>
      </w:pPr>
    </w:p>
    <w:p w14:paraId="53BC1880">
      <w:pPr>
        <w:ind w:firstLine="640" w:firstLineChars="200"/>
        <w:jc w:val="center"/>
        <w:rPr>
          <w:rFonts w:ascii="黑体" w:eastAsia="黑体"/>
          <w:sz w:val="32"/>
          <w:szCs w:val="32"/>
        </w:rPr>
      </w:pPr>
    </w:p>
    <w:p w14:paraId="158FBB36">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14:paraId="60F5FF4D">
      <w:pPr>
        <w:tabs>
          <w:tab w:val="center" w:pos="6979"/>
        </w:tabs>
        <w:spacing w:line="580" w:lineRule="exact"/>
        <w:ind w:firstLine="560" w:firstLineChars="200"/>
        <w:jc w:val="center"/>
        <w:rPr>
          <w:rFonts w:hint="eastAsia" w:ascii="华文中宋" w:hAnsi="华文中宋" w:eastAsia="华文中宋"/>
          <w:sz w:val="28"/>
          <w:szCs w:val="28"/>
        </w:rPr>
      </w:pPr>
    </w:p>
    <w:p w14:paraId="24198D19">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14:paraId="5A0C760B">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14:paraId="4A2D701F">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14:paraId="339C97D5">
      <w:pPr>
        <w:spacing w:line="520" w:lineRule="exact"/>
        <w:ind w:firstLine="640"/>
        <w:rPr>
          <w:rFonts w:hint="eastAsia" w:ascii="仿宋_GB2312" w:eastAsia="仿宋_GB2312"/>
          <w:sz w:val="28"/>
          <w:szCs w:val="28"/>
        </w:rPr>
      </w:pPr>
      <w:r>
        <w:rPr>
          <w:rFonts w:hint="eastAsia" w:ascii="仿宋_GB2312" w:eastAsia="仿宋_GB2312"/>
          <w:sz w:val="28"/>
          <w:szCs w:val="28"/>
        </w:rPr>
        <w:t>北京市门头沟区市场监督管理局于2019年3月22日挂牌成立，负有以下主要职责：负责本区市场综合监督管理；负责本区市场主体统一登记注册；负责组织和指导本区市场监管综合执法工作；负责监督管理本区市场秩序；负责本区宏观质量管理；负责本区产品质量安全监督管理；负责本区特种设备安全监督管理；负责本区食品安全监督管理综合协调；负责本区食品安全监督管理；负责统一管理本区计量工作；负责统一管理本区标准化工作；根据国家认证认可监督管理部门授权，依法组织对本区认证活动实施监督；负责本区市场监督管理科技和信息化建设、新闻宣传、对外交流与合作；负责本区药品零售、医疗器械经营的许可、检查和处罚，以及化妆品经营和药品、医疗器械使用环节质量的检查和处罚；负责组织指导实施本区商标专利执法工作；完成区委、区政府交办的其他任务。</w:t>
      </w:r>
    </w:p>
    <w:p w14:paraId="7ABDA254">
      <w:pPr>
        <w:pStyle w:val="2"/>
        <w:rPr>
          <w:rFonts w:hint="eastAsia"/>
        </w:rPr>
      </w:pPr>
    </w:p>
    <w:p w14:paraId="1DD159D3">
      <w:pPr>
        <w:numPr>
          <w:ilvl w:val="0"/>
          <w:numId w:val="3"/>
        </w:numPr>
        <w:spacing w:line="580" w:lineRule="exact"/>
        <w:ind w:firstLine="640"/>
        <w:rPr>
          <w:rFonts w:hint="eastAsia" w:ascii="仿宋_GB2312" w:eastAsia="仿宋_GB2312"/>
          <w:sz w:val="32"/>
          <w:szCs w:val="32"/>
        </w:rPr>
      </w:pPr>
      <w:r>
        <w:rPr>
          <w:rFonts w:hint="eastAsia" w:ascii="仿宋_GB2312" w:eastAsia="仿宋_GB2312"/>
          <w:sz w:val="32"/>
          <w:szCs w:val="32"/>
        </w:rPr>
        <w:t>部门机构设置情况</w:t>
      </w:r>
    </w:p>
    <w:p w14:paraId="05CEFD2F">
      <w:pPr>
        <w:numPr>
          <w:ilvl w:val="0"/>
          <w:numId w:val="0"/>
        </w:numPr>
        <w:spacing w:line="520" w:lineRule="exact"/>
        <w:ind w:firstLine="560" w:firstLineChars="200"/>
        <w:rPr>
          <w:rFonts w:hint="eastAsia"/>
        </w:rPr>
      </w:pPr>
      <w:r>
        <w:rPr>
          <w:rFonts w:hint="eastAsia" w:ascii="仿宋_GB2312" w:eastAsia="仿宋_GB2312"/>
          <w:sz w:val="28"/>
          <w:szCs w:val="28"/>
        </w:rPr>
        <w:t>本部门共设22个内设机构，包括办公室、法制科、财务审计科、人事教育科及相关业务科；15个派出机构，包括龙泉、大峪、永定、城子、石龙等市场监督管理所；下设7个事业单位，包括</w:t>
      </w:r>
      <w:r>
        <w:rPr>
          <w:rFonts w:hint="eastAsia" w:ascii="仿宋_GB2312" w:eastAsia="仿宋_GB2312"/>
          <w:sz w:val="28"/>
          <w:szCs w:val="28"/>
          <w:lang w:eastAsia="zh-CN"/>
        </w:rPr>
        <w:t>门头沟区知识产权服务中心、门头沟区特种设备检测所</w:t>
      </w:r>
      <w:r>
        <w:rPr>
          <w:rFonts w:hint="eastAsia" w:ascii="仿宋_GB2312" w:eastAsia="仿宋_GB2312"/>
          <w:sz w:val="28"/>
          <w:szCs w:val="28"/>
        </w:rPr>
        <w:t>、</w:t>
      </w:r>
      <w:r>
        <w:rPr>
          <w:rFonts w:hint="eastAsia" w:ascii="仿宋_GB2312" w:eastAsia="仿宋_GB2312"/>
          <w:sz w:val="28"/>
          <w:szCs w:val="28"/>
          <w:lang w:eastAsia="zh-CN"/>
        </w:rPr>
        <w:t>门头沟区消费者协会、门头沟区市场监督管理综合服务保障中心、门头沟区市场监督管理政务服务中心、门头沟区市场监督管理检验检测所、门头沟区私营个体经济指导服务中心</w:t>
      </w:r>
      <w:r>
        <w:rPr>
          <w:rFonts w:hint="eastAsia" w:ascii="仿宋_GB2312" w:eastAsia="仿宋_GB2312"/>
          <w:sz w:val="28"/>
          <w:szCs w:val="28"/>
        </w:rPr>
        <w:t>。</w:t>
      </w:r>
    </w:p>
    <w:p w14:paraId="73903E19">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14:paraId="123EE3E1">
      <w:pPr>
        <w:spacing w:line="520" w:lineRule="exact"/>
        <w:ind w:firstLine="640"/>
        <w:rPr>
          <w:rFonts w:hint="eastAsia"/>
        </w:rPr>
      </w:pP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本部门立足本职工作，主动履职尽责，重点打击不正当竞争、假冒伪劣、虚假宣传、合同欺诈、价格欺诈、商标侵权等违法行为，加大食品、药品、特种设备、产品质量安全违法行为惩处力度，保障区域民生安全;持续优化营商环境，不断创新监管方式，努力打造公平、透明、便捷、有序的市场环境，最大深度激发市场活力和社会创造力;深化质量提升，落实企业主体责任，加大“双随机、一公开”抽查和跨部门联合检查力度，建立跨部门失信联合惩戒机制，不断完善以信用监管为核心的新型监管体系，做到监管效能最大化、监管成本最优化、对市场主体干扰最小化，实现“一次抽查、全面体检”，提高市场监管效能;防范风险隐患，筑牢食药安全底线，加强食品安全、特种设备安全、产品质量安全日常监管、监督抽检和专项整治，解决突出问题，做好安全风险隐患排查，以及重大活动安全保障工作，深入推进特种设备安全“双预防”工作，实行药械环节全主体、全品种、全链条监管，完善从伤害监测、监督抽查、风险监测到缺陷召回的产品质量全链条监管体系，加大产品质量监督抽查力度，按照“四个最严”要求，把守住底线作为市场监管工作的重中之重；深入推进“放心消费”创建活动，加强与民生相关的教育、医疗、商品房销售、养老、旅游等领域的价格监管力度，努力营造更加安全放心的消费环境，不断增强辖区百姓的安全感、获得感、幸福感。</w:t>
      </w:r>
    </w:p>
    <w:bookmarkEnd w:id="0"/>
    <w:p w14:paraId="6B9C3F20">
      <w:pPr>
        <w:numPr>
          <w:ilvl w:val="0"/>
          <w:numId w:val="3"/>
        </w:numPr>
        <w:spacing w:line="580" w:lineRule="exact"/>
        <w:ind w:left="0" w:leftChars="0" w:firstLine="640" w:firstLineChars="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部门</w:t>
      </w:r>
      <w:bookmarkEnd w:id="1"/>
      <w:r>
        <w:rPr>
          <w:rFonts w:hint="eastAsia" w:ascii="仿宋_GB2312" w:eastAsia="仿宋_GB2312"/>
          <w:sz w:val="32"/>
          <w:szCs w:val="32"/>
        </w:rPr>
        <w:t>整体绩效目标设立情况</w:t>
      </w:r>
    </w:p>
    <w:tbl>
      <w:tblPr>
        <w:tblStyle w:val="10"/>
        <w:tblW w:w="13327" w:type="dxa"/>
        <w:tblInd w:w="0" w:type="dxa"/>
        <w:tblLayout w:type="fixed"/>
        <w:tblCellMar>
          <w:top w:w="0" w:type="dxa"/>
          <w:left w:w="108" w:type="dxa"/>
          <w:bottom w:w="0" w:type="dxa"/>
          <w:right w:w="108" w:type="dxa"/>
        </w:tblCellMar>
      </w:tblPr>
      <w:tblGrid>
        <w:gridCol w:w="803"/>
        <w:gridCol w:w="4604"/>
        <w:gridCol w:w="2700"/>
        <w:gridCol w:w="1845"/>
        <w:gridCol w:w="1800"/>
        <w:gridCol w:w="1575"/>
      </w:tblGrid>
      <w:tr w14:paraId="2F9A2670">
        <w:tblPrEx>
          <w:tblCellMar>
            <w:top w:w="0" w:type="dxa"/>
            <w:left w:w="108" w:type="dxa"/>
            <w:bottom w:w="0" w:type="dxa"/>
            <w:right w:w="108" w:type="dxa"/>
          </w:tblCellMar>
        </w:tblPrEx>
        <w:trPr>
          <w:trHeight w:val="275" w:hRule="atLeast"/>
        </w:trPr>
        <w:tc>
          <w:tcPr>
            <w:tcW w:w="803" w:type="dxa"/>
            <w:tcBorders>
              <w:top w:val="single" w:color="auto" w:sz="4" w:space="0"/>
              <w:left w:val="single" w:color="auto" w:sz="4" w:space="0"/>
              <w:bottom w:val="single" w:color="auto" w:sz="4" w:space="0"/>
              <w:right w:val="single" w:color="auto" w:sz="4" w:space="0"/>
            </w:tcBorders>
            <w:vAlign w:val="bottom"/>
          </w:tcPr>
          <w:p w14:paraId="1405CC2F">
            <w:pPr>
              <w:widowControl/>
              <w:jc w:val="center"/>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序号</w:t>
            </w:r>
          </w:p>
        </w:tc>
        <w:tc>
          <w:tcPr>
            <w:tcW w:w="4604" w:type="dxa"/>
            <w:tcBorders>
              <w:top w:val="single" w:color="auto" w:sz="4" w:space="0"/>
              <w:left w:val="nil"/>
              <w:bottom w:val="single" w:color="auto" w:sz="4" w:space="0"/>
              <w:right w:val="single" w:color="auto" w:sz="4" w:space="0"/>
            </w:tcBorders>
            <w:vAlign w:val="bottom"/>
          </w:tcPr>
          <w:p w14:paraId="60B53844">
            <w:pPr>
              <w:widowControl/>
              <w:jc w:val="center"/>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三级指标</w:t>
            </w:r>
          </w:p>
        </w:tc>
        <w:tc>
          <w:tcPr>
            <w:tcW w:w="2700" w:type="dxa"/>
            <w:tcBorders>
              <w:top w:val="single" w:color="auto" w:sz="4" w:space="0"/>
              <w:left w:val="nil"/>
              <w:bottom w:val="single" w:color="auto" w:sz="4" w:space="0"/>
              <w:right w:val="single" w:color="auto" w:sz="4" w:space="0"/>
            </w:tcBorders>
            <w:vAlign w:val="bottom"/>
          </w:tcPr>
          <w:p w14:paraId="6BC53F17">
            <w:pPr>
              <w:widowControl/>
              <w:jc w:val="center"/>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指标性质</w:t>
            </w:r>
          </w:p>
        </w:tc>
        <w:tc>
          <w:tcPr>
            <w:tcW w:w="1845" w:type="dxa"/>
            <w:tcBorders>
              <w:top w:val="single" w:color="auto" w:sz="4" w:space="0"/>
              <w:left w:val="nil"/>
              <w:bottom w:val="single" w:color="auto" w:sz="4" w:space="0"/>
              <w:right w:val="single" w:color="auto" w:sz="4" w:space="0"/>
            </w:tcBorders>
            <w:vAlign w:val="bottom"/>
          </w:tcPr>
          <w:p w14:paraId="33791210">
            <w:pPr>
              <w:widowControl/>
              <w:jc w:val="center"/>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指标值</w:t>
            </w:r>
          </w:p>
        </w:tc>
        <w:tc>
          <w:tcPr>
            <w:tcW w:w="1800" w:type="dxa"/>
            <w:tcBorders>
              <w:top w:val="single" w:color="auto" w:sz="4" w:space="0"/>
              <w:left w:val="nil"/>
              <w:bottom w:val="single" w:color="auto" w:sz="4" w:space="0"/>
              <w:right w:val="single" w:color="auto" w:sz="4" w:space="0"/>
            </w:tcBorders>
          </w:tcPr>
          <w:p w14:paraId="40B9B4F0">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度量单位</w:t>
            </w:r>
          </w:p>
        </w:tc>
        <w:tc>
          <w:tcPr>
            <w:tcW w:w="1575" w:type="dxa"/>
            <w:tcBorders>
              <w:top w:val="single" w:color="auto" w:sz="4" w:space="0"/>
              <w:left w:val="nil"/>
              <w:bottom w:val="single" w:color="auto" w:sz="4" w:space="0"/>
              <w:right w:val="single" w:color="auto" w:sz="4" w:space="0"/>
            </w:tcBorders>
          </w:tcPr>
          <w:p w14:paraId="75E63657">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指标权重</w:t>
            </w:r>
          </w:p>
        </w:tc>
      </w:tr>
      <w:tr w14:paraId="0F20A774">
        <w:tblPrEx>
          <w:tblCellMar>
            <w:top w:w="0" w:type="dxa"/>
            <w:left w:w="108" w:type="dxa"/>
            <w:bottom w:w="0" w:type="dxa"/>
            <w:right w:w="108" w:type="dxa"/>
          </w:tblCellMar>
        </w:tblPrEx>
        <w:trPr>
          <w:trHeight w:val="275" w:hRule="atLeast"/>
        </w:trPr>
        <w:tc>
          <w:tcPr>
            <w:tcW w:w="803" w:type="dxa"/>
            <w:tcBorders>
              <w:top w:val="nil"/>
              <w:left w:val="single" w:color="auto" w:sz="4" w:space="0"/>
              <w:bottom w:val="single" w:color="auto" w:sz="4" w:space="0"/>
              <w:right w:val="single" w:color="auto" w:sz="4" w:space="0"/>
            </w:tcBorders>
            <w:vAlign w:val="bottom"/>
          </w:tcPr>
          <w:p w14:paraId="00109D3A">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　</w:t>
            </w:r>
            <w:r>
              <w:rPr>
                <w:rFonts w:ascii="仿宋_GB2312" w:hAnsi="仿宋" w:eastAsia="仿宋_GB2312" w:cs="Times New Roman"/>
                <w:color w:val="auto"/>
                <w:sz w:val="28"/>
                <w:szCs w:val="28"/>
                <w:highlight w:val="none"/>
              </w:rPr>
              <w:t>1</w:t>
            </w:r>
          </w:p>
        </w:tc>
        <w:tc>
          <w:tcPr>
            <w:tcW w:w="4604" w:type="dxa"/>
            <w:tcBorders>
              <w:top w:val="nil"/>
              <w:left w:val="nil"/>
              <w:bottom w:val="single" w:color="auto" w:sz="4" w:space="0"/>
              <w:right w:val="single" w:color="auto" w:sz="4" w:space="0"/>
            </w:tcBorders>
            <w:vAlign w:val="bottom"/>
          </w:tcPr>
          <w:p w14:paraId="3DDBB5A3">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检测数量</w:t>
            </w:r>
          </w:p>
        </w:tc>
        <w:tc>
          <w:tcPr>
            <w:tcW w:w="2700" w:type="dxa"/>
            <w:tcBorders>
              <w:top w:val="nil"/>
              <w:left w:val="nil"/>
              <w:bottom w:val="single" w:color="auto" w:sz="4" w:space="0"/>
              <w:right w:val="single" w:color="auto" w:sz="4" w:space="0"/>
            </w:tcBorders>
            <w:vAlign w:val="bottom"/>
          </w:tcPr>
          <w:p w14:paraId="7EE19C95">
            <w:pPr>
              <w:widowControl/>
              <w:jc w:val="left"/>
              <w:rPr>
                <w:rFonts w:hint="eastAsia" w:ascii="仿宋_GB2312" w:hAnsi="仿宋" w:eastAsia="仿宋_GB2312" w:cs="Times New Roman"/>
                <w:color w:val="auto"/>
                <w:sz w:val="28"/>
                <w:szCs w:val="28"/>
                <w:highlight w:val="none"/>
                <w:lang w:eastAsia="zh-CN"/>
              </w:rPr>
            </w:pPr>
            <w:r>
              <w:rPr>
                <w:rFonts w:hint="eastAsia" w:ascii="仿宋_GB2312" w:hAnsi="仿宋" w:eastAsia="仿宋_GB2312" w:cs="Times New Roman"/>
                <w:color w:val="auto"/>
                <w:sz w:val="28"/>
                <w:szCs w:val="28"/>
                <w:highlight w:val="none"/>
                <w:lang w:eastAsia="zh-CN"/>
              </w:rPr>
              <w:t>定量指标</w:t>
            </w:r>
          </w:p>
        </w:tc>
        <w:tc>
          <w:tcPr>
            <w:tcW w:w="1845" w:type="dxa"/>
            <w:tcBorders>
              <w:top w:val="nil"/>
              <w:left w:val="nil"/>
              <w:bottom w:val="single" w:color="auto" w:sz="4" w:space="0"/>
              <w:right w:val="single" w:color="auto" w:sz="4" w:space="0"/>
            </w:tcBorders>
            <w:vAlign w:val="bottom"/>
          </w:tcPr>
          <w:p w14:paraId="64CFF451">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　≥1200</w:t>
            </w:r>
          </w:p>
        </w:tc>
        <w:tc>
          <w:tcPr>
            <w:tcW w:w="1800" w:type="dxa"/>
            <w:tcBorders>
              <w:top w:val="nil"/>
              <w:left w:val="nil"/>
              <w:bottom w:val="single" w:color="auto" w:sz="4" w:space="0"/>
              <w:right w:val="single" w:color="auto" w:sz="4" w:space="0"/>
            </w:tcBorders>
          </w:tcPr>
          <w:p w14:paraId="778A70AA">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lang w:val="en-US" w:eastAsia="zh-CN"/>
              </w:rPr>
              <w:t>1495</w:t>
            </w:r>
            <w:r>
              <w:rPr>
                <w:rFonts w:hint="eastAsia" w:ascii="仿宋_GB2312" w:hAnsi="仿宋" w:eastAsia="仿宋_GB2312" w:cs="Times New Roman"/>
                <w:color w:val="auto"/>
                <w:sz w:val="28"/>
                <w:szCs w:val="28"/>
                <w:highlight w:val="none"/>
              </w:rPr>
              <w:t>件</w:t>
            </w:r>
          </w:p>
        </w:tc>
        <w:tc>
          <w:tcPr>
            <w:tcW w:w="1575" w:type="dxa"/>
            <w:tcBorders>
              <w:top w:val="nil"/>
              <w:left w:val="nil"/>
              <w:bottom w:val="single" w:color="auto" w:sz="4" w:space="0"/>
              <w:right w:val="single" w:color="auto" w:sz="4" w:space="0"/>
            </w:tcBorders>
          </w:tcPr>
          <w:p w14:paraId="524D9200">
            <w:pPr>
              <w:widowControl/>
              <w:jc w:val="center"/>
              <w:rPr>
                <w:rFonts w:hint="eastAsia" w:ascii="仿宋_GB2312" w:hAnsi="仿宋" w:eastAsia="仿宋_GB2312" w:cs="Times New Roman"/>
                <w:color w:val="auto"/>
                <w:sz w:val="28"/>
                <w:szCs w:val="28"/>
                <w:highlight w:val="none"/>
                <w:lang w:val="en-US" w:eastAsia="zh-CN"/>
              </w:rPr>
            </w:pPr>
            <w:r>
              <w:rPr>
                <w:rFonts w:hint="eastAsia" w:ascii="仿宋_GB2312" w:hAnsi="仿宋" w:eastAsia="仿宋_GB2312" w:cs="Times New Roman"/>
                <w:color w:val="auto"/>
                <w:sz w:val="28"/>
                <w:szCs w:val="28"/>
                <w:highlight w:val="none"/>
                <w:lang w:val="en-US" w:eastAsia="zh-CN"/>
              </w:rPr>
              <w:t>6%</w:t>
            </w:r>
          </w:p>
        </w:tc>
      </w:tr>
      <w:tr w14:paraId="46B5CABD">
        <w:tblPrEx>
          <w:tblCellMar>
            <w:top w:w="0" w:type="dxa"/>
            <w:left w:w="108" w:type="dxa"/>
            <w:bottom w:w="0" w:type="dxa"/>
            <w:right w:w="108" w:type="dxa"/>
          </w:tblCellMar>
        </w:tblPrEx>
        <w:trPr>
          <w:trHeight w:val="837" w:hRule="atLeast"/>
        </w:trPr>
        <w:tc>
          <w:tcPr>
            <w:tcW w:w="803" w:type="dxa"/>
            <w:tcBorders>
              <w:top w:val="nil"/>
              <w:left w:val="single" w:color="auto" w:sz="4" w:space="0"/>
              <w:bottom w:val="single" w:color="auto" w:sz="4" w:space="0"/>
              <w:right w:val="single" w:color="auto" w:sz="4" w:space="0"/>
            </w:tcBorders>
            <w:vAlign w:val="bottom"/>
          </w:tcPr>
          <w:p w14:paraId="15702E21">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　</w:t>
            </w:r>
            <w:r>
              <w:rPr>
                <w:rFonts w:ascii="仿宋_GB2312" w:hAnsi="仿宋" w:eastAsia="仿宋_GB2312" w:cs="Times New Roman"/>
                <w:color w:val="auto"/>
                <w:sz w:val="28"/>
                <w:szCs w:val="28"/>
                <w:highlight w:val="none"/>
              </w:rPr>
              <w:t>2</w:t>
            </w:r>
          </w:p>
        </w:tc>
        <w:tc>
          <w:tcPr>
            <w:tcW w:w="4604" w:type="dxa"/>
            <w:tcBorders>
              <w:top w:val="nil"/>
              <w:left w:val="nil"/>
              <w:bottom w:val="single" w:color="auto" w:sz="4" w:space="0"/>
              <w:right w:val="single" w:color="auto" w:sz="4" w:space="0"/>
            </w:tcBorders>
            <w:vAlign w:val="bottom"/>
          </w:tcPr>
          <w:p w14:paraId="06D850F6">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运维设备数量</w:t>
            </w:r>
          </w:p>
        </w:tc>
        <w:tc>
          <w:tcPr>
            <w:tcW w:w="2700" w:type="dxa"/>
            <w:tcBorders>
              <w:top w:val="nil"/>
              <w:left w:val="nil"/>
              <w:bottom w:val="single" w:color="auto" w:sz="4" w:space="0"/>
              <w:right w:val="single" w:color="auto" w:sz="4" w:space="0"/>
            </w:tcBorders>
            <w:vAlign w:val="bottom"/>
          </w:tcPr>
          <w:p w14:paraId="0A22ED22">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lang w:eastAsia="zh-CN"/>
              </w:rPr>
              <w:t>定量指标</w:t>
            </w:r>
          </w:p>
        </w:tc>
        <w:tc>
          <w:tcPr>
            <w:tcW w:w="1845" w:type="dxa"/>
            <w:tcBorders>
              <w:top w:val="nil"/>
              <w:left w:val="nil"/>
              <w:bottom w:val="single" w:color="auto" w:sz="4" w:space="0"/>
              <w:right w:val="single" w:color="auto" w:sz="4" w:space="0"/>
            </w:tcBorders>
            <w:vAlign w:val="bottom"/>
          </w:tcPr>
          <w:p w14:paraId="5D37B733">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　≥1000件</w:t>
            </w:r>
          </w:p>
        </w:tc>
        <w:tc>
          <w:tcPr>
            <w:tcW w:w="1800" w:type="dxa"/>
            <w:tcBorders>
              <w:top w:val="nil"/>
              <w:left w:val="nil"/>
              <w:bottom w:val="single" w:color="auto" w:sz="4" w:space="0"/>
              <w:right w:val="single" w:color="auto" w:sz="4" w:space="0"/>
            </w:tcBorders>
          </w:tcPr>
          <w:p w14:paraId="29D08DB5">
            <w:pPr>
              <w:widowControl/>
              <w:jc w:val="center"/>
              <w:rPr>
                <w:rFonts w:hint="eastAsia" w:ascii="仿宋_GB2312" w:hAnsi="仿宋" w:eastAsia="仿宋_GB2312" w:cs="Times New Roman"/>
                <w:color w:val="auto"/>
                <w:sz w:val="28"/>
                <w:szCs w:val="28"/>
                <w:highlight w:val="none"/>
              </w:rPr>
            </w:pPr>
          </w:p>
          <w:p w14:paraId="30A136D1">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1200件</w:t>
            </w:r>
          </w:p>
        </w:tc>
        <w:tc>
          <w:tcPr>
            <w:tcW w:w="1575" w:type="dxa"/>
            <w:tcBorders>
              <w:top w:val="nil"/>
              <w:left w:val="nil"/>
              <w:bottom w:val="single" w:color="auto" w:sz="4" w:space="0"/>
              <w:right w:val="single" w:color="auto" w:sz="4" w:space="0"/>
            </w:tcBorders>
          </w:tcPr>
          <w:p w14:paraId="0B8BE2ED">
            <w:pPr>
              <w:widowControl/>
              <w:jc w:val="center"/>
              <w:rPr>
                <w:rFonts w:hint="eastAsia" w:ascii="仿宋_GB2312" w:hAnsi="仿宋" w:eastAsia="仿宋_GB2312" w:cs="Times New Roman"/>
                <w:color w:val="auto"/>
                <w:sz w:val="28"/>
                <w:szCs w:val="28"/>
                <w:highlight w:val="none"/>
                <w:lang w:val="en-US" w:eastAsia="zh-CN"/>
              </w:rPr>
            </w:pPr>
          </w:p>
          <w:p w14:paraId="2544D8AE">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lang w:val="en-US" w:eastAsia="zh-CN"/>
              </w:rPr>
              <w:t>6%</w:t>
            </w:r>
          </w:p>
        </w:tc>
      </w:tr>
      <w:tr w14:paraId="5A4EB684">
        <w:tblPrEx>
          <w:tblCellMar>
            <w:top w:w="0" w:type="dxa"/>
            <w:left w:w="108" w:type="dxa"/>
            <w:bottom w:w="0" w:type="dxa"/>
            <w:right w:w="108" w:type="dxa"/>
          </w:tblCellMar>
        </w:tblPrEx>
        <w:trPr>
          <w:trHeight w:val="662" w:hRule="atLeast"/>
        </w:trPr>
        <w:tc>
          <w:tcPr>
            <w:tcW w:w="803" w:type="dxa"/>
            <w:tcBorders>
              <w:top w:val="nil"/>
              <w:left w:val="single" w:color="auto" w:sz="4" w:space="0"/>
              <w:bottom w:val="single" w:color="auto" w:sz="4" w:space="0"/>
              <w:right w:val="single" w:color="auto" w:sz="4" w:space="0"/>
            </w:tcBorders>
            <w:vAlign w:val="bottom"/>
          </w:tcPr>
          <w:p w14:paraId="460916DD">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　</w:t>
            </w:r>
            <w:r>
              <w:rPr>
                <w:rFonts w:ascii="仿宋_GB2312" w:hAnsi="仿宋" w:eastAsia="仿宋_GB2312" w:cs="Times New Roman"/>
                <w:color w:val="auto"/>
                <w:sz w:val="28"/>
                <w:szCs w:val="28"/>
                <w:highlight w:val="none"/>
              </w:rPr>
              <w:t>3</w:t>
            </w:r>
          </w:p>
        </w:tc>
        <w:tc>
          <w:tcPr>
            <w:tcW w:w="4604" w:type="dxa"/>
            <w:tcBorders>
              <w:top w:val="nil"/>
              <w:left w:val="nil"/>
              <w:bottom w:val="single" w:color="auto" w:sz="4" w:space="0"/>
              <w:right w:val="single" w:color="auto" w:sz="4" w:space="0"/>
            </w:tcBorders>
            <w:vAlign w:val="bottom"/>
          </w:tcPr>
          <w:p w14:paraId="29573913">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标准化抽查数量</w:t>
            </w:r>
          </w:p>
        </w:tc>
        <w:tc>
          <w:tcPr>
            <w:tcW w:w="2700" w:type="dxa"/>
            <w:tcBorders>
              <w:top w:val="nil"/>
              <w:left w:val="nil"/>
              <w:bottom w:val="single" w:color="auto" w:sz="4" w:space="0"/>
              <w:right w:val="single" w:color="auto" w:sz="4" w:space="0"/>
            </w:tcBorders>
            <w:vAlign w:val="bottom"/>
          </w:tcPr>
          <w:p w14:paraId="4D10A810">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lang w:eastAsia="zh-CN"/>
              </w:rPr>
              <w:t>定量指标</w:t>
            </w:r>
          </w:p>
        </w:tc>
        <w:tc>
          <w:tcPr>
            <w:tcW w:w="1845" w:type="dxa"/>
            <w:tcBorders>
              <w:top w:val="nil"/>
              <w:left w:val="nil"/>
              <w:bottom w:val="single" w:color="auto" w:sz="4" w:space="0"/>
              <w:right w:val="single" w:color="auto" w:sz="4" w:space="0"/>
            </w:tcBorders>
            <w:vAlign w:val="bottom"/>
          </w:tcPr>
          <w:p w14:paraId="068D38D4">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　=30件</w:t>
            </w:r>
          </w:p>
        </w:tc>
        <w:tc>
          <w:tcPr>
            <w:tcW w:w="1800" w:type="dxa"/>
            <w:tcBorders>
              <w:top w:val="nil"/>
              <w:left w:val="nil"/>
              <w:bottom w:val="single" w:color="auto" w:sz="4" w:space="0"/>
              <w:right w:val="single" w:color="auto" w:sz="4" w:space="0"/>
            </w:tcBorders>
          </w:tcPr>
          <w:p w14:paraId="069C7470">
            <w:pPr>
              <w:widowControl/>
              <w:jc w:val="center"/>
              <w:rPr>
                <w:rFonts w:hint="eastAsia" w:ascii="仿宋_GB2312" w:hAnsi="仿宋" w:eastAsia="仿宋_GB2312" w:cs="Times New Roman"/>
                <w:color w:val="auto"/>
                <w:sz w:val="28"/>
                <w:szCs w:val="28"/>
                <w:highlight w:val="none"/>
              </w:rPr>
            </w:pPr>
          </w:p>
          <w:p w14:paraId="4F35A4C5">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30件</w:t>
            </w:r>
          </w:p>
        </w:tc>
        <w:tc>
          <w:tcPr>
            <w:tcW w:w="1575" w:type="dxa"/>
            <w:tcBorders>
              <w:top w:val="nil"/>
              <w:left w:val="nil"/>
              <w:bottom w:val="single" w:color="auto" w:sz="4" w:space="0"/>
              <w:right w:val="single" w:color="auto" w:sz="4" w:space="0"/>
            </w:tcBorders>
          </w:tcPr>
          <w:p w14:paraId="7610DE33">
            <w:pPr>
              <w:widowControl/>
              <w:jc w:val="center"/>
              <w:rPr>
                <w:rFonts w:hint="eastAsia" w:ascii="仿宋_GB2312" w:hAnsi="仿宋" w:eastAsia="仿宋_GB2312" w:cs="Times New Roman"/>
                <w:color w:val="auto"/>
                <w:sz w:val="28"/>
                <w:szCs w:val="28"/>
                <w:highlight w:val="none"/>
                <w:lang w:val="en-US" w:eastAsia="zh-CN"/>
              </w:rPr>
            </w:pPr>
          </w:p>
          <w:p w14:paraId="62C2E775">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lang w:val="en-US" w:eastAsia="zh-CN"/>
              </w:rPr>
              <w:t>6%</w:t>
            </w:r>
          </w:p>
        </w:tc>
      </w:tr>
      <w:tr w14:paraId="6EE01F43">
        <w:tblPrEx>
          <w:tblCellMar>
            <w:top w:w="0" w:type="dxa"/>
            <w:left w:w="108" w:type="dxa"/>
            <w:bottom w:w="0" w:type="dxa"/>
            <w:right w:w="108" w:type="dxa"/>
          </w:tblCellMar>
        </w:tblPrEx>
        <w:trPr>
          <w:trHeight w:val="275" w:hRule="atLeast"/>
        </w:trPr>
        <w:tc>
          <w:tcPr>
            <w:tcW w:w="803" w:type="dxa"/>
            <w:tcBorders>
              <w:top w:val="single" w:color="auto" w:sz="4" w:space="0"/>
              <w:left w:val="single" w:color="auto" w:sz="4" w:space="0"/>
              <w:bottom w:val="single" w:color="auto" w:sz="4" w:space="0"/>
              <w:right w:val="single" w:color="auto" w:sz="4" w:space="0"/>
            </w:tcBorders>
            <w:vAlign w:val="bottom"/>
          </w:tcPr>
          <w:p w14:paraId="67CD2453">
            <w:pPr>
              <w:widowControl/>
              <w:ind w:firstLine="280" w:firstLineChars="100"/>
              <w:jc w:val="left"/>
              <w:rPr>
                <w:rFonts w:hint="eastAsia" w:ascii="仿宋_GB2312" w:hAnsi="仿宋" w:eastAsia="仿宋_GB2312" w:cs="Times New Roman"/>
                <w:color w:val="auto"/>
                <w:sz w:val="28"/>
                <w:szCs w:val="28"/>
                <w:highlight w:val="none"/>
                <w:lang w:eastAsia="zh-CN"/>
              </w:rPr>
            </w:pPr>
            <w:r>
              <w:rPr>
                <w:rFonts w:hint="eastAsia" w:ascii="仿宋_GB2312" w:hAnsi="仿宋" w:eastAsia="仿宋_GB2312" w:cs="Times New Roman"/>
                <w:color w:val="auto"/>
                <w:sz w:val="28"/>
                <w:szCs w:val="28"/>
                <w:highlight w:val="none"/>
                <w:lang w:val="en-US" w:eastAsia="zh-CN"/>
              </w:rPr>
              <w:t>4</w:t>
            </w:r>
          </w:p>
        </w:tc>
        <w:tc>
          <w:tcPr>
            <w:tcW w:w="4604" w:type="dxa"/>
            <w:tcBorders>
              <w:top w:val="single" w:color="auto" w:sz="4" w:space="0"/>
              <w:left w:val="single" w:color="auto" w:sz="4" w:space="0"/>
              <w:bottom w:val="single" w:color="auto" w:sz="4" w:space="0"/>
              <w:right w:val="single" w:color="auto" w:sz="4" w:space="0"/>
            </w:tcBorders>
            <w:vAlign w:val="bottom"/>
          </w:tcPr>
          <w:p w14:paraId="7DBF3B5A">
            <w:pPr>
              <w:widowControl/>
              <w:tabs>
                <w:tab w:val="left" w:pos="527"/>
              </w:tabs>
              <w:jc w:val="left"/>
              <w:rPr>
                <w:rFonts w:hint="eastAsia" w:ascii="仿宋_GB2312" w:hAnsi="仿宋" w:eastAsia="仿宋_GB2312" w:cs="Times New Roman"/>
                <w:color w:val="auto"/>
                <w:sz w:val="28"/>
                <w:szCs w:val="28"/>
                <w:highlight w:val="none"/>
                <w:lang w:eastAsia="zh-CN"/>
              </w:rPr>
            </w:pPr>
            <w:r>
              <w:rPr>
                <w:rFonts w:hint="eastAsia" w:ascii="仿宋_GB2312" w:hAnsi="仿宋" w:eastAsia="仿宋_GB2312" w:cs="Times New Roman"/>
                <w:color w:val="auto"/>
                <w:sz w:val="28"/>
                <w:szCs w:val="28"/>
                <w:highlight w:val="none"/>
                <w:lang w:eastAsia="zh-CN"/>
              </w:rPr>
              <w:t>综合执法案件数</w:t>
            </w:r>
          </w:p>
        </w:tc>
        <w:tc>
          <w:tcPr>
            <w:tcW w:w="2700" w:type="dxa"/>
            <w:tcBorders>
              <w:top w:val="single" w:color="auto" w:sz="4" w:space="0"/>
              <w:left w:val="single" w:color="auto" w:sz="4" w:space="0"/>
              <w:bottom w:val="single" w:color="auto" w:sz="4" w:space="0"/>
              <w:right w:val="single" w:color="auto" w:sz="4" w:space="0"/>
            </w:tcBorders>
            <w:vAlign w:val="bottom"/>
          </w:tcPr>
          <w:p w14:paraId="47A5DD9C">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lang w:eastAsia="zh-CN"/>
              </w:rPr>
              <w:t>定量指标</w:t>
            </w:r>
          </w:p>
        </w:tc>
        <w:tc>
          <w:tcPr>
            <w:tcW w:w="1845" w:type="dxa"/>
            <w:tcBorders>
              <w:top w:val="single" w:color="auto" w:sz="4" w:space="0"/>
              <w:left w:val="single" w:color="auto" w:sz="4" w:space="0"/>
              <w:bottom w:val="single" w:color="auto" w:sz="4" w:space="0"/>
              <w:right w:val="single" w:color="auto" w:sz="4" w:space="0"/>
            </w:tcBorders>
            <w:vAlign w:val="bottom"/>
          </w:tcPr>
          <w:p w14:paraId="6F774B6C">
            <w:pPr>
              <w:widowControl/>
              <w:jc w:val="left"/>
              <w:rPr>
                <w:rFonts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　≥</w:t>
            </w:r>
            <w:r>
              <w:rPr>
                <w:rFonts w:hint="eastAsia" w:ascii="仿宋_GB2312" w:hAnsi="仿宋" w:eastAsia="仿宋_GB2312" w:cs="Times New Roman"/>
                <w:color w:val="auto"/>
                <w:sz w:val="28"/>
                <w:szCs w:val="28"/>
                <w:highlight w:val="none"/>
                <w:lang w:val="en-US" w:eastAsia="zh-CN"/>
              </w:rPr>
              <w:t>400</w:t>
            </w:r>
            <w:r>
              <w:rPr>
                <w:rFonts w:hint="eastAsia" w:ascii="仿宋_GB2312" w:hAnsi="仿宋" w:eastAsia="仿宋_GB2312" w:cs="Times New Roman"/>
                <w:color w:val="auto"/>
                <w:sz w:val="28"/>
                <w:szCs w:val="28"/>
                <w:highlight w:val="none"/>
              </w:rPr>
              <w:t>件</w:t>
            </w:r>
          </w:p>
        </w:tc>
        <w:tc>
          <w:tcPr>
            <w:tcW w:w="1800" w:type="dxa"/>
            <w:tcBorders>
              <w:top w:val="single" w:color="auto" w:sz="4" w:space="0"/>
              <w:left w:val="single" w:color="auto" w:sz="4" w:space="0"/>
              <w:bottom w:val="single" w:color="auto" w:sz="4" w:space="0"/>
              <w:right w:val="single" w:color="auto" w:sz="4" w:space="0"/>
            </w:tcBorders>
          </w:tcPr>
          <w:p w14:paraId="26B4F4A7">
            <w:pPr>
              <w:widowControl/>
              <w:jc w:val="center"/>
              <w:rPr>
                <w:rFonts w:hint="eastAsia" w:ascii="仿宋_GB2312" w:hAnsi="仿宋" w:eastAsia="仿宋_GB2312" w:cs="Times New Roman"/>
                <w:color w:val="auto"/>
                <w:sz w:val="28"/>
                <w:szCs w:val="28"/>
                <w:highlight w:val="none"/>
              </w:rPr>
            </w:pPr>
          </w:p>
          <w:p w14:paraId="52ACE3EA">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lang w:val="en-US" w:eastAsia="zh-CN"/>
              </w:rPr>
              <w:t>488</w:t>
            </w:r>
            <w:r>
              <w:rPr>
                <w:rFonts w:hint="eastAsia" w:ascii="仿宋_GB2312" w:hAnsi="仿宋" w:eastAsia="仿宋_GB2312" w:cs="Times New Roman"/>
                <w:color w:val="auto"/>
                <w:sz w:val="28"/>
                <w:szCs w:val="28"/>
                <w:highlight w:val="none"/>
              </w:rPr>
              <w:t>件</w:t>
            </w:r>
          </w:p>
        </w:tc>
        <w:tc>
          <w:tcPr>
            <w:tcW w:w="1575" w:type="dxa"/>
            <w:tcBorders>
              <w:top w:val="single" w:color="auto" w:sz="4" w:space="0"/>
              <w:left w:val="single" w:color="auto" w:sz="4" w:space="0"/>
              <w:bottom w:val="single" w:color="auto" w:sz="4" w:space="0"/>
              <w:right w:val="single" w:color="auto" w:sz="4" w:space="0"/>
            </w:tcBorders>
          </w:tcPr>
          <w:p w14:paraId="2B8D819E">
            <w:pPr>
              <w:widowControl/>
              <w:jc w:val="center"/>
              <w:rPr>
                <w:rFonts w:hint="eastAsia" w:ascii="仿宋_GB2312" w:hAnsi="仿宋" w:eastAsia="仿宋_GB2312" w:cs="Times New Roman"/>
                <w:color w:val="auto"/>
                <w:sz w:val="28"/>
                <w:szCs w:val="28"/>
                <w:highlight w:val="none"/>
                <w:lang w:val="en-US" w:eastAsia="zh-CN"/>
              </w:rPr>
            </w:pPr>
          </w:p>
          <w:p w14:paraId="5C46502B">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lang w:val="en-US" w:eastAsia="zh-CN"/>
              </w:rPr>
              <w:t>6%</w:t>
            </w:r>
          </w:p>
        </w:tc>
      </w:tr>
      <w:tr w14:paraId="3100EEC6">
        <w:tblPrEx>
          <w:tblCellMar>
            <w:top w:w="0" w:type="dxa"/>
            <w:left w:w="108" w:type="dxa"/>
            <w:bottom w:w="0" w:type="dxa"/>
            <w:right w:w="108" w:type="dxa"/>
          </w:tblCellMar>
        </w:tblPrEx>
        <w:trPr>
          <w:trHeight w:val="1227" w:hRule="atLeast"/>
        </w:trPr>
        <w:tc>
          <w:tcPr>
            <w:tcW w:w="803" w:type="dxa"/>
            <w:tcBorders>
              <w:top w:val="single" w:color="auto" w:sz="4" w:space="0"/>
              <w:left w:val="single" w:color="auto" w:sz="4" w:space="0"/>
              <w:bottom w:val="single" w:color="auto" w:sz="4" w:space="0"/>
              <w:right w:val="single" w:color="auto" w:sz="4" w:space="0"/>
            </w:tcBorders>
            <w:vAlign w:val="bottom"/>
          </w:tcPr>
          <w:p w14:paraId="35B33593">
            <w:pPr>
              <w:widowControl/>
              <w:ind w:firstLine="280" w:firstLineChars="100"/>
              <w:jc w:val="left"/>
              <w:rPr>
                <w:rFonts w:hint="eastAsia" w:ascii="仿宋_GB2312" w:hAnsi="仿宋" w:eastAsia="仿宋_GB2312" w:cs="Times New Roman"/>
                <w:color w:val="auto"/>
                <w:sz w:val="28"/>
                <w:szCs w:val="28"/>
                <w:highlight w:val="none"/>
                <w:lang w:val="en-US" w:eastAsia="zh-CN"/>
              </w:rPr>
            </w:pPr>
            <w:r>
              <w:rPr>
                <w:rFonts w:hint="eastAsia" w:ascii="仿宋_GB2312" w:hAnsi="仿宋" w:eastAsia="仿宋_GB2312" w:cs="Times New Roman"/>
                <w:color w:val="auto"/>
                <w:sz w:val="28"/>
                <w:szCs w:val="28"/>
                <w:highlight w:val="none"/>
                <w:lang w:val="en-US" w:eastAsia="zh-CN"/>
              </w:rPr>
              <w:t>5</w:t>
            </w:r>
          </w:p>
        </w:tc>
        <w:tc>
          <w:tcPr>
            <w:tcW w:w="4604" w:type="dxa"/>
            <w:tcBorders>
              <w:top w:val="single" w:color="auto" w:sz="4" w:space="0"/>
              <w:left w:val="nil"/>
              <w:bottom w:val="single" w:color="auto" w:sz="4" w:space="0"/>
              <w:right w:val="single" w:color="auto" w:sz="4" w:space="0"/>
            </w:tcBorders>
            <w:vAlign w:val="bottom"/>
          </w:tcPr>
          <w:p w14:paraId="4E7F40DA">
            <w:pPr>
              <w:widowControl/>
              <w:jc w:val="left"/>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rPr>
              <w:t>档案电子化件数</w:t>
            </w:r>
          </w:p>
        </w:tc>
        <w:tc>
          <w:tcPr>
            <w:tcW w:w="2700" w:type="dxa"/>
            <w:tcBorders>
              <w:top w:val="single" w:color="auto" w:sz="4" w:space="0"/>
              <w:left w:val="nil"/>
              <w:bottom w:val="single" w:color="auto" w:sz="4" w:space="0"/>
              <w:right w:val="single" w:color="auto" w:sz="4" w:space="0"/>
            </w:tcBorders>
            <w:vAlign w:val="bottom"/>
          </w:tcPr>
          <w:p w14:paraId="03739E3B">
            <w:pPr>
              <w:widowControl/>
              <w:jc w:val="left"/>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eastAsia="zh-CN"/>
              </w:rPr>
              <w:t>定量指标</w:t>
            </w:r>
          </w:p>
        </w:tc>
        <w:tc>
          <w:tcPr>
            <w:tcW w:w="1845" w:type="dxa"/>
            <w:tcBorders>
              <w:top w:val="single" w:color="auto" w:sz="4" w:space="0"/>
              <w:left w:val="nil"/>
              <w:bottom w:val="single" w:color="auto" w:sz="4" w:space="0"/>
              <w:right w:val="single" w:color="auto" w:sz="4" w:space="0"/>
            </w:tcBorders>
            <w:vAlign w:val="bottom"/>
          </w:tcPr>
          <w:p w14:paraId="5474027E">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≥5000件</w:t>
            </w:r>
          </w:p>
        </w:tc>
        <w:tc>
          <w:tcPr>
            <w:tcW w:w="1800" w:type="dxa"/>
            <w:tcBorders>
              <w:top w:val="single" w:color="auto" w:sz="4" w:space="0"/>
              <w:left w:val="nil"/>
              <w:bottom w:val="single" w:color="auto" w:sz="4" w:space="0"/>
              <w:right w:val="single" w:color="auto" w:sz="4" w:space="0"/>
            </w:tcBorders>
          </w:tcPr>
          <w:p w14:paraId="7D4B4047">
            <w:pPr>
              <w:widowControl/>
              <w:jc w:val="center"/>
              <w:rPr>
                <w:rFonts w:hint="eastAsia" w:ascii="仿宋_GB2312" w:hAnsi="仿宋" w:eastAsia="仿宋_GB2312" w:cs="Times New Roman"/>
                <w:color w:val="auto"/>
                <w:sz w:val="28"/>
                <w:szCs w:val="28"/>
                <w:highlight w:val="none"/>
              </w:rPr>
            </w:pPr>
          </w:p>
          <w:p w14:paraId="4BC907D9">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lang w:val="en-US" w:eastAsia="zh-CN"/>
              </w:rPr>
              <w:t>6667</w:t>
            </w:r>
            <w:r>
              <w:rPr>
                <w:rFonts w:hint="eastAsia" w:ascii="仿宋_GB2312" w:hAnsi="仿宋" w:eastAsia="仿宋_GB2312" w:cs="Times New Roman"/>
                <w:color w:val="auto"/>
                <w:sz w:val="28"/>
                <w:szCs w:val="28"/>
                <w:highlight w:val="none"/>
              </w:rPr>
              <w:t>件</w:t>
            </w:r>
          </w:p>
        </w:tc>
        <w:tc>
          <w:tcPr>
            <w:tcW w:w="1575" w:type="dxa"/>
            <w:tcBorders>
              <w:top w:val="single" w:color="auto" w:sz="4" w:space="0"/>
              <w:left w:val="nil"/>
              <w:bottom w:val="single" w:color="auto" w:sz="4" w:space="0"/>
              <w:right w:val="single" w:color="auto" w:sz="4" w:space="0"/>
            </w:tcBorders>
          </w:tcPr>
          <w:p w14:paraId="044682B5">
            <w:pPr>
              <w:widowControl/>
              <w:jc w:val="center"/>
              <w:rPr>
                <w:rFonts w:hint="eastAsia" w:ascii="仿宋_GB2312" w:hAnsi="仿宋" w:eastAsia="仿宋_GB2312" w:cs="Times New Roman"/>
                <w:color w:val="auto"/>
                <w:sz w:val="28"/>
                <w:szCs w:val="28"/>
                <w:highlight w:val="none"/>
                <w:lang w:val="en-US" w:eastAsia="zh-CN"/>
              </w:rPr>
            </w:pPr>
          </w:p>
          <w:p w14:paraId="3C0CD476">
            <w:pPr>
              <w:widowControl/>
              <w:jc w:val="center"/>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val="en-US" w:eastAsia="zh-CN"/>
              </w:rPr>
              <w:t>6%</w:t>
            </w:r>
          </w:p>
        </w:tc>
      </w:tr>
      <w:tr w14:paraId="2141459F">
        <w:tblPrEx>
          <w:tblCellMar>
            <w:top w:w="0" w:type="dxa"/>
            <w:left w:w="108" w:type="dxa"/>
            <w:bottom w:w="0" w:type="dxa"/>
            <w:right w:w="108" w:type="dxa"/>
          </w:tblCellMar>
        </w:tblPrEx>
        <w:trPr>
          <w:trHeight w:val="275" w:hRule="atLeast"/>
        </w:trPr>
        <w:tc>
          <w:tcPr>
            <w:tcW w:w="803" w:type="dxa"/>
            <w:tcBorders>
              <w:top w:val="single" w:color="auto" w:sz="4" w:space="0"/>
              <w:left w:val="single" w:color="auto" w:sz="4" w:space="0"/>
              <w:bottom w:val="single" w:color="auto" w:sz="4" w:space="0"/>
              <w:right w:val="single" w:color="auto" w:sz="4" w:space="0"/>
            </w:tcBorders>
            <w:vAlign w:val="bottom"/>
          </w:tcPr>
          <w:p w14:paraId="3959904D">
            <w:pPr>
              <w:widowControl/>
              <w:jc w:val="left"/>
              <w:rPr>
                <w:rFonts w:hint="eastAsia" w:ascii="仿宋_GB2312" w:hAnsi="仿宋" w:eastAsia="仿宋_GB2312" w:cs="Times New Roman"/>
                <w:color w:val="auto"/>
                <w:sz w:val="28"/>
                <w:szCs w:val="28"/>
                <w:highlight w:val="none"/>
                <w:lang w:val="en-US" w:eastAsia="zh-CN"/>
              </w:rPr>
            </w:pPr>
            <w:r>
              <w:rPr>
                <w:rFonts w:hint="eastAsia" w:ascii="仿宋_GB2312" w:hAnsi="仿宋" w:eastAsia="仿宋_GB2312" w:cs="Times New Roman"/>
                <w:color w:val="auto"/>
                <w:sz w:val="28"/>
                <w:szCs w:val="28"/>
                <w:highlight w:val="none"/>
                <w:lang w:val="en-US" w:eastAsia="zh-CN"/>
              </w:rPr>
              <w:t xml:space="preserve">  6</w:t>
            </w:r>
          </w:p>
        </w:tc>
        <w:tc>
          <w:tcPr>
            <w:tcW w:w="4604" w:type="dxa"/>
            <w:tcBorders>
              <w:top w:val="single" w:color="auto" w:sz="4" w:space="0"/>
              <w:left w:val="nil"/>
              <w:bottom w:val="single" w:color="auto" w:sz="4" w:space="0"/>
              <w:right w:val="single" w:color="auto" w:sz="4" w:space="0"/>
            </w:tcBorders>
            <w:vAlign w:val="bottom"/>
          </w:tcPr>
          <w:p w14:paraId="072E8689">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检测样本合格率</w:t>
            </w:r>
          </w:p>
        </w:tc>
        <w:tc>
          <w:tcPr>
            <w:tcW w:w="2700" w:type="dxa"/>
            <w:tcBorders>
              <w:top w:val="single" w:color="auto" w:sz="4" w:space="0"/>
              <w:left w:val="nil"/>
              <w:bottom w:val="single" w:color="auto" w:sz="4" w:space="0"/>
              <w:right w:val="single" w:color="auto" w:sz="4" w:space="0"/>
            </w:tcBorders>
            <w:vAlign w:val="bottom"/>
          </w:tcPr>
          <w:p w14:paraId="07A1FB76">
            <w:pPr>
              <w:widowControl/>
              <w:jc w:val="left"/>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eastAsia="zh-CN"/>
              </w:rPr>
              <w:t>定量指标</w:t>
            </w:r>
          </w:p>
        </w:tc>
        <w:tc>
          <w:tcPr>
            <w:tcW w:w="1845" w:type="dxa"/>
            <w:tcBorders>
              <w:top w:val="single" w:color="auto" w:sz="4" w:space="0"/>
              <w:left w:val="nil"/>
              <w:bottom w:val="single" w:color="auto" w:sz="4" w:space="0"/>
              <w:right w:val="single" w:color="auto" w:sz="4" w:space="0"/>
            </w:tcBorders>
            <w:vAlign w:val="bottom"/>
          </w:tcPr>
          <w:p w14:paraId="6CD3D2F3">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≥95%</w:t>
            </w:r>
          </w:p>
        </w:tc>
        <w:tc>
          <w:tcPr>
            <w:tcW w:w="1800" w:type="dxa"/>
            <w:tcBorders>
              <w:top w:val="single" w:color="auto" w:sz="4" w:space="0"/>
              <w:left w:val="nil"/>
              <w:bottom w:val="single" w:color="auto" w:sz="4" w:space="0"/>
              <w:right w:val="single" w:color="auto" w:sz="4" w:space="0"/>
            </w:tcBorders>
          </w:tcPr>
          <w:p w14:paraId="4BA21CAE">
            <w:pPr>
              <w:widowControl/>
              <w:jc w:val="center"/>
              <w:rPr>
                <w:rFonts w:hint="eastAsia" w:ascii="仿宋_GB2312" w:hAnsi="仿宋" w:eastAsia="仿宋_GB2312" w:cs="Times New Roman"/>
                <w:color w:val="auto"/>
                <w:sz w:val="28"/>
                <w:szCs w:val="28"/>
                <w:highlight w:val="none"/>
              </w:rPr>
            </w:pPr>
          </w:p>
          <w:p w14:paraId="60406C98">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9</w:t>
            </w:r>
            <w:r>
              <w:rPr>
                <w:rFonts w:hint="eastAsia" w:ascii="仿宋_GB2312" w:hAnsi="仿宋" w:eastAsia="仿宋_GB2312" w:cs="Times New Roman"/>
                <w:color w:val="auto"/>
                <w:sz w:val="28"/>
                <w:szCs w:val="28"/>
                <w:highlight w:val="none"/>
                <w:lang w:val="en-US" w:eastAsia="zh-CN"/>
              </w:rPr>
              <w:t>8</w:t>
            </w:r>
            <w:r>
              <w:rPr>
                <w:rFonts w:hint="eastAsia" w:ascii="仿宋_GB2312" w:hAnsi="仿宋" w:eastAsia="仿宋_GB2312" w:cs="Times New Roman"/>
                <w:color w:val="auto"/>
                <w:sz w:val="28"/>
                <w:szCs w:val="28"/>
                <w:highlight w:val="none"/>
              </w:rPr>
              <w:t>%</w:t>
            </w:r>
          </w:p>
        </w:tc>
        <w:tc>
          <w:tcPr>
            <w:tcW w:w="1575" w:type="dxa"/>
            <w:tcBorders>
              <w:top w:val="single" w:color="auto" w:sz="4" w:space="0"/>
              <w:left w:val="nil"/>
              <w:bottom w:val="single" w:color="auto" w:sz="4" w:space="0"/>
              <w:right w:val="single" w:color="auto" w:sz="4" w:space="0"/>
            </w:tcBorders>
          </w:tcPr>
          <w:p w14:paraId="5422611F">
            <w:pPr>
              <w:widowControl/>
              <w:jc w:val="center"/>
              <w:rPr>
                <w:rFonts w:hint="eastAsia" w:ascii="仿宋_GB2312" w:hAnsi="仿宋" w:eastAsia="仿宋_GB2312" w:cs="Times New Roman"/>
                <w:color w:val="auto"/>
                <w:sz w:val="28"/>
                <w:szCs w:val="28"/>
                <w:highlight w:val="none"/>
                <w:lang w:val="en-US" w:eastAsia="zh-CN"/>
              </w:rPr>
            </w:pPr>
          </w:p>
          <w:p w14:paraId="4925A249">
            <w:pPr>
              <w:widowControl/>
              <w:jc w:val="center"/>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val="en-US" w:eastAsia="zh-CN"/>
              </w:rPr>
              <w:t>5%</w:t>
            </w:r>
          </w:p>
        </w:tc>
      </w:tr>
      <w:tr w14:paraId="1889127C">
        <w:tblPrEx>
          <w:tblCellMar>
            <w:top w:w="0" w:type="dxa"/>
            <w:left w:w="108" w:type="dxa"/>
            <w:bottom w:w="0" w:type="dxa"/>
            <w:right w:w="108" w:type="dxa"/>
          </w:tblCellMar>
        </w:tblPrEx>
        <w:trPr>
          <w:trHeight w:val="275" w:hRule="atLeast"/>
        </w:trPr>
        <w:tc>
          <w:tcPr>
            <w:tcW w:w="803" w:type="dxa"/>
            <w:tcBorders>
              <w:top w:val="single" w:color="auto" w:sz="4" w:space="0"/>
              <w:left w:val="single" w:color="auto" w:sz="4" w:space="0"/>
              <w:bottom w:val="single" w:color="auto" w:sz="4" w:space="0"/>
              <w:right w:val="single" w:color="auto" w:sz="4" w:space="0"/>
            </w:tcBorders>
            <w:vAlign w:val="bottom"/>
          </w:tcPr>
          <w:p w14:paraId="45B2AE65">
            <w:pPr>
              <w:widowControl/>
              <w:ind w:firstLine="280" w:firstLineChars="100"/>
              <w:jc w:val="left"/>
              <w:rPr>
                <w:rFonts w:hint="eastAsia" w:ascii="仿宋_GB2312" w:hAnsi="仿宋" w:eastAsia="仿宋_GB2312" w:cs="Times New Roman"/>
                <w:color w:val="auto"/>
                <w:sz w:val="28"/>
                <w:szCs w:val="28"/>
                <w:highlight w:val="none"/>
                <w:lang w:val="en-US" w:eastAsia="zh-CN"/>
              </w:rPr>
            </w:pPr>
            <w:r>
              <w:rPr>
                <w:rFonts w:hint="eastAsia" w:ascii="仿宋_GB2312" w:hAnsi="仿宋" w:eastAsia="仿宋_GB2312" w:cs="Times New Roman"/>
                <w:color w:val="auto"/>
                <w:sz w:val="28"/>
                <w:szCs w:val="28"/>
                <w:highlight w:val="none"/>
                <w:lang w:val="en-US" w:eastAsia="zh-CN"/>
              </w:rPr>
              <w:t>7</w:t>
            </w:r>
          </w:p>
        </w:tc>
        <w:tc>
          <w:tcPr>
            <w:tcW w:w="4604" w:type="dxa"/>
            <w:tcBorders>
              <w:top w:val="single" w:color="auto" w:sz="4" w:space="0"/>
              <w:left w:val="nil"/>
              <w:bottom w:val="single" w:color="auto" w:sz="4" w:space="0"/>
              <w:right w:val="single" w:color="auto" w:sz="4" w:space="0"/>
            </w:tcBorders>
            <w:vAlign w:val="bottom"/>
          </w:tcPr>
          <w:p w14:paraId="307FBF77">
            <w:pPr>
              <w:widowControl/>
              <w:jc w:val="left"/>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商品检测合格率</w:t>
            </w:r>
          </w:p>
        </w:tc>
        <w:tc>
          <w:tcPr>
            <w:tcW w:w="2700" w:type="dxa"/>
            <w:tcBorders>
              <w:top w:val="single" w:color="auto" w:sz="4" w:space="0"/>
              <w:left w:val="nil"/>
              <w:bottom w:val="single" w:color="auto" w:sz="4" w:space="0"/>
              <w:right w:val="single" w:color="auto" w:sz="4" w:space="0"/>
            </w:tcBorders>
            <w:vAlign w:val="bottom"/>
          </w:tcPr>
          <w:p w14:paraId="23BC4712">
            <w:pPr>
              <w:widowControl/>
              <w:jc w:val="left"/>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eastAsia="zh-CN"/>
              </w:rPr>
              <w:t>定量指标</w:t>
            </w:r>
          </w:p>
        </w:tc>
        <w:tc>
          <w:tcPr>
            <w:tcW w:w="1845" w:type="dxa"/>
            <w:tcBorders>
              <w:top w:val="single" w:color="auto" w:sz="4" w:space="0"/>
              <w:left w:val="nil"/>
              <w:bottom w:val="single" w:color="auto" w:sz="4" w:space="0"/>
              <w:right w:val="single" w:color="auto" w:sz="4" w:space="0"/>
            </w:tcBorders>
            <w:vAlign w:val="bottom"/>
          </w:tcPr>
          <w:p w14:paraId="7510B500">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≥95%</w:t>
            </w:r>
          </w:p>
        </w:tc>
        <w:tc>
          <w:tcPr>
            <w:tcW w:w="1800" w:type="dxa"/>
            <w:tcBorders>
              <w:top w:val="single" w:color="auto" w:sz="4" w:space="0"/>
              <w:left w:val="nil"/>
              <w:bottom w:val="single" w:color="auto" w:sz="4" w:space="0"/>
              <w:right w:val="single" w:color="auto" w:sz="4" w:space="0"/>
            </w:tcBorders>
          </w:tcPr>
          <w:p w14:paraId="65175B37">
            <w:pPr>
              <w:widowControl/>
              <w:jc w:val="center"/>
              <w:rPr>
                <w:rFonts w:hint="eastAsia"/>
                <w:color w:val="auto"/>
                <w:highlight w:val="none"/>
              </w:rPr>
            </w:pPr>
          </w:p>
          <w:p w14:paraId="5037CD64">
            <w:pPr>
              <w:pStyle w:val="3"/>
              <w:ind w:left="0" w:leftChars="0" w:firstLine="0" w:firstLineChars="0"/>
              <w:jc w:val="both"/>
              <w:rPr>
                <w:rFonts w:hint="eastAsia" w:eastAsia="仿宋_GB2312"/>
                <w:color w:val="auto"/>
                <w:highlight w:val="none"/>
                <w:lang w:val="en-US" w:eastAsia="zh-CN"/>
              </w:rPr>
            </w:pPr>
            <w:r>
              <w:rPr>
                <w:rFonts w:hint="eastAsia" w:ascii="仿宋_GB2312" w:hAnsi="仿宋" w:eastAsia="仿宋_GB2312" w:cs="Times New Roman"/>
                <w:color w:val="auto"/>
                <w:sz w:val="28"/>
                <w:szCs w:val="28"/>
                <w:highlight w:val="none"/>
                <w:lang w:val="en-US" w:eastAsia="zh-CN"/>
              </w:rPr>
              <w:t>83.3%</w:t>
            </w:r>
          </w:p>
        </w:tc>
        <w:tc>
          <w:tcPr>
            <w:tcW w:w="1575" w:type="dxa"/>
            <w:tcBorders>
              <w:top w:val="single" w:color="auto" w:sz="4" w:space="0"/>
              <w:left w:val="nil"/>
              <w:bottom w:val="single" w:color="auto" w:sz="4" w:space="0"/>
              <w:right w:val="single" w:color="auto" w:sz="4" w:space="0"/>
            </w:tcBorders>
          </w:tcPr>
          <w:p w14:paraId="54B9FE3F">
            <w:pPr>
              <w:widowControl/>
              <w:jc w:val="center"/>
              <w:rPr>
                <w:rFonts w:hint="eastAsia" w:ascii="仿宋_GB2312" w:hAnsi="仿宋" w:eastAsia="仿宋_GB2312" w:cs="Times New Roman"/>
                <w:color w:val="auto"/>
                <w:sz w:val="28"/>
                <w:szCs w:val="28"/>
                <w:highlight w:val="none"/>
                <w:lang w:val="en-US" w:eastAsia="zh-CN"/>
              </w:rPr>
            </w:pPr>
          </w:p>
          <w:p w14:paraId="515DDF2F">
            <w:pPr>
              <w:widowControl/>
              <w:jc w:val="center"/>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val="en-US" w:eastAsia="zh-CN"/>
              </w:rPr>
              <w:t>5%</w:t>
            </w:r>
          </w:p>
        </w:tc>
      </w:tr>
      <w:tr w14:paraId="18D2BE65">
        <w:tblPrEx>
          <w:tblCellMar>
            <w:top w:w="0" w:type="dxa"/>
            <w:left w:w="108" w:type="dxa"/>
            <w:bottom w:w="0" w:type="dxa"/>
            <w:right w:w="108" w:type="dxa"/>
          </w:tblCellMar>
        </w:tblPrEx>
        <w:trPr>
          <w:trHeight w:val="3257" w:hRule="atLeast"/>
        </w:trPr>
        <w:tc>
          <w:tcPr>
            <w:tcW w:w="803" w:type="dxa"/>
            <w:tcBorders>
              <w:top w:val="single" w:color="auto" w:sz="4" w:space="0"/>
              <w:left w:val="single" w:color="auto" w:sz="4" w:space="0"/>
              <w:bottom w:val="single" w:color="auto" w:sz="4" w:space="0"/>
              <w:right w:val="single" w:color="auto" w:sz="4" w:space="0"/>
            </w:tcBorders>
            <w:vAlign w:val="bottom"/>
          </w:tcPr>
          <w:p w14:paraId="1EB991B3">
            <w:pPr>
              <w:widowControl/>
              <w:ind w:firstLine="280" w:firstLineChars="100"/>
              <w:jc w:val="left"/>
              <w:rPr>
                <w:rFonts w:hint="eastAsia" w:ascii="仿宋_GB2312" w:hAnsi="仿宋" w:eastAsia="仿宋_GB2312" w:cs="Times New Roman"/>
                <w:color w:val="auto"/>
                <w:sz w:val="28"/>
                <w:szCs w:val="28"/>
                <w:highlight w:val="none"/>
                <w:lang w:val="en-US" w:eastAsia="zh-CN"/>
              </w:rPr>
            </w:pPr>
            <w:r>
              <w:rPr>
                <w:rFonts w:hint="eastAsia" w:ascii="仿宋_GB2312" w:hAnsi="仿宋" w:eastAsia="仿宋_GB2312" w:cs="Times New Roman"/>
                <w:color w:val="auto"/>
                <w:sz w:val="28"/>
                <w:szCs w:val="28"/>
                <w:highlight w:val="none"/>
                <w:lang w:val="en-US" w:eastAsia="zh-CN"/>
              </w:rPr>
              <w:t>8</w:t>
            </w:r>
          </w:p>
        </w:tc>
        <w:tc>
          <w:tcPr>
            <w:tcW w:w="4604" w:type="dxa"/>
            <w:tcBorders>
              <w:top w:val="single" w:color="auto" w:sz="4" w:space="0"/>
              <w:left w:val="nil"/>
              <w:bottom w:val="single" w:color="auto" w:sz="4" w:space="0"/>
              <w:right w:val="single" w:color="auto" w:sz="4" w:space="0"/>
            </w:tcBorders>
            <w:vAlign w:val="bottom"/>
          </w:tcPr>
          <w:p w14:paraId="06E332AE">
            <w:pPr>
              <w:widowControl/>
              <w:jc w:val="left"/>
              <w:rPr>
                <w:rFonts w:hint="eastAsia" w:ascii="仿宋_GB2312" w:hAnsi="仿宋" w:eastAsia="仿宋_GB2312" w:cs="Times New Roman"/>
                <w:color w:val="auto"/>
                <w:sz w:val="28"/>
                <w:szCs w:val="28"/>
                <w:highlight w:val="none"/>
                <w:lang w:val="en-US" w:eastAsia="zh-CN"/>
              </w:rPr>
            </w:pPr>
            <w:r>
              <w:rPr>
                <w:rFonts w:hint="eastAsia" w:ascii="仿宋_GB2312" w:hAnsi="仿宋" w:eastAsia="仿宋_GB2312" w:cs="Times New Roman"/>
                <w:color w:val="auto"/>
                <w:sz w:val="28"/>
                <w:szCs w:val="28"/>
                <w:highlight w:val="none"/>
              </w:rPr>
              <w:t>准入、许可审批、信用监管等市场主体管理工作正常开展</w:t>
            </w:r>
            <w:r>
              <w:rPr>
                <w:rFonts w:hint="eastAsia" w:ascii="仿宋_GB2312" w:hAnsi="仿宋" w:eastAsia="仿宋_GB2312" w:cs="Times New Roman"/>
                <w:color w:val="auto"/>
                <w:sz w:val="28"/>
                <w:szCs w:val="28"/>
                <w:highlight w:val="none"/>
                <w:lang w:eastAsia="zh-CN"/>
              </w:rPr>
              <w:t>率</w:t>
            </w:r>
          </w:p>
        </w:tc>
        <w:tc>
          <w:tcPr>
            <w:tcW w:w="2700" w:type="dxa"/>
            <w:tcBorders>
              <w:top w:val="single" w:color="auto" w:sz="4" w:space="0"/>
              <w:left w:val="nil"/>
              <w:bottom w:val="single" w:color="auto" w:sz="4" w:space="0"/>
              <w:right w:val="single" w:color="auto" w:sz="4" w:space="0"/>
            </w:tcBorders>
            <w:vAlign w:val="bottom"/>
          </w:tcPr>
          <w:p w14:paraId="19D591B6">
            <w:pPr>
              <w:widowControl/>
              <w:jc w:val="left"/>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eastAsia="zh-CN"/>
              </w:rPr>
              <w:t>定量指标</w:t>
            </w:r>
          </w:p>
        </w:tc>
        <w:tc>
          <w:tcPr>
            <w:tcW w:w="1845" w:type="dxa"/>
            <w:tcBorders>
              <w:top w:val="single" w:color="auto" w:sz="4" w:space="0"/>
              <w:left w:val="nil"/>
              <w:bottom w:val="single" w:color="auto" w:sz="4" w:space="0"/>
              <w:right w:val="single" w:color="auto" w:sz="4" w:space="0"/>
            </w:tcBorders>
            <w:vAlign w:val="bottom"/>
          </w:tcPr>
          <w:p w14:paraId="4A30704C">
            <w:pPr>
              <w:widowControl/>
              <w:ind w:firstLine="280" w:firstLineChars="100"/>
              <w:jc w:val="both"/>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≥95%</w:t>
            </w:r>
          </w:p>
        </w:tc>
        <w:tc>
          <w:tcPr>
            <w:tcW w:w="1800" w:type="dxa"/>
            <w:tcBorders>
              <w:top w:val="single" w:color="auto" w:sz="4" w:space="0"/>
              <w:left w:val="nil"/>
              <w:bottom w:val="single" w:color="auto" w:sz="4" w:space="0"/>
              <w:right w:val="single" w:color="auto" w:sz="4" w:space="0"/>
            </w:tcBorders>
          </w:tcPr>
          <w:p w14:paraId="304B71B1">
            <w:pPr>
              <w:widowControl/>
              <w:jc w:val="center"/>
              <w:rPr>
                <w:rFonts w:hint="eastAsia" w:ascii="仿宋_GB2312" w:hAnsi="仿宋" w:eastAsia="仿宋_GB2312" w:cs="Times New Roman"/>
                <w:color w:val="auto"/>
                <w:sz w:val="28"/>
                <w:szCs w:val="28"/>
                <w:highlight w:val="none"/>
              </w:rPr>
            </w:pPr>
          </w:p>
          <w:p w14:paraId="1D518609">
            <w:pPr>
              <w:widowControl/>
              <w:jc w:val="center"/>
              <w:rPr>
                <w:rFonts w:hint="eastAsia" w:ascii="仿宋_GB2312" w:hAnsi="仿宋" w:eastAsia="仿宋_GB2312" w:cs="Times New Roman"/>
                <w:color w:val="auto"/>
                <w:sz w:val="28"/>
                <w:szCs w:val="28"/>
                <w:highlight w:val="none"/>
              </w:rPr>
            </w:pPr>
          </w:p>
          <w:p w14:paraId="7D40ABBA">
            <w:pPr>
              <w:widowControl/>
              <w:jc w:val="center"/>
              <w:rPr>
                <w:rFonts w:hint="eastAsia" w:ascii="仿宋_GB2312" w:hAnsi="仿宋" w:eastAsia="仿宋_GB2312" w:cs="Times New Roman"/>
                <w:color w:val="auto"/>
                <w:sz w:val="28"/>
                <w:szCs w:val="28"/>
                <w:highlight w:val="none"/>
              </w:rPr>
            </w:pPr>
          </w:p>
          <w:p w14:paraId="253B69C9">
            <w:pPr>
              <w:widowControl/>
              <w:jc w:val="center"/>
              <w:rPr>
                <w:rFonts w:hint="eastAsia" w:ascii="仿宋_GB2312" w:hAnsi="仿宋" w:eastAsia="仿宋_GB2312" w:cs="Times New Roman"/>
                <w:color w:val="auto"/>
                <w:sz w:val="28"/>
                <w:szCs w:val="28"/>
                <w:highlight w:val="none"/>
              </w:rPr>
            </w:pPr>
          </w:p>
          <w:p w14:paraId="7F3F9A22">
            <w:pPr>
              <w:widowControl/>
              <w:jc w:val="center"/>
              <w:rPr>
                <w:rFonts w:hint="eastAsia" w:ascii="仿宋_GB2312" w:hAnsi="仿宋" w:eastAsia="仿宋_GB2312" w:cs="Times New Roman"/>
                <w:color w:val="auto"/>
                <w:sz w:val="28"/>
                <w:szCs w:val="28"/>
                <w:highlight w:val="none"/>
              </w:rPr>
            </w:pPr>
          </w:p>
          <w:p w14:paraId="1BD3CAEC">
            <w:pPr>
              <w:widowControl/>
              <w:jc w:val="center"/>
              <w:rPr>
                <w:rFonts w:hint="eastAsia" w:ascii="仿宋_GB2312" w:hAnsi="仿宋" w:eastAsia="仿宋_GB2312" w:cs="Times New Roman"/>
                <w:color w:val="auto"/>
                <w:sz w:val="28"/>
                <w:szCs w:val="28"/>
                <w:highlight w:val="none"/>
              </w:rPr>
            </w:pPr>
          </w:p>
          <w:p w14:paraId="08EB6C98">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100%</w:t>
            </w:r>
          </w:p>
        </w:tc>
        <w:tc>
          <w:tcPr>
            <w:tcW w:w="1575" w:type="dxa"/>
            <w:tcBorders>
              <w:top w:val="single" w:color="auto" w:sz="4" w:space="0"/>
              <w:left w:val="nil"/>
              <w:bottom w:val="single" w:color="auto" w:sz="4" w:space="0"/>
              <w:right w:val="single" w:color="auto" w:sz="4" w:space="0"/>
            </w:tcBorders>
          </w:tcPr>
          <w:p w14:paraId="0B5A22EC">
            <w:pPr>
              <w:widowControl/>
              <w:jc w:val="center"/>
              <w:rPr>
                <w:rFonts w:hint="eastAsia" w:ascii="仿宋_GB2312" w:hAnsi="仿宋" w:eastAsia="仿宋_GB2312" w:cs="Times New Roman"/>
                <w:color w:val="auto"/>
                <w:sz w:val="28"/>
                <w:szCs w:val="28"/>
                <w:highlight w:val="none"/>
                <w:lang w:val="en-US" w:eastAsia="zh-CN"/>
              </w:rPr>
            </w:pPr>
          </w:p>
          <w:p w14:paraId="4FAEDE19">
            <w:pPr>
              <w:widowControl/>
              <w:jc w:val="center"/>
              <w:rPr>
                <w:rFonts w:hint="eastAsia" w:ascii="仿宋_GB2312" w:hAnsi="仿宋" w:eastAsia="仿宋_GB2312" w:cs="Times New Roman"/>
                <w:color w:val="auto"/>
                <w:sz w:val="28"/>
                <w:szCs w:val="28"/>
                <w:highlight w:val="none"/>
                <w:lang w:val="en-US" w:eastAsia="zh-CN"/>
              </w:rPr>
            </w:pPr>
          </w:p>
          <w:p w14:paraId="3AC59406">
            <w:pPr>
              <w:widowControl/>
              <w:jc w:val="center"/>
              <w:rPr>
                <w:rFonts w:hint="eastAsia" w:ascii="仿宋_GB2312" w:hAnsi="仿宋" w:eastAsia="仿宋_GB2312" w:cs="Times New Roman"/>
                <w:color w:val="auto"/>
                <w:sz w:val="28"/>
                <w:szCs w:val="28"/>
                <w:highlight w:val="none"/>
                <w:lang w:val="en-US" w:eastAsia="zh-CN"/>
              </w:rPr>
            </w:pPr>
          </w:p>
          <w:p w14:paraId="17D04DD0">
            <w:pPr>
              <w:widowControl/>
              <w:jc w:val="center"/>
              <w:rPr>
                <w:rFonts w:hint="eastAsia" w:ascii="仿宋_GB2312" w:hAnsi="仿宋" w:eastAsia="仿宋_GB2312" w:cs="Times New Roman"/>
                <w:color w:val="auto"/>
                <w:sz w:val="28"/>
                <w:szCs w:val="28"/>
                <w:highlight w:val="none"/>
                <w:lang w:val="en-US" w:eastAsia="zh-CN"/>
              </w:rPr>
            </w:pPr>
          </w:p>
          <w:p w14:paraId="78E41C81">
            <w:pPr>
              <w:widowControl/>
              <w:jc w:val="center"/>
              <w:rPr>
                <w:rFonts w:hint="eastAsia" w:ascii="仿宋_GB2312" w:hAnsi="仿宋" w:eastAsia="仿宋_GB2312" w:cs="Times New Roman"/>
                <w:color w:val="auto"/>
                <w:sz w:val="28"/>
                <w:szCs w:val="28"/>
                <w:highlight w:val="none"/>
                <w:lang w:val="en-US" w:eastAsia="zh-CN"/>
              </w:rPr>
            </w:pPr>
          </w:p>
          <w:p w14:paraId="7B319CE5">
            <w:pPr>
              <w:widowControl/>
              <w:jc w:val="center"/>
              <w:rPr>
                <w:rFonts w:hint="eastAsia" w:ascii="仿宋_GB2312" w:hAnsi="仿宋" w:eastAsia="仿宋_GB2312" w:cs="Times New Roman"/>
                <w:color w:val="auto"/>
                <w:sz w:val="28"/>
                <w:szCs w:val="28"/>
                <w:highlight w:val="none"/>
                <w:lang w:val="en-US" w:eastAsia="zh-CN"/>
              </w:rPr>
            </w:pPr>
          </w:p>
          <w:p w14:paraId="71D44D33">
            <w:pPr>
              <w:widowControl/>
              <w:jc w:val="center"/>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val="en-US" w:eastAsia="zh-CN"/>
              </w:rPr>
              <w:t>5%</w:t>
            </w:r>
          </w:p>
        </w:tc>
      </w:tr>
      <w:tr w14:paraId="04E37FBE">
        <w:tblPrEx>
          <w:tblCellMar>
            <w:top w:w="0" w:type="dxa"/>
            <w:left w:w="108" w:type="dxa"/>
            <w:bottom w:w="0" w:type="dxa"/>
            <w:right w:w="108" w:type="dxa"/>
          </w:tblCellMar>
        </w:tblPrEx>
        <w:trPr>
          <w:trHeight w:val="947" w:hRule="atLeast"/>
        </w:trPr>
        <w:tc>
          <w:tcPr>
            <w:tcW w:w="803" w:type="dxa"/>
            <w:tcBorders>
              <w:top w:val="single" w:color="auto" w:sz="4" w:space="0"/>
              <w:left w:val="single" w:color="auto" w:sz="4" w:space="0"/>
              <w:bottom w:val="single" w:color="auto" w:sz="4" w:space="0"/>
              <w:right w:val="single" w:color="auto" w:sz="4" w:space="0"/>
            </w:tcBorders>
            <w:vAlign w:val="bottom"/>
          </w:tcPr>
          <w:p w14:paraId="29E6E260">
            <w:pPr>
              <w:widowControl/>
              <w:ind w:firstLine="280" w:firstLineChars="100"/>
              <w:jc w:val="left"/>
              <w:rPr>
                <w:rFonts w:hint="eastAsia" w:ascii="仿宋_GB2312" w:hAnsi="仿宋" w:eastAsia="仿宋_GB2312" w:cs="Times New Roman"/>
                <w:color w:val="auto"/>
                <w:sz w:val="28"/>
                <w:szCs w:val="28"/>
                <w:highlight w:val="none"/>
                <w:lang w:val="en-US" w:eastAsia="zh-CN"/>
              </w:rPr>
            </w:pPr>
            <w:r>
              <w:rPr>
                <w:rFonts w:hint="eastAsia" w:ascii="仿宋_GB2312" w:hAnsi="仿宋" w:eastAsia="仿宋_GB2312" w:cs="Times New Roman"/>
                <w:color w:val="auto"/>
                <w:sz w:val="28"/>
                <w:szCs w:val="28"/>
                <w:highlight w:val="none"/>
                <w:lang w:val="en-US" w:eastAsia="zh-CN"/>
              </w:rPr>
              <w:t>9</w:t>
            </w:r>
          </w:p>
        </w:tc>
        <w:tc>
          <w:tcPr>
            <w:tcW w:w="4604" w:type="dxa"/>
            <w:tcBorders>
              <w:top w:val="single" w:color="auto" w:sz="4" w:space="0"/>
              <w:left w:val="nil"/>
              <w:bottom w:val="single" w:color="auto" w:sz="4" w:space="0"/>
              <w:right w:val="single" w:color="auto" w:sz="4" w:space="0"/>
            </w:tcBorders>
            <w:vAlign w:val="bottom"/>
          </w:tcPr>
          <w:p w14:paraId="1BCE1ADE">
            <w:pPr>
              <w:widowControl/>
              <w:jc w:val="left"/>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档案电子化率</w:t>
            </w:r>
          </w:p>
        </w:tc>
        <w:tc>
          <w:tcPr>
            <w:tcW w:w="2700" w:type="dxa"/>
            <w:tcBorders>
              <w:top w:val="single" w:color="auto" w:sz="4" w:space="0"/>
              <w:left w:val="nil"/>
              <w:bottom w:val="single" w:color="auto" w:sz="4" w:space="0"/>
              <w:right w:val="single" w:color="auto" w:sz="4" w:space="0"/>
            </w:tcBorders>
            <w:vAlign w:val="bottom"/>
          </w:tcPr>
          <w:p w14:paraId="6E9D8E48">
            <w:pPr>
              <w:widowControl/>
              <w:jc w:val="left"/>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eastAsia="zh-CN"/>
              </w:rPr>
              <w:t>定量指标</w:t>
            </w:r>
          </w:p>
        </w:tc>
        <w:tc>
          <w:tcPr>
            <w:tcW w:w="1845" w:type="dxa"/>
            <w:tcBorders>
              <w:top w:val="single" w:color="auto" w:sz="4" w:space="0"/>
              <w:left w:val="nil"/>
              <w:bottom w:val="single" w:color="auto" w:sz="4" w:space="0"/>
              <w:right w:val="single" w:color="auto" w:sz="4" w:space="0"/>
            </w:tcBorders>
            <w:vAlign w:val="bottom"/>
          </w:tcPr>
          <w:p w14:paraId="1F8358F1">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≥95%</w:t>
            </w:r>
          </w:p>
        </w:tc>
        <w:tc>
          <w:tcPr>
            <w:tcW w:w="1800" w:type="dxa"/>
            <w:tcBorders>
              <w:top w:val="single" w:color="auto" w:sz="4" w:space="0"/>
              <w:left w:val="nil"/>
              <w:bottom w:val="single" w:color="auto" w:sz="4" w:space="0"/>
              <w:right w:val="single" w:color="auto" w:sz="4" w:space="0"/>
            </w:tcBorders>
          </w:tcPr>
          <w:p w14:paraId="6D9E0FAC">
            <w:pPr>
              <w:widowControl/>
              <w:jc w:val="center"/>
              <w:rPr>
                <w:rFonts w:hint="eastAsia" w:ascii="仿宋_GB2312" w:hAnsi="仿宋" w:eastAsia="仿宋_GB2312" w:cs="Times New Roman"/>
                <w:color w:val="auto"/>
                <w:sz w:val="28"/>
                <w:szCs w:val="28"/>
                <w:highlight w:val="none"/>
              </w:rPr>
            </w:pPr>
          </w:p>
          <w:p w14:paraId="0D2F0C03">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100%</w:t>
            </w:r>
          </w:p>
        </w:tc>
        <w:tc>
          <w:tcPr>
            <w:tcW w:w="1575" w:type="dxa"/>
            <w:tcBorders>
              <w:top w:val="single" w:color="auto" w:sz="4" w:space="0"/>
              <w:left w:val="nil"/>
              <w:bottom w:val="single" w:color="auto" w:sz="4" w:space="0"/>
              <w:right w:val="single" w:color="auto" w:sz="4" w:space="0"/>
            </w:tcBorders>
          </w:tcPr>
          <w:p w14:paraId="142578A0">
            <w:pPr>
              <w:widowControl/>
              <w:jc w:val="center"/>
              <w:rPr>
                <w:rFonts w:hint="eastAsia" w:ascii="仿宋_GB2312" w:hAnsi="仿宋" w:eastAsia="仿宋_GB2312" w:cs="Times New Roman"/>
                <w:color w:val="auto"/>
                <w:sz w:val="28"/>
                <w:szCs w:val="28"/>
                <w:highlight w:val="none"/>
                <w:lang w:val="en-US" w:eastAsia="zh-CN"/>
              </w:rPr>
            </w:pPr>
          </w:p>
          <w:p w14:paraId="62DBC9D0">
            <w:pPr>
              <w:widowControl/>
              <w:jc w:val="center"/>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val="en-US" w:eastAsia="zh-CN"/>
              </w:rPr>
              <w:t>5%</w:t>
            </w:r>
          </w:p>
        </w:tc>
      </w:tr>
      <w:tr w14:paraId="7E9B830A">
        <w:tblPrEx>
          <w:tblCellMar>
            <w:top w:w="0" w:type="dxa"/>
            <w:left w:w="108" w:type="dxa"/>
            <w:bottom w:w="0" w:type="dxa"/>
            <w:right w:w="108" w:type="dxa"/>
          </w:tblCellMar>
        </w:tblPrEx>
        <w:trPr>
          <w:trHeight w:val="275" w:hRule="atLeast"/>
        </w:trPr>
        <w:tc>
          <w:tcPr>
            <w:tcW w:w="803" w:type="dxa"/>
            <w:tcBorders>
              <w:top w:val="single" w:color="auto" w:sz="4" w:space="0"/>
              <w:left w:val="single" w:color="auto" w:sz="4" w:space="0"/>
              <w:bottom w:val="single" w:color="auto" w:sz="4" w:space="0"/>
              <w:right w:val="single" w:color="auto" w:sz="4" w:space="0"/>
            </w:tcBorders>
            <w:vAlign w:val="bottom"/>
          </w:tcPr>
          <w:p w14:paraId="5A4D8C8F">
            <w:pPr>
              <w:widowControl/>
              <w:ind w:firstLine="280" w:firstLineChars="100"/>
              <w:jc w:val="left"/>
              <w:rPr>
                <w:rFonts w:hint="eastAsia" w:ascii="仿宋_GB2312" w:hAnsi="仿宋" w:eastAsia="仿宋_GB2312" w:cs="Times New Roman"/>
                <w:color w:val="auto"/>
                <w:sz w:val="28"/>
                <w:szCs w:val="28"/>
                <w:highlight w:val="none"/>
                <w:lang w:val="en-US" w:eastAsia="zh-CN"/>
              </w:rPr>
            </w:pPr>
            <w:r>
              <w:rPr>
                <w:rFonts w:hint="eastAsia" w:ascii="仿宋_GB2312" w:hAnsi="仿宋" w:eastAsia="仿宋_GB2312" w:cs="Times New Roman"/>
                <w:color w:val="auto"/>
                <w:sz w:val="28"/>
                <w:szCs w:val="28"/>
                <w:highlight w:val="none"/>
                <w:lang w:val="en-US" w:eastAsia="zh-CN"/>
              </w:rPr>
              <w:t>10</w:t>
            </w:r>
          </w:p>
        </w:tc>
        <w:tc>
          <w:tcPr>
            <w:tcW w:w="4604" w:type="dxa"/>
            <w:tcBorders>
              <w:top w:val="single" w:color="auto" w:sz="4" w:space="0"/>
              <w:left w:val="nil"/>
              <w:bottom w:val="single" w:color="auto" w:sz="4" w:space="0"/>
              <w:right w:val="single" w:color="auto" w:sz="4" w:space="0"/>
            </w:tcBorders>
            <w:vAlign w:val="bottom"/>
          </w:tcPr>
          <w:p w14:paraId="63D2F005">
            <w:pPr>
              <w:widowControl/>
              <w:jc w:val="left"/>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执法终端运维率</w:t>
            </w:r>
          </w:p>
        </w:tc>
        <w:tc>
          <w:tcPr>
            <w:tcW w:w="2700" w:type="dxa"/>
            <w:tcBorders>
              <w:top w:val="single" w:color="auto" w:sz="4" w:space="0"/>
              <w:left w:val="nil"/>
              <w:bottom w:val="single" w:color="auto" w:sz="4" w:space="0"/>
              <w:right w:val="single" w:color="auto" w:sz="4" w:space="0"/>
            </w:tcBorders>
            <w:vAlign w:val="bottom"/>
          </w:tcPr>
          <w:p w14:paraId="0F626AF1">
            <w:pPr>
              <w:widowControl/>
              <w:jc w:val="left"/>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eastAsia="zh-CN"/>
              </w:rPr>
              <w:t>定量指标</w:t>
            </w:r>
          </w:p>
        </w:tc>
        <w:tc>
          <w:tcPr>
            <w:tcW w:w="1845" w:type="dxa"/>
            <w:tcBorders>
              <w:top w:val="single" w:color="auto" w:sz="4" w:space="0"/>
              <w:left w:val="nil"/>
              <w:bottom w:val="single" w:color="auto" w:sz="4" w:space="0"/>
              <w:right w:val="single" w:color="auto" w:sz="4" w:space="0"/>
            </w:tcBorders>
            <w:vAlign w:val="bottom"/>
          </w:tcPr>
          <w:p w14:paraId="6826BAC4">
            <w:pPr>
              <w:widowControl/>
              <w:jc w:val="center"/>
              <w:rPr>
                <w:rFonts w:hint="eastAsia" w:ascii="仿宋_GB2312" w:hAnsi="仿宋" w:eastAsia="仿宋_GB2312" w:cs="Times New Roman"/>
                <w:color w:val="auto"/>
                <w:sz w:val="28"/>
                <w:szCs w:val="28"/>
                <w:highlight w:val="none"/>
              </w:rPr>
            </w:pPr>
          </w:p>
          <w:p w14:paraId="35950D5D">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≥95%</w:t>
            </w:r>
          </w:p>
        </w:tc>
        <w:tc>
          <w:tcPr>
            <w:tcW w:w="1800" w:type="dxa"/>
            <w:tcBorders>
              <w:top w:val="single" w:color="auto" w:sz="4" w:space="0"/>
              <w:left w:val="nil"/>
              <w:bottom w:val="single" w:color="auto" w:sz="4" w:space="0"/>
              <w:right w:val="single" w:color="auto" w:sz="4" w:space="0"/>
            </w:tcBorders>
          </w:tcPr>
          <w:p w14:paraId="2F78BFB2">
            <w:pPr>
              <w:widowControl/>
              <w:jc w:val="center"/>
              <w:rPr>
                <w:rFonts w:hint="eastAsia" w:ascii="仿宋_GB2312" w:hAnsi="仿宋" w:eastAsia="仿宋_GB2312" w:cs="Times New Roman"/>
                <w:color w:val="auto"/>
                <w:sz w:val="28"/>
                <w:szCs w:val="28"/>
                <w:highlight w:val="none"/>
              </w:rPr>
            </w:pPr>
          </w:p>
          <w:p w14:paraId="01B7A031">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100%</w:t>
            </w:r>
          </w:p>
        </w:tc>
        <w:tc>
          <w:tcPr>
            <w:tcW w:w="1575" w:type="dxa"/>
            <w:tcBorders>
              <w:top w:val="single" w:color="auto" w:sz="4" w:space="0"/>
              <w:left w:val="nil"/>
              <w:bottom w:val="single" w:color="auto" w:sz="4" w:space="0"/>
              <w:right w:val="single" w:color="auto" w:sz="4" w:space="0"/>
            </w:tcBorders>
          </w:tcPr>
          <w:p w14:paraId="1ED927C3">
            <w:pPr>
              <w:widowControl/>
              <w:jc w:val="center"/>
              <w:rPr>
                <w:rFonts w:hint="eastAsia" w:ascii="仿宋_GB2312" w:hAnsi="仿宋" w:eastAsia="仿宋_GB2312" w:cs="Times New Roman"/>
                <w:color w:val="auto"/>
                <w:sz w:val="28"/>
                <w:szCs w:val="28"/>
                <w:highlight w:val="none"/>
                <w:lang w:val="en-US" w:eastAsia="zh-CN"/>
              </w:rPr>
            </w:pPr>
          </w:p>
          <w:p w14:paraId="2F238B0B">
            <w:pPr>
              <w:widowControl/>
              <w:jc w:val="center"/>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val="en-US" w:eastAsia="zh-CN"/>
              </w:rPr>
              <w:t>5%</w:t>
            </w:r>
          </w:p>
        </w:tc>
      </w:tr>
      <w:tr w14:paraId="5E7B13F6">
        <w:tblPrEx>
          <w:tblCellMar>
            <w:top w:w="0" w:type="dxa"/>
            <w:left w:w="108" w:type="dxa"/>
            <w:bottom w:w="0" w:type="dxa"/>
            <w:right w:w="108" w:type="dxa"/>
          </w:tblCellMar>
        </w:tblPrEx>
        <w:trPr>
          <w:trHeight w:val="275" w:hRule="atLeast"/>
        </w:trPr>
        <w:tc>
          <w:tcPr>
            <w:tcW w:w="803" w:type="dxa"/>
            <w:tcBorders>
              <w:top w:val="single" w:color="auto" w:sz="4" w:space="0"/>
              <w:left w:val="single" w:color="auto" w:sz="4" w:space="0"/>
              <w:bottom w:val="single" w:color="auto" w:sz="4" w:space="0"/>
              <w:right w:val="single" w:color="auto" w:sz="4" w:space="0"/>
            </w:tcBorders>
            <w:vAlign w:val="bottom"/>
          </w:tcPr>
          <w:p w14:paraId="20B3B5AB">
            <w:pPr>
              <w:widowControl/>
              <w:ind w:firstLine="280" w:firstLineChars="100"/>
              <w:jc w:val="left"/>
              <w:rPr>
                <w:rFonts w:hint="eastAsia" w:ascii="仿宋_GB2312" w:hAnsi="仿宋" w:eastAsia="仿宋_GB2312" w:cs="Times New Roman"/>
                <w:color w:val="auto"/>
                <w:sz w:val="28"/>
                <w:szCs w:val="28"/>
                <w:highlight w:val="yellow"/>
                <w:lang w:val="en-US" w:eastAsia="zh-CN"/>
              </w:rPr>
            </w:pPr>
            <w:r>
              <w:rPr>
                <w:rFonts w:hint="eastAsia" w:ascii="仿宋_GB2312" w:hAnsi="仿宋" w:eastAsia="仿宋_GB2312" w:cs="Times New Roman"/>
                <w:color w:val="auto"/>
                <w:sz w:val="28"/>
                <w:szCs w:val="28"/>
                <w:highlight w:val="none"/>
                <w:lang w:val="en-US" w:eastAsia="zh-CN"/>
              </w:rPr>
              <w:t>11</w:t>
            </w:r>
          </w:p>
        </w:tc>
        <w:tc>
          <w:tcPr>
            <w:tcW w:w="4604" w:type="dxa"/>
            <w:tcBorders>
              <w:top w:val="single" w:color="auto" w:sz="4" w:space="0"/>
              <w:left w:val="nil"/>
              <w:bottom w:val="single" w:color="auto" w:sz="4" w:space="0"/>
              <w:right w:val="single" w:color="auto" w:sz="4" w:space="0"/>
            </w:tcBorders>
            <w:vAlign w:val="bottom"/>
          </w:tcPr>
          <w:p w14:paraId="5ED78AD5">
            <w:pPr>
              <w:widowControl/>
              <w:jc w:val="left"/>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服务企业对象满意度</w:t>
            </w:r>
          </w:p>
        </w:tc>
        <w:tc>
          <w:tcPr>
            <w:tcW w:w="2700" w:type="dxa"/>
            <w:tcBorders>
              <w:top w:val="single" w:color="auto" w:sz="4" w:space="0"/>
              <w:left w:val="nil"/>
              <w:bottom w:val="single" w:color="auto" w:sz="4" w:space="0"/>
              <w:right w:val="single" w:color="auto" w:sz="4" w:space="0"/>
            </w:tcBorders>
            <w:vAlign w:val="bottom"/>
          </w:tcPr>
          <w:p w14:paraId="40E59A96">
            <w:pPr>
              <w:widowControl/>
              <w:jc w:val="left"/>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eastAsia="zh-CN"/>
              </w:rPr>
              <w:t>定量指标</w:t>
            </w:r>
          </w:p>
        </w:tc>
        <w:tc>
          <w:tcPr>
            <w:tcW w:w="1845" w:type="dxa"/>
            <w:tcBorders>
              <w:top w:val="single" w:color="auto" w:sz="4" w:space="0"/>
              <w:left w:val="nil"/>
              <w:bottom w:val="single" w:color="auto" w:sz="4" w:space="0"/>
              <w:right w:val="single" w:color="auto" w:sz="4" w:space="0"/>
            </w:tcBorders>
            <w:vAlign w:val="bottom"/>
          </w:tcPr>
          <w:p w14:paraId="60F41648">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≥95%</w:t>
            </w:r>
          </w:p>
        </w:tc>
        <w:tc>
          <w:tcPr>
            <w:tcW w:w="1800" w:type="dxa"/>
            <w:tcBorders>
              <w:top w:val="single" w:color="auto" w:sz="4" w:space="0"/>
              <w:left w:val="nil"/>
              <w:bottom w:val="single" w:color="auto" w:sz="4" w:space="0"/>
              <w:right w:val="single" w:color="auto" w:sz="4" w:space="0"/>
            </w:tcBorders>
          </w:tcPr>
          <w:p w14:paraId="2DB2F0D6">
            <w:pPr>
              <w:widowControl/>
              <w:jc w:val="center"/>
              <w:rPr>
                <w:rFonts w:hint="eastAsia" w:ascii="仿宋_GB2312" w:hAnsi="仿宋" w:eastAsia="仿宋_GB2312" w:cs="Times New Roman"/>
                <w:color w:val="auto"/>
                <w:sz w:val="28"/>
                <w:szCs w:val="28"/>
                <w:highlight w:val="none"/>
              </w:rPr>
            </w:pPr>
          </w:p>
          <w:p w14:paraId="24B03380">
            <w:pPr>
              <w:widowControl/>
              <w:jc w:val="center"/>
              <w:rPr>
                <w:rFonts w:hint="eastAsia" w:ascii="仿宋_GB2312" w:hAnsi="仿宋" w:eastAsia="仿宋_GB2312" w:cs="Times New Roman"/>
                <w:color w:val="auto"/>
                <w:sz w:val="28"/>
                <w:szCs w:val="28"/>
                <w:highlight w:val="none"/>
              </w:rPr>
            </w:pPr>
          </w:p>
          <w:p w14:paraId="6A602540">
            <w:pPr>
              <w:widowControl/>
              <w:jc w:val="center"/>
              <w:rPr>
                <w:rFonts w:hint="eastAsia" w:ascii="仿宋_GB2312" w:hAnsi="仿宋" w:eastAsia="仿宋_GB2312" w:cs="Times New Roman"/>
                <w:color w:val="auto"/>
                <w:sz w:val="28"/>
                <w:szCs w:val="28"/>
                <w:highlight w:val="none"/>
              </w:rPr>
            </w:pPr>
            <w:r>
              <w:rPr>
                <w:rFonts w:hint="eastAsia" w:ascii="仿宋_GB2312" w:hAnsi="仿宋" w:eastAsia="仿宋_GB2312" w:cs="Times New Roman"/>
                <w:color w:val="auto"/>
                <w:sz w:val="28"/>
                <w:szCs w:val="28"/>
                <w:highlight w:val="none"/>
              </w:rPr>
              <w:t>≥95%</w:t>
            </w:r>
          </w:p>
        </w:tc>
        <w:tc>
          <w:tcPr>
            <w:tcW w:w="1575" w:type="dxa"/>
            <w:tcBorders>
              <w:top w:val="single" w:color="auto" w:sz="4" w:space="0"/>
              <w:left w:val="nil"/>
              <w:bottom w:val="single" w:color="auto" w:sz="4" w:space="0"/>
              <w:right w:val="single" w:color="auto" w:sz="4" w:space="0"/>
            </w:tcBorders>
          </w:tcPr>
          <w:p w14:paraId="00769A65">
            <w:pPr>
              <w:widowControl/>
              <w:jc w:val="center"/>
              <w:rPr>
                <w:rFonts w:hint="eastAsia" w:ascii="仿宋_GB2312" w:hAnsi="仿宋" w:eastAsia="仿宋_GB2312" w:cs="Times New Roman"/>
                <w:color w:val="auto"/>
                <w:sz w:val="28"/>
                <w:szCs w:val="28"/>
                <w:highlight w:val="none"/>
                <w:lang w:val="en-US" w:eastAsia="zh-CN"/>
              </w:rPr>
            </w:pPr>
          </w:p>
          <w:p w14:paraId="3E401BB2">
            <w:pPr>
              <w:widowControl/>
              <w:jc w:val="center"/>
              <w:rPr>
                <w:rFonts w:hint="eastAsia" w:ascii="仿宋_GB2312" w:hAnsi="仿宋" w:eastAsia="仿宋_GB2312" w:cs="Times New Roman"/>
                <w:color w:val="auto"/>
                <w:sz w:val="28"/>
                <w:szCs w:val="28"/>
                <w:highlight w:val="none"/>
                <w:lang w:val="en-US" w:eastAsia="zh-CN"/>
              </w:rPr>
            </w:pPr>
          </w:p>
          <w:p w14:paraId="274012E0">
            <w:pPr>
              <w:widowControl/>
              <w:jc w:val="center"/>
              <w:rPr>
                <w:rFonts w:hint="eastAsia" w:ascii="仿宋_GB2312" w:hAnsi="仿宋" w:eastAsia="仿宋_GB2312" w:cs="Times New Roman"/>
                <w:color w:val="auto"/>
                <w:sz w:val="28"/>
                <w:szCs w:val="28"/>
                <w:highlight w:val="yellow"/>
              </w:rPr>
            </w:pPr>
            <w:r>
              <w:rPr>
                <w:rFonts w:hint="eastAsia" w:ascii="仿宋_GB2312" w:hAnsi="仿宋" w:eastAsia="仿宋_GB2312" w:cs="Times New Roman"/>
                <w:color w:val="auto"/>
                <w:sz w:val="28"/>
                <w:szCs w:val="28"/>
                <w:highlight w:val="none"/>
                <w:lang w:val="en-US" w:eastAsia="zh-CN"/>
              </w:rPr>
              <w:t>5%</w:t>
            </w:r>
          </w:p>
        </w:tc>
      </w:tr>
    </w:tbl>
    <w:p w14:paraId="157B0B3D">
      <w:pPr>
        <w:rPr>
          <w:rFonts w:hint="eastAsia"/>
        </w:rPr>
      </w:pPr>
    </w:p>
    <w:p w14:paraId="4B1C9300">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14:paraId="3E8EEE0B">
      <w:pPr>
        <w:spacing w:line="580" w:lineRule="exact"/>
        <w:ind w:firstLine="641"/>
        <w:rPr>
          <w:rFonts w:hint="eastAsia" w:ascii="仿宋_GB2312" w:eastAsia="仿宋_GB2312"/>
          <w:color w:val="auto"/>
          <w:sz w:val="32"/>
          <w:szCs w:val="32"/>
        </w:rPr>
      </w:pPr>
      <w:r>
        <w:rPr>
          <w:rFonts w:hint="eastAsia" w:ascii="仿宋_GB2312" w:eastAsia="仿宋_GB2312"/>
          <w:color w:val="auto"/>
          <w:sz w:val="32"/>
          <w:szCs w:val="32"/>
        </w:rPr>
        <w:t>2025年全年预算数113</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086</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053.6</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元，其中，基本支出预算数110</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446</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053.6元，项目支出预算数2</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640</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000</w:t>
      </w:r>
      <w:r>
        <w:rPr>
          <w:rFonts w:hint="eastAsia" w:ascii="仿宋_GB2312" w:eastAsia="仿宋_GB2312"/>
          <w:color w:val="auto"/>
          <w:sz w:val="32"/>
          <w:szCs w:val="32"/>
          <w:lang w:val="en-US" w:eastAsia="zh-CN"/>
        </w:rPr>
        <w:t>.00</w:t>
      </w:r>
      <w:r>
        <w:rPr>
          <w:rFonts w:hint="eastAsia" w:ascii="仿宋_GB2312" w:eastAsia="仿宋_GB2312"/>
          <w:color w:val="auto"/>
          <w:sz w:val="32"/>
          <w:szCs w:val="32"/>
        </w:rPr>
        <w:t>元。全年支出113,413,355.18元，其中，基本支出109,035,962.38元，项目支出4,377,392.80元。预算执行率为</w:t>
      </w:r>
      <w:r>
        <w:rPr>
          <w:rFonts w:hint="eastAsia" w:ascii="仿宋_GB2312" w:eastAsia="仿宋_GB2312"/>
          <w:color w:val="auto"/>
          <w:sz w:val="32"/>
          <w:szCs w:val="32"/>
          <w:lang w:val="en-US" w:eastAsia="zh-CN"/>
        </w:rPr>
        <w:t>100.3</w:t>
      </w:r>
      <w:r>
        <w:rPr>
          <w:rFonts w:hint="eastAsia" w:ascii="仿宋_GB2312" w:eastAsia="仿宋_GB2312"/>
          <w:color w:val="auto"/>
          <w:sz w:val="32"/>
          <w:szCs w:val="32"/>
        </w:rPr>
        <w:t xml:space="preserve">%。                              </w:t>
      </w:r>
    </w:p>
    <w:p w14:paraId="7759A749">
      <w:pPr>
        <w:spacing w:line="580" w:lineRule="exact"/>
        <w:ind w:firstLine="641"/>
        <w:rPr>
          <w:rFonts w:hint="eastAsia"/>
        </w:rPr>
      </w:pPr>
      <w:r>
        <w:rPr>
          <w:rFonts w:hint="eastAsia" w:ascii="仿宋_GB2312" w:eastAsia="仿宋_GB2312"/>
          <w:color w:val="auto"/>
          <w:sz w:val="32"/>
          <w:szCs w:val="32"/>
        </w:rPr>
        <w:t>2025年年末结转结余资金总额为</w:t>
      </w:r>
      <w:r>
        <w:rPr>
          <w:rFonts w:hint="eastAsia" w:ascii="仿宋_GB2312" w:eastAsia="仿宋_GB2312"/>
          <w:color w:val="auto"/>
          <w:sz w:val="32"/>
          <w:szCs w:val="32"/>
          <w:lang w:val="en-US" w:eastAsia="zh-CN"/>
        </w:rPr>
        <w:t>0.00</w:t>
      </w:r>
      <w:r>
        <w:rPr>
          <w:rFonts w:hint="eastAsia" w:ascii="仿宋_GB2312" w:eastAsia="仿宋_GB2312"/>
          <w:color w:val="auto"/>
          <w:sz w:val="32"/>
          <w:szCs w:val="32"/>
        </w:rPr>
        <w:t>元，全年支出预算数</w:t>
      </w:r>
      <w:r>
        <w:rPr>
          <w:rFonts w:hint="eastAsia" w:ascii="仿宋_GB2312" w:eastAsia="仿宋_GB2312"/>
          <w:color w:val="auto"/>
          <w:sz w:val="32"/>
          <w:szCs w:val="32"/>
          <w:lang w:val="en-US" w:eastAsia="zh-CN"/>
        </w:rPr>
        <w:t>0.00</w:t>
      </w:r>
      <w:r>
        <w:rPr>
          <w:rFonts w:hint="eastAsia" w:ascii="仿宋_GB2312" w:eastAsia="仿宋_GB2312"/>
          <w:color w:val="auto"/>
          <w:sz w:val="32"/>
          <w:szCs w:val="32"/>
        </w:rPr>
        <w:t>元，资金结转结余率为</w:t>
      </w:r>
      <w:r>
        <w:rPr>
          <w:rFonts w:hint="eastAsia" w:ascii="仿宋_GB2312" w:eastAsia="仿宋_GB2312"/>
          <w:color w:val="auto"/>
          <w:sz w:val="32"/>
          <w:szCs w:val="32"/>
          <w:lang w:val="en-US" w:eastAsia="zh-CN"/>
        </w:rPr>
        <w:t>0.0</w:t>
      </w:r>
      <w:r>
        <w:rPr>
          <w:rFonts w:hint="eastAsia" w:ascii="仿宋_GB2312" w:eastAsia="仿宋_GB2312"/>
          <w:color w:val="auto"/>
          <w:sz w:val="32"/>
          <w:szCs w:val="32"/>
        </w:rPr>
        <w:t>%；2024年年末结转结余资金总额为</w:t>
      </w:r>
      <w:r>
        <w:rPr>
          <w:rFonts w:hint="eastAsia" w:ascii="仿宋_GB2312" w:eastAsia="仿宋_GB2312"/>
          <w:color w:val="auto"/>
          <w:sz w:val="32"/>
          <w:szCs w:val="32"/>
          <w:lang w:val="en-US" w:eastAsia="zh-CN"/>
        </w:rPr>
        <w:t>0.00</w:t>
      </w:r>
      <w:r>
        <w:rPr>
          <w:rFonts w:hint="eastAsia" w:ascii="仿宋_GB2312" w:eastAsia="仿宋_GB2312"/>
          <w:color w:val="auto"/>
          <w:sz w:val="32"/>
          <w:szCs w:val="32"/>
        </w:rPr>
        <w:t>元，全年支出预算数为</w:t>
      </w:r>
      <w:r>
        <w:rPr>
          <w:rFonts w:hint="eastAsia" w:ascii="仿宋_GB2312" w:eastAsia="仿宋_GB2312"/>
          <w:color w:val="auto"/>
          <w:sz w:val="32"/>
          <w:szCs w:val="32"/>
          <w:lang w:val="en-US" w:eastAsia="zh-CN"/>
        </w:rPr>
        <w:t>0.00</w:t>
      </w:r>
      <w:r>
        <w:rPr>
          <w:rFonts w:hint="eastAsia" w:ascii="仿宋_GB2312" w:eastAsia="仿宋_GB2312"/>
          <w:color w:val="auto"/>
          <w:sz w:val="32"/>
          <w:szCs w:val="32"/>
        </w:rPr>
        <w:t>元，资金结转结余率为</w:t>
      </w:r>
      <w:r>
        <w:rPr>
          <w:rFonts w:hint="eastAsia" w:ascii="仿宋_GB2312" w:eastAsia="仿宋_GB2312"/>
          <w:color w:val="auto"/>
          <w:sz w:val="32"/>
          <w:szCs w:val="32"/>
          <w:lang w:val="en-US" w:eastAsia="zh-CN"/>
        </w:rPr>
        <w:t>0.0</w:t>
      </w:r>
      <w:r>
        <w:rPr>
          <w:rFonts w:hint="eastAsia" w:ascii="仿宋_GB2312" w:eastAsia="仿宋_GB2312"/>
          <w:color w:val="auto"/>
          <w:sz w:val="32"/>
          <w:szCs w:val="32"/>
        </w:rPr>
        <w:t>%；2025年度部门结转结余率较上一</w:t>
      </w:r>
      <w:r>
        <w:rPr>
          <w:rFonts w:hint="eastAsia" w:ascii="仿宋_GB2312" w:eastAsia="仿宋_GB2312"/>
          <w:color w:val="auto"/>
          <w:sz w:val="32"/>
          <w:szCs w:val="32"/>
          <w:lang w:eastAsia="zh-CN"/>
        </w:rPr>
        <w:t>年无变化</w:t>
      </w:r>
      <w:r>
        <w:rPr>
          <w:rFonts w:hint="eastAsia" w:ascii="仿宋_GB2312" w:eastAsia="仿宋_GB2312"/>
          <w:color w:val="auto"/>
          <w:sz w:val="32"/>
          <w:szCs w:val="32"/>
        </w:rPr>
        <w:t>。</w:t>
      </w:r>
    </w:p>
    <w:p w14:paraId="1EC03C76">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14:paraId="43EA8B14">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14:paraId="4C77CE45">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p w14:paraId="2200D332">
      <w:pPr>
        <w:spacing w:line="520" w:lineRule="exact"/>
        <w:ind w:firstLine="640"/>
        <w:rPr>
          <w:rFonts w:hint="eastAsia" w:ascii="仿宋_GB2312" w:eastAsia="仿宋_GB2312"/>
          <w:sz w:val="28"/>
          <w:szCs w:val="28"/>
        </w:rPr>
      </w:pPr>
      <w:r>
        <w:rPr>
          <w:rFonts w:hint="eastAsia" w:ascii="仿宋_GB2312" w:eastAsia="仿宋_GB2312"/>
          <w:sz w:val="28"/>
          <w:szCs w:val="28"/>
        </w:rPr>
        <w:t>（1）产出数量</w:t>
      </w:r>
    </w:p>
    <w:tbl>
      <w:tblPr>
        <w:tblStyle w:val="10"/>
        <w:tblW w:w="12949" w:type="dxa"/>
        <w:tblInd w:w="108" w:type="dxa"/>
        <w:tblLayout w:type="fixed"/>
        <w:tblCellMar>
          <w:top w:w="0" w:type="dxa"/>
          <w:left w:w="108" w:type="dxa"/>
          <w:bottom w:w="0" w:type="dxa"/>
          <w:right w:w="108" w:type="dxa"/>
        </w:tblCellMar>
      </w:tblPr>
      <w:tblGrid>
        <w:gridCol w:w="800"/>
        <w:gridCol w:w="4604"/>
        <w:gridCol w:w="3510"/>
        <w:gridCol w:w="2055"/>
        <w:gridCol w:w="1980"/>
      </w:tblGrid>
      <w:tr w14:paraId="4A3CDA53">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25CB435E">
            <w:pPr>
              <w:widowControl/>
              <w:spacing w:line="520" w:lineRule="exact"/>
              <w:jc w:val="center"/>
              <w:rPr>
                <w:rFonts w:ascii="仿宋_GB2312" w:hAnsi="宋体" w:eastAsia="仿宋_GB2312" w:cs="宋体"/>
                <w:color w:val="auto"/>
                <w:kern w:val="0"/>
                <w:sz w:val="28"/>
                <w:szCs w:val="28"/>
                <w:highlight w:val="none"/>
              </w:rPr>
            </w:pPr>
            <w:r>
              <w:rPr>
                <w:rFonts w:hint="eastAsia" w:ascii="仿宋_GB2312" w:hAnsi="宋体" w:eastAsia="仿宋_GB2312" w:cs="宋体"/>
                <w:color w:val="auto"/>
                <w:kern w:val="0"/>
                <w:sz w:val="28"/>
                <w:szCs w:val="28"/>
                <w:highlight w:val="none"/>
              </w:rPr>
              <w:t>序号</w:t>
            </w:r>
          </w:p>
        </w:tc>
        <w:tc>
          <w:tcPr>
            <w:tcW w:w="4604" w:type="dxa"/>
            <w:tcBorders>
              <w:top w:val="single" w:color="auto" w:sz="4" w:space="0"/>
              <w:left w:val="nil"/>
              <w:bottom w:val="single" w:color="auto" w:sz="4" w:space="0"/>
              <w:right w:val="single" w:color="auto" w:sz="4" w:space="0"/>
            </w:tcBorders>
            <w:vAlign w:val="center"/>
          </w:tcPr>
          <w:p w14:paraId="5362BC71">
            <w:pPr>
              <w:widowControl/>
              <w:spacing w:line="520" w:lineRule="exact"/>
              <w:jc w:val="center"/>
              <w:rPr>
                <w:rFonts w:ascii="仿宋_GB2312" w:hAnsi="宋体" w:eastAsia="仿宋_GB2312" w:cs="宋体"/>
                <w:color w:val="auto"/>
                <w:kern w:val="0"/>
                <w:sz w:val="28"/>
                <w:szCs w:val="28"/>
                <w:highlight w:val="none"/>
              </w:rPr>
            </w:pPr>
            <w:r>
              <w:rPr>
                <w:rFonts w:hint="eastAsia" w:ascii="仿宋_GB2312" w:hAnsi="宋体" w:eastAsia="仿宋_GB2312" w:cs="宋体"/>
                <w:color w:val="auto"/>
                <w:kern w:val="0"/>
                <w:sz w:val="28"/>
                <w:szCs w:val="28"/>
                <w:highlight w:val="none"/>
              </w:rPr>
              <w:t>三级指标</w:t>
            </w:r>
          </w:p>
        </w:tc>
        <w:tc>
          <w:tcPr>
            <w:tcW w:w="3510" w:type="dxa"/>
            <w:tcBorders>
              <w:top w:val="single" w:color="auto" w:sz="4" w:space="0"/>
              <w:left w:val="nil"/>
              <w:bottom w:val="single" w:color="auto" w:sz="4" w:space="0"/>
              <w:right w:val="single" w:color="auto" w:sz="4" w:space="0"/>
            </w:tcBorders>
            <w:vAlign w:val="center"/>
          </w:tcPr>
          <w:p w14:paraId="0689DA36">
            <w:pPr>
              <w:widowControl/>
              <w:spacing w:line="520" w:lineRule="exact"/>
              <w:jc w:val="center"/>
              <w:rPr>
                <w:rFonts w:ascii="仿宋_GB2312" w:hAnsi="宋体" w:eastAsia="仿宋_GB2312" w:cs="宋体"/>
                <w:color w:val="auto"/>
                <w:kern w:val="0"/>
                <w:sz w:val="28"/>
                <w:szCs w:val="28"/>
                <w:highlight w:val="none"/>
              </w:rPr>
            </w:pPr>
            <w:r>
              <w:rPr>
                <w:rFonts w:hint="eastAsia" w:ascii="仿宋_GB2312" w:hAnsi="宋体" w:eastAsia="仿宋_GB2312" w:cs="宋体"/>
                <w:color w:val="auto"/>
                <w:kern w:val="0"/>
                <w:sz w:val="28"/>
                <w:szCs w:val="28"/>
                <w:highlight w:val="none"/>
              </w:rPr>
              <w:t>计划值</w:t>
            </w:r>
          </w:p>
        </w:tc>
        <w:tc>
          <w:tcPr>
            <w:tcW w:w="2055" w:type="dxa"/>
            <w:tcBorders>
              <w:top w:val="single" w:color="auto" w:sz="4" w:space="0"/>
              <w:left w:val="nil"/>
              <w:bottom w:val="single" w:color="auto" w:sz="4" w:space="0"/>
              <w:right w:val="single" w:color="auto" w:sz="4" w:space="0"/>
            </w:tcBorders>
            <w:vAlign w:val="center"/>
          </w:tcPr>
          <w:p w14:paraId="64836A87">
            <w:pPr>
              <w:widowControl/>
              <w:spacing w:line="520" w:lineRule="exact"/>
              <w:jc w:val="center"/>
              <w:rPr>
                <w:rFonts w:ascii="仿宋_GB2312" w:hAnsi="宋体" w:eastAsia="仿宋_GB2312" w:cs="宋体"/>
                <w:color w:val="auto"/>
                <w:kern w:val="0"/>
                <w:sz w:val="28"/>
                <w:szCs w:val="28"/>
                <w:highlight w:val="none"/>
              </w:rPr>
            </w:pPr>
            <w:r>
              <w:rPr>
                <w:rFonts w:hint="eastAsia" w:ascii="仿宋_GB2312" w:hAnsi="宋体" w:eastAsia="仿宋_GB2312" w:cs="宋体"/>
                <w:color w:val="auto"/>
                <w:kern w:val="0"/>
                <w:sz w:val="28"/>
                <w:szCs w:val="28"/>
                <w:highlight w:val="none"/>
              </w:rPr>
              <w:t>完成值</w:t>
            </w:r>
          </w:p>
        </w:tc>
        <w:tc>
          <w:tcPr>
            <w:tcW w:w="1980" w:type="dxa"/>
            <w:tcBorders>
              <w:top w:val="single" w:color="auto" w:sz="4" w:space="0"/>
              <w:left w:val="nil"/>
              <w:bottom w:val="single" w:color="auto" w:sz="4" w:space="0"/>
              <w:right w:val="single" w:color="auto" w:sz="4" w:space="0"/>
            </w:tcBorders>
            <w:vAlign w:val="center"/>
          </w:tcPr>
          <w:p w14:paraId="4043C1E4">
            <w:pPr>
              <w:widowControl/>
              <w:spacing w:line="520" w:lineRule="exact"/>
              <w:jc w:val="center"/>
              <w:rPr>
                <w:rFonts w:ascii="仿宋_GB2312" w:hAnsi="宋体" w:eastAsia="仿宋_GB2312" w:cs="宋体"/>
                <w:color w:val="auto"/>
                <w:kern w:val="0"/>
                <w:sz w:val="28"/>
                <w:szCs w:val="28"/>
                <w:highlight w:val="none"/>
              </w:rPr>
            </w:pPr>
            <w:r>
              <w:rPr>
                <w:rFonts w:hint="eastAsia" w:ascii="仿宋_GB2312" w:hAnsi="宋体" w:eastAsia="仿宋_GB2312" w:cs="宋体"/>
                <w:color w:val="auto"/>
                <w:kern w:val="0"/>
                <w:sz w:val="28"/>
                <w:szCs w:val="28"/>
                <w:highlight w:val="none"/>
              </w:rPr>
              <w:t>偏差原因</w:t>
            </w:r>
          </w:p>
        </w:tc>
      </w:tr>
      <w:tr w14:paraId="53B19DB4">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2B19E596">
            <w:pPr>
              <w:widowControl/>
              <w:spacing w:line="520" w:lineRule="exact"/>
              <w:jc w:val="center"/>
              <w:rPr>
                <w:rFonts w:ascii="仿宋_GB2312" w:hAnsi="宋体" w:eastAsia="仿宋_GB2312" w:cs="宋体"/>
                <w:color w:val="auto"/>
                <w:kern w:val="0"/>
                <w:sz w:val="28"/>
                <w:szCs w:val="28"/>
                <w:highlight w:val="none"/>
              </w:rPr>
            </w:pPr>
            <w:r>
              <w:rPr>
                <w:rFonts w:ascii="仿宋_GB2312" w:hAnsi="宋体" w:eastAsia="仿宋_GB2312" w:cs="宋体"/>
                <w:color w:val="auto"/>
                <w:kern w:val="0"/>
                <w:sz w:val="28"/>
                <w:szCs w:val="28"/>
                <w:highlight w:val="none"/>
              </w:rPr>
              <w:t>1</w:t>
            </w:r>
          </w:p>
        </w:tc>
        <w:tc>
          <w:tcPr>
            <w:tcW w:w="4604" w:type="dxa"/>
            <w:tcBorders>
              <w:top w:val="nil"/>
              <w:left w:val="nil"/>
              <w:bottom w:val="single" w:color="auto" w:sz="4" w:space="0"/>
              <w:right w:val="single" w:color="auto" w:sz="4" w:space="0"/>
            </w:tcBorders>
            <w:vAlign w:val="center"/>
          </w:tcPr>
          <w:p w14:paraId="12A88FC0">
            <w:pPr>
              <w:widowControl/>
              <w:spacing w:beforeLines="0" w:afterLines="0"/>
              <w:ind w:firstLine="0" w:firstLineChars="0"/>
              <w:jc w:val="left"/>
              <w:rPr>
                <w:rFonts w:hint="eastAsia" w:ascii="仿宋" w:hAnsi="仿宋" w:eastAsia="仿宋"/>
                <w:color w:val="auto"/>
                <w:sz w:val="28"/>
                <w:highlight w:val="none"/>
              </w:rPr>
            </w:pPr>
            <w:r>
              <w:rPr>
                <w:rFonts w:hint="eastAsia" w:ascii="仿宋" w:hAnsi="仿宋" w:eastAsia="仿宋"/>
                <w:color w:val="auto"/>
                <w:sz w:val="28"/>
                <w:highlight w:val="none"/>
              </w:rPr>
              <w:t>食品药品检测数量　</w:t>
            </w:r>
          </w:p>
        </w:tc>
        <w:tc>
          <w:tcPr>
            <w:tcW w:w="3510" w:type="dxa"/>
            <w:tcBorders>
              <w:top w:val="nil"/>
              <w:left w:val="nil"/>
              <w:bottom w:val="single" w:color="auto" w:sz="4" w:space="0"/>
              <w:right w:val="single" w:color="auto" w:sz="4" w:space="0"/>
            </w:tcBorders>
            <w:vAlign w:val="center"/>
          </w:tcPr>
          <w:p w14:paraId="0EE2CC10">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≥1200件</w:t>
            </w:r>
          </w:p>
        </w:tc>
        <w:tc>
          <w:tcPr>
            <w:tcW w:w="2055" w:type="dxa"/>
            <w:tcBorders>
              <w:top w:val="nil"/>
              <w:left w:val="nil"/>
              <w:bottom w:val="single" w:color="auto" w:sz="4" w:space="0"/>
              <w:right w:val="single" w:color="auto" w:sz="4" w:space="0"/>
            </w:tcBorders>
            <w:vAlign w:val="center"/>
          </w:tcPr>
          <w:p w14:paraId="2452E93C">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shd w:val="clear" w:color="auto" w:fill="auto"/>
                <w:lang w:val="en-US" w:eastAsia="zh-CN"/>
              </w:rPr>
              <w:t>1495</w:t>
            </w:r>
            <w:r>
              <w:rPr>
                <w:rFonts w:hint="eastAsia" w:ascii="仿宋" w:hAnsi="仿宋" w:eastAsia="仿宋"/>
                <w:color w:val="auto"/>
                <w:sz w:val="28"/>
                <w:highlight w:val="none"/>
                <w:lang w:val="en-US" w:eastAsia="zh-CN"/>
              </w:rPr>
              <w:t>件</w:t>
            </w:r>
          </w:p>
        </w:tc>
        <w:tc>
          <w:tcPr>
            <w:tcW w:w="1980" w:type="dxa"/>
            <w:tcBorders>
              <w:top w:val="nil"/>
              <w:left w:val="nil"/>
              <w:bottom w:val="single" w:color="auto" w:sz="4" w:space="0"/>
              <w:right w:val="single" w:color="auto" w:sz="4" w:space="0"/>
            </w:tcBorders>
            <w:vAlign w:val="center"/>
          </w:tcPr>
          <w:p w14:paraId="776C4699">
            <w:pPr>
              <w:widowControl/>
              <w:spacing w:line="520" w:lineRule="exact"/>
              <w:jc w:val="center"/>
              <w:rPr>
                <w:rFonts w:ascii="仿宋_GB2312" w:hAnsi="宋体" w:eastAsia="仿宋_GB2312" w:cs="宋体"/>
                <w:color w:val="auto"/>
                <w:kern w:val="0"/>
                <w:sz w:val="28"/>
                <w:szCs w:val="28"/>
                <w:highlight w:val="none"/>
              </w:rPr>
            </w:pPr>
            <w:r>
              <w:rPr>
                <w:rFonts w:hint="eastAsia" w:ascii="仿宋_GB2312" w:hAnsi="宋体" w:eastAsia="仿宋_GB2312" w:cs="宋体"/>
                <w:color w:val="auto"/>
                <w:kern w:val="0"/>
                <w:sz w:val="28"/>
                <w:szCs w:val="28"/>
                <w:highlight w:val="none"/>
                <w:lang w:eastAsia="zh-CN"/>
              </w:rPr>
              <w:t>无偏差</w:t>
            </w:r>
            <w:r>
              <w:rPr>
                <w:rFonts w:hint="eastAsia" w:ascii="仿宋_GB2312" w:hAnsi="宋体" w:eastAsia="仿宋_GB2312" w:cs="宋体"/>
                <w:color w:val="auto"/>
                <w:kern w:val="0"/>
                <w:sz w:val="28"/>
                <w:szCs w:val="28"/>
                <w:highlight w:val="none"/>
              </w:rPr>
              <w:t>　</w:t>
            </w:r>
          </w:p>
        </w:tc>
      </w:tr>
      <w:tr w14:paraId="63526050">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6C73FD68">
            <w:pPr>
              <w:widowControl/>
              <w:spacing w:line="520" w:lineRule="exact"/>
              <w:jc w:val="center"/>
              <w:rPr>
                <w:rFonts w:ascii="仿宋_GB2312" w:hAnsi="宋体" w:eastAsia="仿宋_GB2312" w:cs="宋体"/>
                <w:color w:val="auto"/>
                <w:kern w:val="0"/>
                <w:sz w:val="28"/>
                <w:szCs w:val="28"/>
                <w:highlight w:val="none"/>
              </w:rPr>
            </w:pPr>
            <w:r>
              <w:rPr>
                <w:rFonts w:ascii="仿宋_GB2312" w:hAnsi="宋体" w:eastAsia="仿宋_GB2312" w:cs="宋体"/>
                <w:color w:val="auto"/>
                <w:kern w:val="0"/>
                <w:sz w:val="28"/>
                <w:szCs w:val="28"/>
                <w:highlight w:val="none"/>
              </w:rPr>
              <w:t>2</w:t>
            </w:r>
          </w:p>
        </w:tc>
        <w:tc>
          <w:tcPr>
            <w:tcW w:w="4604" w:type="dxa"/>
            <w:tcBorders>
              <w:top w:val="nil"/>
              <w:left w:val="nil"/>
              <w:bottom w:val="single" w:color="auto" w:sz="4" w:space="0"/>
              <w:right w:val="single" w:color="auto" w:sz="4" w:space="0"/>
            </w:tcBorders>
            <w:vAlign w:val="center"/>
          </w:tcPr>
          <w:p w14:paraId="07BDA262">
            <w:pPr>
              <w:widowControl/>
              <w:spacing w:beforeLines="0" w:afterLines="0"/>
              <w:ind w:firstLine="0" w:firstLineChars="0"/>
              <w:jc w:val="left"/>
              <w:rPr>
                <w:rFonts w:hint="eastAsia" w:ascii="仿宋" w:hAnsi="仿宋" w:eastAsia="仿宋"/>
                <w:color w:val="auto"/>
                <w:sz w:val="28"/>
                <w:highlight w:val="none"/>
              </w:rPr>
            </w:pPr>
            <w:r>
              <w:rPr>
                <w:rFonts w:hint="eastAsia" w:ascii="仿宋" w:hAnsi="仿宋" w:eastAsia="仿宋"/>
                <w:color w:val="auto"/>
                <w:sz w:val="28"/>
                <w:highlight w:val="none"/>
              </w:rPr>
              <w:t>标准化抽查数量　</w:t>
            </w:r>
          </w:p>
        </w:tc>
        <w:tc>
          <w:tcPr>
            <w:tcW w:w="3510" w:type="dxa"/>
            <w:tcBorders>
              <w:top w:val="nil"/>
              <w:left w:val="nil"/>
              <w:bottom w:val="single" w:color="auto" w:sz="4" w:space="0"/>
              <w:right w:val="single" w:color="auto" w:sz="4" w:space="0"/>
            </w:tcBorders>
            <w:vAlign w:val="center"/>
          </w:tcPr>
          <w:p w14:paraId="0E8C136A">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30件</w:t>
            </w:r>
          </w:p>
        </w:tc>
        <w:tc>
          <w:tcPr>
            <w:tcW w:w="2055" w:type="dxa"/>
            <w:tcBorders>
              <w:top w:val="nil"/>
              <w:left w:val="nil"/>
              <w:bottom w:val="single" w:color="auto" w:sz="4" w:space="0"/>
              <w:right w:val="single" w:color="auto" w:sz="4" w:space="0"/>
            </w:tcBorders>
            <w:vAlign w:val="center"/>
          </w:tcPr>
          <w:p w14:paraId="6E886623">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30件</w:t>
            </w:r>
          </w:p>
        </w:tc>
        <w:tc>
          <w:tcPr>
            <w:tcW w:w="1980" w:type="dxa"/>
            <w:tcBorders>
              <w:top w:val="nil"/>
              <w:left w:val="nil"/>
              <w:bottom w:val="single" w:color="auto" w:sz="4" w:space="0"/>
              <w:right w:val="single" w:color="auto" w:sz="4" w:space="0"/>
            </w:tcBorders>
            <w:vAlign w:val="center"/>
          </w:tcPr>
          <w:p w14:paraId="1CA48E42">
            <w:pPr>
              <w:widowControl/>
              <w:spacing w:line="520" w:lineRule="exact"/>
              <w:jc w:val="center"/>
              <w:rPr>
                <w:rFonts w:ascii="仿宋_GB2312" w:hAnsi="宋体" w:eastAsia="仿宋_GB2312" w:cs="宋体"/>
                <w:color w:val="auto"/>
                <w:kern w:val="0"/>
                <w:sz w:val="28"/>
                <w:szCs w:val="28"/>
                <w:highlight w:val="none"/>
              </w:rPr>
            </w:pPr>
            <w:r>
              <w:rPr>
                <w:rFonts w:hint="eastAsia" w:ascii="仿宋_GB2312" w:hAnsi="宋体" w:eastAsia="仿宋_GB2312" w:cs="宋体"/>
                <w:color w:val="auto"/>
                <w:kern w:val="0"/>
                <w:sz w:val="28"/>
                <w:szCs w:val="28"/>
                <w:highlight w:val="none"/>
                <w:lang w:eastAsia="zh-CN"/>
              </w:rPr>
              <w:t>无偏差</w:t>
            </w:r>
            <w:r>
              <w:rPr>
                <w:rFonts w:hint="eastAsia" w:ascii="仿宋_GB2312" w:hAnsi="宋体" w:eastAsia="仿宋_GB2312" w:cs="宋体"/>
                <w:color w:val="auto"/>
                <w:kern w:val="0"/>
                <w:sz w:val="28"/>
                <w:szCs w:val="28"/>
                <w:highlight w:val="none"/>
              </w:rPr>
              <w:t>　</w:t>
            </w:r>
          </w:p>
        </w:tc>
      </w:tr>
      <w:tr w14:paraId="106C8161">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6BC2B9FD">
            <w:pPr>
              <w:widowControl/>
              <w:spacing w:line="520" w:lineRule="exact"/>
              <w:jc w:val="center"/>
              <w:rPr>
                <w:rFonts w:ascii="仿宋_GB2312" w:hAnsi="宋体" w:eastAsia="仿宋_GB2312" w:cs="宋体"/>
                <w:color w:val="auto"/>
                <w:kern w:val="0"/>
                <w:sz w:val="28"/>
                <w:szCs w:val="28"/>
                <w:highlight w:val="none"/>
              </w:rPr>
            </w:pPr>
            <w:r>
              <w:rPr>
                <w:rFonts w:ascii="仿宋_GB2312" w:hAnsi="宋体" w:eastAsia="仿宋_GB2312" w:cs="宋体"/>
                <w:color w:val="auto"/>
                <w:kern w:val="0"/>
                <w:sz w:val="28"/>
                <w:szCs w:val="28"/>
                <w:highlight w:val="none"/>
              </w:rPr>
              <w:t>3</w:t>
            </w:r>
          </w:p>
        </w:tc>
        <w:tc>
          <w:tcPr>
            <w:tcW w:w="4604" w:type="dxa"/>
            <w:tcBorders>
              <w:top w:val="nil"/>
              <w:left w:val="nil"/>
              <w:bottom w:val="single" w:color="auto" w:sz="4" w:space="0"/>
              <w:right w:val="single" w:color="auto" w:sz="4" w:space="0"/>
            </w:tcBorders>
            <w:vAlign w:val="center"/>
          </w:tcPr>
          <w:p w14:paraId="7879F9E1">
            <w:pPr>
              <w:widowControl/>
              <w:spacing w:beforeLines="0" w:afterLines="0"/>
              <w:ind w:firstLine="0" w:firstLineChars="0"/>
              <w:jc w:val="left"/>
              <w:rPr>
                <w:rFonts w:hint="eastAsia" w:ascii="仿宋" w:hAnsi="仿宋" w:eastAsia="仿宋"/>
                <w:color w:val="auto"/>
                <w:sz w:val="28"/>
                <w:highlight w:val="none"/>
              </w:rPr>
            </w:pPr>
            <w:r>
              <w:rPr>
                <w:rFonts w:hint="eastAsia" w:ascii="仿宋" w:hAnsi="仿宋" w:eastAsia="仿宋"/>
                <w:color w:val="auto"/>
                <w:sz w:val="28"/>
                <w:highlight w:val="none"/>
              </w:rPr>
              <w:t>执法案件数量　</w:t>
            </w:r>
          </w:p>
        </w:tc>
        <w:tc>
          <w:tcPr>
            <w:tcW w:w="3510" w:type="dxa"/>
            <w:tcBorders>
              <w:top w:val="nil"/>
              <w:left w:val="nil"/>
              <w:bottom w:val="single" w:color="auto" w:sz="4" w:space="0"/>
              <w:right w:val="single" w:color="auto" w:sz="4" w:space="0"/>
            </w:tcBorders>
            <w:vAlign w:val="center"/>
          </w:tcPr>
          <w:p w14:paraId="05E5915A">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w:t>
            </w:r>
            <w:r>
              <w:rPr>
                <w:rFonts w:hint="eastAsia" w:ascii="仿宋" w:hAnsi="仿宋" w:eastAsia="仿宋"/>
                <w:color w:val="auto"/>
                <w:sz w:val="28"/>
                <w:highlight w:val="none"/>
                <w:lang w:val="en-US" w:eastAsia="zh-CN"/>
              </w:rPr>
              <w:t>400</w:t>
            </w:r>
            <w:r>
              <w:rPr>
                <w:rFonts w:hint="eastAsia" w:ascii="仿宋" w:hAnsi="仿宋" w:eastAsia="仿宋"/>
                <w:color w:val="auto"/>
                <w:sz w:val="28"/>
                <w:highlight w:val="none"/>
              </w:rPr>
              <w:t>件</w:t>
            </w:r>
          </w:p>
        </w:tc>
        <w:tc>
          <w:tcPr>
            <w:tcW w:w="2055" w:type="dxa"/>
            <w:tcBorders>
              <w:top w:val="nil"/>
              <w:left w:val="nil"/>
              <w:bottom w:val="single" w:color="auto" w:sz="4" w:space="0"/>
              <w:right w:val="single" w:color="auto" w:sz="4" w:space="0"/>
            </w:tcBorders>
            <w:vAlign w:val="center"/>
          </w:tcPr>
          <w:p w14:paraId="620C12CC">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lang w:val="en-US" w:eastAsia="zh-CN"/>
              </w:rPr>
              <w:t>488件</w:t>
            </w:r>
          </w:p>
        </w:tc>
        <w:tc>
          <w:tcPr>
            <w:tcW w:w="1980" w:type="dxa"/>
            <w:tcBorders>
              <w:top w:val="nil"/>
              <w:left w:val="nil"/>
              <w:bottom w:val="single" w:color="auto" w:sz="4" w:space="0"/>
              <w:right w:val="single" w:color="auto" w:sz="4" w:space="0"/>
            </w:tcBorders>
            <w:vAlign w:val="center"/>
          </w:tcPr>
          <w:p w14:paraId="0C78EA94">
            <w:pPr>
              <w:widowControl/>
              <w:spacing w:line="520" w:lineRule="exact"/>
              <w:jc w:val="center"/>
              <w:rPr>
                <w:rFonts w:ascii="仿宋_GB2312" w:hAnsi="宋体" w:eastAsia="仿宋_GB2312" w:cs="宋体"/>
                <w:color w:val="auto"/>
                <w:kern w:val="0"/>
                <w:sz w:val="28"/>
                <w:szCs w:val="28"/>
                <w:highlight w:val="none"/>
              </w:rPr>
            </w:pPr>
            <w:r>
              <w:rPr>
                <w:rFonts w:hint="eastAsia" w:ascii="仿宋_GB2312" w:hAnsi="宋体" w:eastAsia="仿宋_GB2312" w:cs="宋体"/>
                <w:color w:val="auto"/>
                <w:kern w:val="0"/>
                <w:sz w:val="28"/>
                <w:szCs w:val="28"/>
                <w:highlight w:val="none"/>
                <w:lang w:eastAsia="zh-CN"/>
              </w:rPr>
              <w:t>无偏差</w:t>
            </w:r>
            <w:r>
              <w:rPr>
                <w:rFonts w:hint="eastAsia" w:ascii="仿宋_GB2312" w:hAnsi="宋体" w:eastAsia="仿宋_GB2312" w:cs="宋体"/>
                <w:color w:val="auto"/>
                <w:kern w:val="0"/>
                <w:sz w:val="28"/>
                <w:szCs w:val="28"/>
                <w:highlight w:val="none"/>
              </w:rPr>
              <w:t>　</w:t>
            </w:r>
          </w:p>
        </w:tc>
      </w:tr>
      <w:tr w14:paraId="421B9239">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4580E8B1">
            <w:pPr>
              <w:widowControl/>
              <w:spacing w:line="520" w:lineRule="exact"/>
              <w:jc w:val="center"/>
              <w:rPr>
                <w:rFonts w:hint="eastAsia" w:ascii="仿宋_GB2312" w:hAnsi="宋体" w:eastAsia="仿宋_GB2312" w:cs="宋体"/>
                <w:color w:val="auto"/>
                <w:kern w:val="0"/>
                <w:sz w:val="28"/>
                <w:szCs w:val="28"/>
                <w:highlight w:val="none"/>
                <w:lang w:eastAsia="zh-CN"/>
              </w:rPr>
            </w:pPr>
            <w:r>
              <w:rPr>
                <w:rFonts w:hint="eastAsia" w:ascii="仿宋_GB2312" w:hAnsi="宋体" w:eastAsia="仿宋_GB2312" w:cs="宋体"/>
                <w:color w:val="auto"/>
                <w:kern w:val="0"/>
                <w:sz w:val="28"/>
                <w:szCs w:val="28"/>
                <w:highlight w:val="none"/>
                <w:lang w:val="en-US" w:eastAsia="zh-CN"/>
              </w:rPr>
              <w:t>4</w:t>
            </w:r>
          </w:p>
        </w:tc>
        <w:tc>
          <w:tcPr>
            <w:tcW w:w="4604" w:type="dxa"/>
            <w:tcBorders>
              <w:top w:val="nil"/>
              <w:left w:val="nil"/>
              <w:bottom w:val="single" w:color="auto" w:sz="4" w:space="0"/>
              <w:right w:val="single" w:color="auto" w:sz="4" w:space="0"/>
            </w:tcBorders>
            <w:vAlign w:val="center"/>
          </w:tcPr>
          <w:p w14:paraId="522F82A4">
            <w:pPr>
              <w:widowControl/>
              <w:spacing w:beforeLines="0" w:afterLines="0"/>
              <w:ind w:firstLine="0" w:firstLineChars="0"/>
              <w:jc w:val="left"/>
              <w:rPr>
                <w:rFonts w:hint="eastAsia" w:ascii="仿宋" w:hAnsi="仿宋" w:eastAsia="仿宋"/>
                <w:color w:val="auto"/>
                <w:sz w:val="28"/>
                <w:highlight w:val="none"/>
              </w:rPr>
            </w:pPr>
            <w:r>
              <w:rPr>
                <w:rFonts w:hint="eastAsia" w:ascii="仿宋" w:hAnsi="仿宋" w:eastAsia="仿宋"/>
                <w:color w:val="auto"/>
                <w:sz w:val="28"/>
                <w:highlight w:val="none"/>
              </w:rPr>
              <w:t>执法专线条数　</w:t>
            </w:r>
          </w:p>
        </w:tc>
        <w:tc>
          <w:tcPr>
            <w:tcW w:w="3510" w:type="dxa"/>
            <w:tcBorders>
              <w:top w:val="nil"/>
              <w:left w:val="nil"/>
              <w:bottom w:val="single" w:color="auto" w:sz="4" w:space="0"/>
              <w:right w:val="single" w:color="auto" w:sz="4" w:space="0"/>
            </w:tcBorders>
            <w:vAlign w:val="center"/>
          </w:tcPr>
          <w:p w14:paraId="35AD294C">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38条</w:t>
            </w:r>
          </w:p>
        </w:tc>
        <w:tc>
          <w:tcPr>
            <w:tcW w:w="2055" w:type="dxa"/>
            <w:tcBorders>
              <w:top w:val="nil"/>
              <w:left w:val="nil"/>
              <w:bottom w:val="single" w:color="auto" w:sz="4" w:space="0"/>
              <w:right w:val="single" w:color="auto" w:sz="4" w:space="0"/>
            </w:tcBorders>
            <w:vAlign w:val="center"/>
          </w:tcPr>
          <w:p w14:paraId="30F9FC5A">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38条</w:t>
            </w:r>
          </w:p>
        </w:tc>
        <w:tc>
          <w:tcPr>
            <w:tcW w:w="1980" w:type="dxa"/>
            <w:tcBorders>
              <w:top w:val="nil"/>
              <w:left w:val="nil"/>
              <w:bottom w:val="single" w:color="auto" w:sz="4" w:space="0"/>
              <w:right w:val="single" w:color="auto" w:sz="4" w:space="0"/>
            </w:tcBorders>
            <w:vAlign w:val="center"/>
          </w:tcPr>
          <w:p w14:paraId="1BB55482">
            <w:pPr>
              <w:widowControl/>
              <w:spacing w:line="520" w:lineRule="exact"/>
              <w:jc w:val="center"/>
              <w:rPr>
                <w:rFonts w:ascii="仿宋_GB2312" w:hAnsi="宋体" w:eastAsia="仿宋_GB2312" w:cs="宋体"/>
                <w:color w:val="auto"/>
                <w:kern w:val="0"/>
                <w:sz w:val="28"/>
                <w:szCs w:val="28"/>
                <w:highlight w:val="none"/>
              </w:rPr>
            </w:pPr>
            <w:r>
              <w:rPr>
                <w:rFonts w:hint="eastAsia" w:ascii="仿宋_GB2312" w:hAnsi="宋体" w:eastAsia="仿宋_GB2312" w:cs="宋体"/>
                <w:color w:val="auto"/>
                <w:kern w:val="0"/>
                <w:sz w:val="28"/>
                <w:szCs w:val="28"/>
                <w:highlight w:val="none"/>
                <w:lang w:eastAsia="zh-CN"/>
              </w:rPr>
              <w:t>无偏差</w:t>
            </w:r>
            <w:r>
              <w:rPr>
                <w:rFonts w:hint="eastAsia" w:ascii="仿宋_GB2312" w:hAnsi="宋体" w:eastAsia="仿宋_GB2312" w:cs="宋体"/>
                <w:color w:val="auto"/>
                <w:kern w:val="0"/>
                <w:sz w:val="28"/>
                <w:szCs w:val="28"/>
                <w:highlight w:val="none"/>
              </w:rPr>
              <w:t>　</w:t>
            </w:r>
          </w:p>
        </w:tc>
      </w:tr>
    </w:tbl>
    <w:p w14:paraId="0DA38880">
      <w:pPr>
        <w:rPr>
          <w:rFonts w:hint="eastAsia"/>
        </w:rPr>
      </w:pPr>
    </w:p>
    <w:p w14:paraId="055A7863">
      <w:pPr>
        <w:numPr>
          <w:ilvl w:val="0"/>
          <w:numId w:val="4"/>
        </w:numPr>
        <w:spacing w:line="580" w:lineRule="exact"/>
        <w:ind w:firstLine="640"/>
        <w:rPr>
          <w:rFonts w:hint="eastAsia" w:ascii="仿宋_GB2312" w:eastAsia="仿宋_GB2312"/>
          <w:sz w:val="32"/>
          <w:szCs w:val="32"/>
        </w:rPr>
      </w:pPr>
      <w:r>
        <w:rPr>
          <w:rFonts w:hint="eastAsia" w:ascii="仿宋_GB2312" w:eastAsia="仿宋_GB2312"/>
          <w:sz w:val="32"/>
          <w:szCs w:val="32"/>
        </w:rPr>
        <w:t>产出质量</w:t>
      </w:r>
    </w:p>
    <w:tbl>
      <w:tblPr>
        <w:tblStyle w:val="10"/>
        <w:tblW w:w="12979"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0"/>
        <w:gridCol w:w="4589"/>
        <w:gridCol w:w="3510"/>
        <w:gridCol w:w="2085"/>
        <w:gridCol w:w="1995"/>
      </w:tblGrid>
      <w:tr w14:paraId="5936D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l2br w:val="nil"/>
              <w:tr2bl w:val="nil"/>
            </w:tcBorders>
            <w:vAlign w:val="center"/>
          </w:tcPr>
          <w:p w14:paraId="27B32F7D">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color w:val="auto"/>
                <w:kern w:val="0"/>
                <w:sz w:val="28"/>
              </w:rPr>
              <w:t>序号</w:t>
            </w:r>
          </w:p>
        </w:tc>
        <w:tc>
          <w:tcPr>
            <w:tcW w:w="4589" w:type="dxa"/>
            <w:tcBorders>
              <w:top w:val="single" w:color="auto" w:sz="4" w:space="0"/>
              <w:left w:val="nil"/>
              <w:bottom w:val="single" w:color="auto" w:sz="4" w:space="0"/>
              <w:right w:val="single" w:color="auto" w:sz="4" w:space="0"/>
              <w:tl2br w:val="nil"/>
              <w:tr2bl w:val="nil"/>
            </w:tcBorders>
            <w:vAlign w:val="center"/>
          </w:tcPr>
          <w:p w14:paraId="77FBE9B5">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color w:val="auto"/>
                <w:kern w:val="0"/>
                <w:sz w:val="28"/>
              </w:rPr>
              <w:t>绩效指标</w:t>
            </w:r>
          </w:p>
        </w:tc>
        <w:tc>
          <w:tcPr>
            <w:tcW w:w="3510" w:type="dxa"/>
            <w:tcBorders>
              <w:top w:val="single" w:color="auto" w:sz="4" w:space="0"/>
              <w:left w:val="nil"/>
              <w:bottom w:val="single" w:color="auto" w:sz="4" w:space="0"/>
              <w:right w:val="single" w:color="auto" w:sz="4" w:space="0"/>
              <w:tl2br w:val="nil"/>
              <w:tr2bl w:val="nil"/>
            </w:tcBorders>
            <w:vAlign w:val="center"/>
          </w:tcPr>
          <w:p w14:paraId="61761304">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color w:val="auto"/>
                <w:kern w:val="0"/>
                <w:sz w:val="28"/>
              </w:rPr>
              <w:t>计划值</w:t>
            </w:r>
          </w:p>
        </w:tc>
        <w:tc>
          <w:tcPr>
            <w:tcW w:w="2085" w:type="dxa"/>
            <w:tcBorders>
              <w:top w:val="single" w:color="auto" w:sz="4" w:space="0"/>
              <w:left w:val="nil"/>
              <w:bottom w:val="single" w:color="auto" w:sz="4" w:space="0"/>
              <w:right w:val="single" w:color="auto" w:sz="4" w:space="0"/>
              <w:tl2br w:val="nil"/>
              <w:tr2bl w:val="nil"/>
            </w:tcBorders>
            <w:vAlign w:val="center"/>
          </w:tcPr>
          <w:p w14:paraId="1525842A">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color w:val="auto"/>
                <w:kern w:val="0"/>
                <w:sz w:val="28"/>
              </w:rPr>
              <w:t>完成值</w:t>
            </w:r>
          </w:p>
        </w:tc>
        <w:tc>
          <w:tcPr>
            <w:tcW w:w="1995" w:type="dxa"/>
            <w:tcBorders>
              <w:top w:val="single" w:color="auto" w:sz="4" w:space="0"/>
              <w:left w:val="nil"/>
              <w:bottom w:val="single" w:color="auto" w:sz="4" w:space="0"/>
              <w:right w:val="single" w:color="auto" w:sz="4" w:space="0"/>
              <w:tl2br w:val="nil"/>
              <w:tr2bl w:val="nil"/>
            </w:tcBorders>
            <w:vAlign w:val="center"/>
          </w:tcPr>
          <w:p w14:paraId="7E24FB2C">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color w:val="auto"/>
                <w:kern w:val="0"/>
                <w:sz w:val="28"/>
              </w:rPr>
              <w:t>偏差原因</w:t>
            </w:r>
          </w:p>
        </w:tc>
      </w:tr>
      <w:tr w14:paraId="008EC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l2br w:val="nil"/>
              <w:tr2bl w:val="nil"/>
            </w:tcBorders>
            <w:vAlign w:val="center"/>
          </w:tcPr>
          <w:p w14:paraId="703F162F">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color w:val="auto"/>
                <w:kern w:val="0"/>
                <w:sz w:val="28"/>
              </w:rPr>
              <w:t>1</w:t>
            </w:r>
          </w:p>
        </w:tc>
        <w:tc>
          <w:tcPr>
            <w:tcW w:w="4589" w:type="dxa"/>
            <w:tcBorders>
              <w:top w:val="nil"/>
              <w:left w:val="nil"/>
              <w:bottom w:val="single" w:color="auto" w:sz="4" w:space="0"/>
              <w:right w:val="single" w:color="auto" w:sz="4" w:space="0"/>
              <w:tl2br w:val="nil"/>
              <w:tr2bl w:val="nil"/>
            </w:tcBorders>
            <w:vAlign w:val="center"/>
          </w:tcPr>
          <w:p w14:paraId="13EC7CC3">
            <w:pPr>
              <w:widowControl/>
              <w:spacing w:beforeLines="0" w:afterLines="0"/>
              <w:ind w:firstLine="0" w:firstLineChars="0"/>
              <w:jc w:val="left"/>
              <w:rPr>
                <w:rFonts w:hint="eastAsia" w:ascii="仿宋" w:hAnsi="仿宋" w:eastAsia="仿宋"/>
                <w:color w:val="auto"/>
                <w:sz w:val="28"/>
                <w:highlight w:val="none"/>
              </w:rPr>
            </w:pPr>
            <w:r>
              <w:rPr>
                <w:rFonts w:hint="eastAsia" w:ascii="仿宋" w:hAnsi="仿宋" w:eastAsia="仿宋"/>
                <w:color w:val="auto"/>
                <w:sz w:val="28"/>
                <w:highlight w:val="none"/>
              </w:rPr>
              <w:t>食品药品检测样本合格率</w:t>
            </w:r>
          </w:p>
        </w:tc>
        <w:tc>
          <w:tcPr>
            <w:tcW w:w="3510" w:type="dxa"/>
            <w:tcBorders>
              <w:top w:val="nil"/>
              <w:left w:val="nil"/>
              <w:bottom w:val="single" w:color="auto" w:sz="4" w:space="0"/>
              <w:right w:val="single" w:color="auto" w:sz="4" w:space="0"/>
              <w:tl2br w:val="nil"/>
              <w:tr2bl w:val="nil"/>
            </w:tcBorders>
            <w:vAlign w:val="center"/>
          </w:tcPr>
          <w:p w14:paraId="37F9C862">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≥95%</w:t>
            </w:r>
          </w:p>
        </w:tc>
        <w:tc>
          <w:tcPr>
            <w:tcW w:w="2085" w:type="dxa"/>
            <w:tcBorders>
              <w:top w:val="nil"/>
              <w:left w:val="nil"/>
              <w:bottom w:val="single" w:color="auto" w:sz="4" w:space="0"/>
              <w:right w:val="single" w:color="auto" w:sz="4" w:space="0"/>
              <w:tl2br w:val="nil"/>
              <w:tr2bl w:val="nil"/>
            </w:tcBorders>
            <w:vAlign w:val="center"/>
          </w:tcPr>
          <w:p w14:paraId="3F867267">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9</w:t>
            </w:r>
            <w:r>
              <w:rPr>
                <w:rFonts w:hint="eastAsia" w:ascii="仿宋" w:hAnsi="仿宋" w:eastAsia="仿宋"/>
                <w:color w:val="auto"/>
                <w:sz w:val="28"/>
                <w:highlight w:val="none"/>
                <w:lang w:val="en-US" w:eastAsia="zh-CN"/>
              </w:rPr>
              <w:t>8</w:t>
            </w:r>
            <w:r>
              <w:rPr>
                <w:rFonts w:hint="eastAsia" w:ascii="仿宋" w:hAnsi="仿宋" w:eastAsia="仿宋"/>
                <w:color w:val="auto"/>
                <w:sz w:val="28"/>
                <w:highlight w:val="none"/>
              </w:rPr>
              <w:t>%</w:t>
            </w:r>
          </w:p>
        </w:tc>
        <w:tc>
          <w:tcPr>
            <w:tcW w:w="1995" w:type="dxa"/>
            <w:tcBorders>
              <w:top w:val="nil"/>
              <w:left w:val="nil"/>
              <w:bottom w:val="single" w:color="auto" w:sz="4" w:space="0"/>
              <w:right w:val="single" w:color="auto" w:sz="4" w:space="0"/>
              <w:tl2br w:val="nil"/>
              <w:tr2bl w:val="nil"/>
            </w:tcBorders>
            <w:vAlign w:val="center"/>
          </w:tcPr>
          <w:p w14:paraId="1FED1311">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eastAsia="仿宋_GB2312" w:cs="宋体"/>
                <w:color w:val="auto"/>
                <w:kern w:val="0"/>
                <w:sz w:val="28"/>
                <w:szCs w:val="28"/>
                <w:highlight w:val="none"/>
                <w:lang w:eastAsia="zh-CN"/>
              </w:rPr>
              <w:t>无偏差</w:t>
            </w:r>
            <w:r>
              <w:rPr>
                <w:rFonts w:hint="eastAsia" w:ascii="仿宋_GB2312" w:hAnsi="宋体"/>
                <w:color w:val="auto"/>
                <w:kern w:val="0"/>
                <w:sz w:val="28"/>
              </w:rPr>
              <w:t>　</w:t>
            </w:r>
          </w:p>
        </w:tc>
      </w:tr>
      <w:tr w14:paraId="25417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l2br w:val="nil"/>
              <w:tr2bl w:val="nil"/>
            </w:tcBorders>
            <w:vAlign w:val="center"/>
          </w:tcPr>
          <w:p w14:paraId="73D799C1">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color w:val="auto"/>
                <w:kern w:val="0"/>
                <w:sz w:val="28"/>
              </w:rPr>
              <w:t>2</w:t>
            </w:r>
          </w:p>
        </w:tc>
        <w:tc>
          <w:tcPr>
            <w:tcW w:w="4589" w:type="dxa"/>
            <w:tcBorders>
              <w:top w:val="nil"/>
              <w:left w:val="nil"/>
              <w:bottom w:val="single" w:color="auto" w:sz="4" w:space="0"/>
              <w:right w:val="single" w:color="auto" w:sz="4" w:space="0"/>
              <w:tl2br w:val="nil"/>
              <w:tr2bl w:val="nil"/>
            </w:tcBorders>
            <w:vAlign w:val="center"/>
          </w:tcPr>
          <w:p w14:paraId="42583589">
            <w:pPr>
              <w:widowControl/>
              <w:spacing w:beforeLines="0" w:afterLines="0"/>
              <w:ind w:firstLine="0" w:firstLineChars="0"/>
              <w:jc w:val="left"/>
              <w:rPr>
                <w:rFonts w:hint="eastAsia" w:ascii="仿宋" w:hAnsi="仿宋" w:eastAsia="仿宋"/>
                <w:color w:val="auto"/>
                <w:sz w:val="28"/>
                <w:highlight w:val="none"/>
              </w:rPr>
            </w:pPr>
            <w:r>
              <w:rPr>
                <w:rFonts w:hint="eastAsia" w:ascii="仿宋" w:hAnsi="仿宋" w:eastAsia="仿宋"/>
                <w:color w:val="auto"/>
                <w:sz w:val="28"/>
                <w:highlight w:val="none"/>
              </w:rPr>
              <w:t>接诉即办响应率</w:t>
            </w:r>
          </w:p>
        </w:tc>
        <w:tc>
          <w:tcPr>
            <w:tcW w:w="3510" w:type="dxa"/>
            <w:tcBorders>
              <w:top w:val="nil"/>
              <w:left w:val="nil"/>
              <w:bottom w:val="single" w:color="auto" w:sz="4" w:space="0"/>
              <w:right w:val="single" w:color="auto" w:sz="4" w:space="0"/>
              <w:tl2br w:val="nil"/>
              <w:tr2bl w:val="nil"/>
            </w:tcBorders>
            <w:vAlign w:val="center"/>
          </w:tcPr>
          <w:p w14:paraId="582AE7DD">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≥95%</w:t>
            </w:r>
          </w:p>
        </w:tc>
        <w:tc>
          <w:tcPr>
            <w:tcW w:w="2085" w:type="dxa"/>
            <w:tcBorders>
              <w:top w:val="nil"/>
              <w:left w:val="nil"/>
              <w:bottom w:val="single" w:color="auto" w:sz="4" w:space="0"/>
              <w:right w:val="single" w:color="auto" w:sz="4" w:space="0"/>
              <w:tl2br w:val="nil"/>
              <w:tr2bl w:val="nil"/>
            </w:tcBorders>
            <w:vAlign w:val="center"/>
          </w:tcPr>
          <w:p w14:paraId="04320CAD">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100%</w:t>
            </w:r>
          </w:p>
        </w:tc>
        <w:tc>
          <w:tcPr>
            <w:tcW w:w="1995" w:type="dxa"/>
            <w:tcBorders>
              <w:top w:val="nil"/>
              <w:left w:val="nil"/>
              <w:bottom w:val="single" w:color="auto" w:sz="4" w:space="0"/>
              <w:right w:val="single" w:color="auto" w:sz="4" w:space="0"/>
              <w:tl2br w:val="nil"/>
              <w:tr2bl w:val="nil"/>
            </w:tcBorders>
            <w:vAlign w:val="center"/>
          </w:tcPr>
          <w:p w14:paraId="4B2CE51F">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eastAsia="仿宋_GB2312" w:cs="宋体"/>
                <w:color w:val="auto"/>
                <w:kern w:val="0"/>
                <w:sz w:val="28"/>
                <w:szCs w:val="28"/>
                <w:highlight w:val="none"/>
                <w:lang w:eastAsia="zh-CN"/>
              </w:rPr>
              <w:t>无偏差</w:t>
            </w:r>
            <w:r>
              <w:rPr>
                <w:rFonts w:hint="eastAsia" w:ascii="仿宋_GB2312" w:hAnsi="宋体"/>
                <w:color w:val="auto"/>
                <w:kern w:val="0"/>
                <w:sz w:val="28"/>
              </w:rPr>
              <w:t>　</w:t>
            </w:r>
          </w:p>
        </w:tc>
      </w:tr>
      <w:tr w14:paraId="400FE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l2br w:val="nil"/>
              <w:tr2bl w:val="nil"/>
            </w:tcBorders>
            <w:vAlign w:val="center"/>
          </w:tcPr>
          <w:p w14:paraId="4E326E58">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color w:val="auto"/>
                <w:kern w:val="0"/>
                <w:sz w:val="28"/>
              </w:rPr>
              <w:t>3</w:t>
            </w:r>
          </w:p>
        </w:tc>
        <w:tc>
          <w:tcPr>
            <w:tcW w:w="4589" w:type="dxa"/>
            <w:tcBorders>
              <w:top w:val="nil"/>
              <w:left w:val="nil"/>
              <w:bottom w:val="single" w:color="auto" w:sz="4" w:space="0"/>
              <w:right w:val="single" w:color="auto" w:sz="4" w:space="0"/>
              <w:tl2br w:val="nil"/>
              <w:tr2bl w:val="nil"/>
            </w:tcBorders>
            <w:vAlign w:val="center"/>
          </w:tcPr>
          <w:p w14:paraId="2DF558F8">
            <w:pPr>
              <w:widowControl/>
              <w:spacing w:beforeLines="0" w:afterLines="0"/>
              <w:ind w:firstLine="0" w:firstLineChars="0"/>
              <w:jc w:val="left"/>
              <w:rPr>
                <w:rFonts w:hint="eastAsia" w:ascii="仿宋" w:hAnsi="仿宋" w:eastAsia="仿宋"/>
                <w:color w:val="auto"/>
                <w:sz w:val="28"/>
                <w:highlight w:val="none"/>
              </w:rPr>
            </w:pPr>
            <w:r>
              <w:rPr>
                <w:rFonts w:hint="eastAsia" w:ascii="仿宋" w:hAnsi="仿宋" w:eastAsia="仿宋"/>
                <w:color w:val="auto"/>
                <w:sz w:val="28"/>
                <w:highlight w:val="none"/>
              </w:rPr>
              <w:t>辖区内市场主体登记注册相关工作</w:t>
            </w:r>
          </w:p>
        </w:tc>
        <w:tc>
          <w:tcPr>
            <w:tcW w:w="3510" w:type="dxa"/>
            <w:tcBorders>
              <w:top w:val="nil"/>
              <w:left w:val="nil"/>
              <w:bottom w:val="single" w:color="auto" w:sz="4" w:space="0"/>
              <w:right w:val="single" w:color="auto" w:sz="4" w:space="0"/>
              <w:tl2br w:val="nil"/>
              <w:tr2bl w:val="nil"/>
            </w:tcBorders>
            <w:vAlign w:val="center"/>
          </w:tcPr>
          <w:p w14:paraId="6FA03512">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≥95%</w:t>
            </w:r>
          </w:p>
        </w:tc>
        <w:tc>
          <w:tcPr>
            <w:tcW w:w="2085" w:type="dxa"/>
            <w:tcBorders>
              <w:top w:val="nil"/>
              <w:left w:val="nil"/>
              <w:bottom w:val="single" w:color="auto" w:sz="4" w:space="0"/>
              <w:right w:val="single" w:color="auto" w:sz="4" w:space="0"/>
              <w:tl2br w:val="nil"/>
              <w:tr2bl w:val="nil"/>
            </w:tcBorders>
            <w:vAlign w:val="center"/>
          </w:tcPr>
          <w:p w14:paraId="3F5224C4">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100%</w:t>
            </w:r>
          </w:p>
        </w:tc>
        <w:tc>
          <w:tcPr>
            <w:tcW w:w="1995" w:type="dxa"/>
            <w:tcBorders>
              <w:top w:val="nil"/>
              <w:left w:val="nil"/>
              <w:bottom w:val="single" w:color="auto" w:sz="4" w:space="0"/>
              <w:right w:val="single" w:color="auto" w:sz="4" w:space="0"/>
              <w:tl2br w:val="nil"/>
              <w:tr2bl w:val="nil"/>
            </w:tcBorders>
            <w:vAlign w:val="center"/>
          </w:tcPr>
          <w:p w14:paraId="7777DF07">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eastAsia="仿宋_GB2312" w:cs="宋体"/>
                <w:color w:val="auto"/>
                <w:kern w:val="0"/>
                <w:sz w:val="28"/>
                <w:szCs w:val="28"/>
                <w:highlight w:val="none"/>
                <w:lang w:eastAsia="zh-CN"/>
              </w:rPr>
              <w:t>无偏差</w:t>
            </w:r>
          </w:p>
        </w:tc>
      </w:tr>
      <w:tr w14:paraId="5D858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l2br w:val="nil"/>
              <w:tr2bl w:val="nil"/>
            </w:tcBorders>
            <w:vAlign w:val="center"/>
          </w:tcPr>
          <w:p w14:paraId="669B999A">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color w:val="auto"/>
                <w:kern w:val="0"/>
                <w:sz w:val="28"/>
              </w:rPr>
              <w:t>4</w:t>
            </w:r>
          </w:p>
        </w:tc>
        <w:tc>
          <w:tcPr>
            <w:tcW w:w="4589" w:type="dxa"/>
            <w:tcBorders>
              <w:top w:val="nil"/>
              <w:left w:val="nil"/>
              <w:bottom w:val="single" w:color="auto" w:sz="4" w:space="0"/>
              <w:right w:val="single" w:color="auto" w:sz="4" w:space="0"/>
              <w:tl2br w:val="nil"/>
              <w:tr2bl w:val="nil"/>
            </w:tcBorders>
            <w:vAlign w:val="center"/>
          </w:tcPr>
          <w:p w14:paraId="271BEB6C">
            <w:pPr>
              <w:widowControl/>
              <w:spacing w:beforeLines="0" w:afterLines="0"/>
              <w:ind w:firstLine="0" w:firstLineChars="0"/>
              <w:jc w:val="left"/>
              <w:rPr>
                <w:rFonts w:hint="eastAsia" w:ascii="仿宋" w:hAnsi="仿宋" w:eastAsia="仿宋"/>
                <w:color w:val="auto"/>
                <w:sz w:val="28"/>
                <w:highlight w:val="none"/>
              </w:rPr>
            </w:pPr>
            <w:r>
              <w:rPr>
                <w:rFonts w:hint="eastAsia" w:ascii="仿宋" w:hAnsi="仿宋" w:eastAsia="仿宋"/>
                <w:color w:val="auto"/>
                <w:sz w:val="28"/>
                <w:highlight w:val="none"/>
              </w:rPr>
              <w:t>执法社设备正常运行率</w:t>
            </w:r>
          </w:p>
        </w:tc>
        <w:tc>
          <w:tcPr>
            <w:tcW w:w="3510" w:type="dxa"/>
            <w:tcBorders>
              <w:top w:val="nil"/>
              <w:left w:val="nil"/>
              <w:bottom w:val="single" w:color="auto" w:sz="4" w:space="0"/>
              <w:right w:val="single" w:color="auto" w:sz="4" w:space="0"/>
              <w:tl2br w:val="nil"/>
              <w:tr2bl w:val="nil"/>
            </w:tcBorders>
            <w:vAlign w:val="center"/>
          </w:tcPr>
          <w:p w14:paraId="3F650345">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≥95%</w:t>
            </w:r>
          </w:p>
        </w:tc>
        <w:tc>
          <w:tcPr>
            <w:tcW w:w="2085" w:type="dxa"/>
            <w:tcBorders>
              <w:top w:val="nil"/>
              <w:left w:val="nil"/>
              <w:bottom w:val="single" w:color="auto" w:sz="4" w:space="0"/>
              <w:right w:val="single" w:color="auto" w:sz="4" w:space="0"/>
              <w:tl2br w:val="nil"/>
              <w:tr2bl w:val="nil"/>
            </w:tcBorders>
            <w:vAlign w:val="center"/>
          </w:tcPr>
          <w:p w14:paraId="716D2B25">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100%</w:t>
            </w:r>
          </w:p>
        </w:tc>
        <w:tc>
          <w:tcPr>
            <w:tcW w:w="1995" w:type="dxa"/>
            <w:tcBorders>
              <w:top w:val="nil"/>
              <w:left w:val="nil"/>
              <w:bottom w:val="single" w:color="auto" w:sz="4" w:space="0"/>
              <w:right w:val="single" w:color="auto" w:sz="4" w:space="0"/>
              <w:tl2br w:val="nil"/>
              <w:tr2bl w:val="nil"/>
            </w:tcBorders>
            <w:vAlign w:val="center"/>
          </w:tcPr>
          <w:p w14:paraId="7F971501">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eastAsia="仿宋_GB2312" w:cs="宋体"/>
                <w:color w:val="auto"/>
                <w:kern w:val="0"/>
                <w:sz w:val="28"/>
                <w:szCs w:val="28"/>
                <w:highlight w:val="none"/>
                <w:lang w:eastAsia="zh-CN"/>
              </w:rPr>
              <w:t>无偏差</w:t>
            </w:r>
          </w:p>
        </w:tc>
      </w:tr>
      <w:tr w14:paraId="799BB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l2br w:val="nil"/>
              <w:tr2bl w:val="nil"/>
            </w:tcBorders>
            <w:vAlign w:val="center"/>
          </w:tcPr>
          <w:p w14:paraId="68615180">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color w:val="auto"/>
                <w:kern w:val="0"/>
                <w:sz w:val="28"/>
              </w:rPr>
              <w:t>5</w:t>
            </w:r>
          </w:p>
        </w:tc>
        <w:tc>
          <w:tcPr>
            <w:tcW w:w="4589" w:type="dxa"/>
            <w:tcBorders>
              <w:top w:val="nil"/>
              <w:left w:val="nil"/>
              <w:bottom w:val="single" w:color="auto" w:sz="4" w:space="0"/>
              <w:right w:val="single" w:color="auto" w:sz="4" w:space="0"/>
              <w:tl2br w:val="nil"/>
              <w:tr2bl w:val="nil"/>
            </w:tcBorders>
            <w:vAlign w:val="center"/>
          </w:tcPr>
          <w:p w14:paraId="45E886B1">
            <w:pPr>
              <w:widowControl/>
              <w:spacing w:beforeLines="0" w:afterLines="0"/>
              <w:ind w:firstLine="0" w:firstLineChars="0"/>
              <w:jc w:val="left"/>
              <w:rPr>
                <w:rFonts w:hint="eastAsia" w:ascii="仿宋" w:hAnsi="仿宋" w:eastAsia="仿宋"/>
                <w:color w:val="auto"/>
                <w:sz w:val="28"/>
                <w:highlight w:val="none"/>
              </w:rPr>
            </w:pPr>
            <w:r>
              <w:rPr>
                <w:rFonts w:hint="eastAsia" w:ascii="仿宋" w:hAnsi="仿宋" w:eastAsia="仿宋"/>
                <w:color w:val="auto"/>
                <w:sz w:val="28"/>
                <w:highlight w:val="none"/>
              </w:rPr>
              <w:t>档案电子化率</w:t>
            </w:r>
          </w:p>
        </w:tc>
        <w:tc>
          <w:tcPr>
            <w:tcW w:w="3510" w:type="dxa"/>
            <w:tcBorders>
              <w:top w:val="nil"/>
              <w:left w:val="nil"/>
              <w:bottom w:val="single" w:color="auto" w:sz="4" w:space="0"/>
              <w:right w:val="single" w:color="auto" w:sz="4" w:space="0"/>
              <w:tl2br w:val="nil"/>
              <w:tr2bl w:val="nil"/>
            </w:tcBorders>
            <w:vAlign w:val="center"/>
          </w:tcPr>
          <w:p w14:paraId="108BC45A">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≥95%</w:t>
            </w:r>
          </w:p>
        </w:tc>
        <w:tc>
          <w:tcPr>
            <w:tcW w:w="2085" w:type="dxa"/>
            <w:tcBorders>
              <w:top w:val="nil"/>
              <w:left w:val="nil"/>
              <w:bottom w:val="single" w:color="auto" w:sz="4" w:space="0"/>
              <w:right w:val="single" w:color="auto" w:sz="4" w:space="0"/>
              <w:tl2br w:val="nil"/>
              <w:tr2bl w:val="nil"/>
            </w:tcBorders>
            <w:vAlign w:val="center"/>
          </w:tcPr>
          <w:p w14:paraId="22E39A9A">
            <w:pPr>
              <w:widowControl/>
              <w:spacing w:beforeLines="0" w:afterLines="0"/>
              <w:ind w:firstLine="0" w:firstLineChars="0"/>
              <w:jc w:val="center"/>
              <w:rPr>
                <w:rFonts w:hint="eastAsia" w:ascii="仿宋" w:hAnsi="仿宋" w:eastAsia="仿宋"/>
                <w:color w:val="auto"/>
                <w:sz w:val="28"/>
                <w:highlight w:val="none"/>
              </w:rPr>
            </w:pPr>
            <w:r>
              <w:rPr>
                <w:rFonts w:hint="eastAsia" w:ascii="仿宋" w:hAnsi="仿宋" w:eastAsia="仿宋"/>
                <w:color w:val="auto"/>
                <w:sz w:val="28"/>
                <w:highlight w:val="none"/>
              </w:rPr>
              <w:t>100%</w:t>
            </w:r>
          </w:p>
        </w:tc>
        <w:tc>
          <w:tcPr>
            <w:tcW w:w="1995" w:type="dxa"/>
            <w:tcBorders>
              <w:top w:val="nil"/>
              <w:left w:val="nil"/>
              <w:bottom w:val="single" w:color="auto" w:sz="4" w:space="0"/>
              <w:right w:val="single" w:color="auto" w:sz="4" w:space="0"/>
              <w:tl2br w:val="nil"/>
              <w:tr2bl w:val="nil"/>
            </w:tcBorders>
            <w:vAlign w:val="center"/>
          </w:tcPr>
          <w:p w14:paraId="5BB8B7CC">
            <w:pPr>
              <w:widowControl/>
              <w:spacing w:beforeLines="0" w:afterLines="0" w:line="520" w:lineRule="exact"/>
              <w:ind w:firstLine="0" w:firstLineChars="0"/>
              <w:jc w:val="center"/>
              <w:rPr>
                <w:rFonts w:hint="eastAsia" w:ascii="仿宋_GB2312" w:hAnsi="宋体"/>
                <w:color w:val="auto"/>
                <w:kern w:val="0"/>
                <w:sz w:val="28"/>
              </w:rPr>
            </w:pPr>
            <w:r>
              <w:rPr>
                <w:rFonts w:hint="eastAsia" w:ascii="仿宋_GB2312" w:hAnsi="宋体" w:eastAsia="仿宋_GB2312" w:cs="宋体"/>
                <w:color w:val="auto"/>
                <w:kern w:val="0"/>
                <w:sz w:val="28"/>
                <w:szCs w:val="28"/>
                <w:highlight w:val="none"/>
                <w:lang w:eastAsia="zh-CN"/>
              </w:rPr>
              <w:t>无偏差</w:t>
            </w:r>
          </w:p>
        </w:tc>
      </w:tr>
    </w:tbl>
    <w:p w14:paraId="423ED883">
      <w:pPr>
        <w:pStyle w:val="2"/>
        <w:rPr>
          <w:rFonts w:hint="eastAsia"/>
          <w:lang w:val="en-US" w:eastAsia="zh-CN"/>
        </w:rPr>
      </w:pPr>
    </w:p>
    <w:p w14:paraId="1A2D39A3">
      <w:pPr>
        <w:numPr>
          <w:ilvl w:val="0"/>
          <w:numId w:val="4"/>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产出进度</w:t>
      </w:r>
    </w:p>
    <w:p w14:paraId="749B8182">
      <w:pPr>
        <w:spacing w:line="580" w:lineRule="exact"/>
        <w:ind w:firstLine="641"/>
        <w:rPr>
          <w:rFonts w:hint="eastAsia" w:ascii="仿宋_GB2312" w:eastAsia="仿宋_GB2312"/>
          <w:color w:val="auto"/>
          <w:sz w:val="32"/>
          <w:szCs w:val="32"/>
        </w:rPr>
      </w:pPr>
      <w:r>
        <w:rPr>
          <w:rFonts w:hint="eastAsia" w:ascii="仿宋_GB2312" w:eastAsia="仿宋_GB2312"/>
          <w:color w:val="auto"/>
          <w:sz w:val="32"/>
          <w:szCs w:val="32"/>
          <w:lang w:val="en-US" w:eastAsia="zh-CN"/>
        </w:rPr>
        <w:t>按照预算申报要求，我局本年度各项任务完成时间均是在年度内，已按时按质完成全年各项主要工作任务。</w:t>
      </w:r>
    </w:p>
    <w:p w14:paraId="6E10CE5C">
      <w:pPr>
        <w:numPr>
          <w:ilvl w:val="0"/>
          <w:numId w:val="4"/>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产出成本</w:t>
      </w:r>
    </w:p>
    <w:p w14:paraId="1B266B5D">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按照预算申报要求，我局本年度各项工作任务成本实际支出相关费用：113,413,355.18元（其中项目经费4,377,392.80元），无超支挤占事项。</w:t>
      </w:r>
    </w:p>
    <w:p w14:paraId="496BE63D">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14:paraId="378F32D0">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14:paraId="20DFC2E3">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按照预算申报要求，我局各项目的经济效益是通过各种行政执法方式,利用安全有效的检测手段，力争减轻执法成本，减少人为干扰因素，严格执法，公正执法，通过本年度各项目的实施，已经达到了预期效果。</w:t>
      </w:r>
    </w:p>
    <w:p w14:paraId="0BB62A4D">
      <w:pPr>
        <w:numPr>
          <w:ilvl w:val="0"/>
          <w:numId w:val="5"/>
        </w:numPr>
        <w:spacing w:line="580" w:lineRule="exact"/>
        <w:ind w:firstLine="640"/>
        <w:rPr>
          <w:rFonts w:hint="eastAsia" w:ascii="仿宋_GB2312" w:eastAsia="仿宋_GB2312"/>
          <w:sz w:val="32"/>
          <w:szCs w:val="32"/>
        </w:rPr>
      </w:pPr>
      <w:r>
        <w:rPr>
          <w:rFonts w:hint="eastAsia" w:ascii="仿宋_GB2312" w:eastAsia="仿宋_GB2312"/>
          <w:sz w:val="32"/>
          <w:szCs w:val="32"/>
        </w:rPr>
        <w:t>社会效益</w:t>
      </w:r>
    </w:p>
    <w:p w14:paraId="48313FEC">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 按照预算申报要求，我局各项目的社会效益是通过加强执法检查、利用检测手段等各种方式方法，做好安全风险隐患排查，减少市场假冒伪劣产品，通过本年度各项目的实施，已经达到了预期效果。</w:t>
      </w:r>
    </w:p>
    <w:p w14:paraId="7FF37F34">
      <w:pPr>
        <w:numPr>
          <w:ilvl w:val="0"/>
          <w:numId w:val="5"/>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环境效益</w:t>
      </w:r>
    </w:p>
    <w:p w14:paraId="1EFA0941">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按照预算申报要求，我局各项目的环境效益是通过正规的检测机构及检测手段，减少浪费污染，保持我区的生态环境安全，通过本年度个项目的实施，已经达到了预期效果。</w:t>
      </w:r>
    </w:p>
    <w:p w14:paraId="5F2D47FE">
      <w:pPr>
        <w:numPr>
          <w:ilvl w:val="0"/>
          <w:numId w:val="5"/>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可持续影响</w:t>
      </w:r>
    </w:p>
    <w:p w14:paraId="5FDC7E16">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按照预算申报要求，我局各项目的可持续影响效益是强化底线思维，筑牢市场安全防线，创造我区宜居宜业环境，通过本年度各项目的实施，已经达到了预期效果。</w:t>
      </w:r>
    </w:p>
    <w:p w14:paraId="133D2251">
      <w:pPr>
        <w:numPr>
          <w:ilvl w:val="0"/>
          <w:numId w:val="5"/>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服务对象满意度</w:t>
      </w:r>
    </w:p>
    <w:p w14:paraId="09FA1D14">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2025年我局在实施各项任务项目时，综合考虑了市场的安全因素和社会和谐因素，没有收到大量的监管对象投诉，监管满意度达到了95%以上。</w:t>
      </w:r>
    </w:p>
    <w:p w14:paraId="13CEDB7A">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14:paraId="5DC8E6CE">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14:paraId="340C0204">
      <w:pPr>
        <w:spacing w:line="580" w:lineRule="exact"/>
        <w:ind w:firstLine="641"/>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本单位制定了财务管理方面的相关制度,如资金管理制度、内部审计制度等；在财务工作中严格执行相关资金的管理、使用、收支等制度，今后还会结合本单位的实际情况进一步的修改和完善各项制度，形成财务管理制度体系。</w:t>
      </w:r>
    </w:p>
    <w:p w14:paraId="5C8B8485">
      <w:pPr>
        <w:numPr>
          <w:ilvl w:val="0"/>
          <w:numId w:val="6"/>
        </w:numPr>
        <w:spacing w:line="580" w:lineRule="exact"/>
        <w:ind w:firstLine="640"/>
        <w:rPr>
          <w:rFonts w:hint="eastAsia" w:ascii="仿宋_GB2312" w:eastAsia="仿宋_GB2312"/>
          <w:sz w:val="32"/>
          <w:szCs w:val="32"/>
        </w:rPr>
      </w:pPr>
      <w:r>
        <w:rPr>
          <w:rFonts w:hint="eastAsia" w:ascii="仿宋_GB2312" w:eastAsia="仿宋_GB2312"/>
          <w:sz w:val="32"/>
          <w:szCs w:val="32"/>
        </w:rPr>
        <w:t>资产管理</w:t>
      </w:r>
    </w:p>
    <w:p w14:paraId="59C807AA">
      <w:pPr>
        <w:spacing w:line="580" w:lineRule="exact"/>
        <w:ind w:firstLine="641"/>
        <w:rPr>
          <w:rFonts w:hint="eastAsia" w:ascii="仿宋_GB2312" w:eastAsia="仿宋_GB2312"/>
          <w:color w:val="auto"/>
          <w:sz w:val="32"/>
          <w:szCs w:val="32"/>
          <w:lang w:val="en-US" w:eastAsia="zh-CN"/>
        </w:rPr>
      </w:pPr>
      <w:r>
        <w:rPr>
          <w:rFonts w:hint="eastAsia"/>
          <w:lang w:val="en-US" w:eastAsia="zh-CN"/>
        </w:rPr>
        <w:t xml:space="preserve">    </w:t>
      </w:r>
      <w:r>
        <w:rPr>
          <w:rFonts w:hint="eastAsia" w:ascii="仿宋_GB2312" w:eastAsia="仿宋_GB2312"/>
          <w:color w:val="auto"/>
          <w:sz w:val="32"/>
          <w:szCs w:val="32"/>
          <w:lang w:val="en-US" w:eastAsia="zh-CN"/>
        </w:rPr>
        <w:t>按照固定资产管理工作的要求，我局已制定了«固定资产管理制度»，并在实际工作中严格落实：</w:t>
      </w:r>
    </w:p>
    <w:p w14:paraId="3686CBE3">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1）建立资产管理长效机制，增强财务管理人员的职责意识，使财务管理管理和记账人员的职责落实到实处；</w:t>
      </w:r>
    </w:p>
    <w:p w14:paraId="706869BF">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运用信息技术进行资产管理，依托资产动态库等管理手段加强对资产的监控，把单位的资产管理与财务管理、资产的价值管理和实物管理结合起来，及时反映单位的资产存量和变量情况，实现由静态管理向动态管理的转变；</w:t>
      </w:r>
    </w:p>
    <w:p w14:paraId="02DF69C4">
      <w:pPr>
        <w:spacing w:line="580" w:lineRule="exact"/>
        <w:ind w:firstLine="641"/>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3）定期组织固定资产盘点清查工作，使固定资产检查经常化，更好的从源头上加强了对固定资产的监督管理。</w:t>
      </w:r>
    </w:p>
    <w:p w14:paraId="1A8A4826">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14:paraId="1CAEBE61">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14:paraId="7E0C0C92">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随着我局内控制度的推进，包括采购管理、合同管理等制度的建设情况，在工作中均有所体现，但是仍不是特别完善，今后工作中还需要结合本单位的实际情况进一步的修订。</w:t>
      </w:r>
    </w:p>
    <w:p w14:paraId="762E53C2">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14:paraId="7248038A">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2025年部门预算项目18个，部门预算公开绩效目标的预算项目18个，占本部门全部预算项目的100%。</w:t>
      </w:r>
    </w:p>
    <w:p w14:paraId="36C1661E">
      <w:pPr>
        <w:rPr>
          <w:rFonts w:hint="eastAsia"/>
        </w:rPr>
      </w:pPr>
    </w:p>
    <w:p w14:paraId="0AF74B1F">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14:paraId="16D766E7">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2025年对本部门及所属单位2024年项目支出实施了绩效自评，评价项目18个，涉及金额6,857,261.81元。</w:t>
      </w:r>
    </w:p>
    <w:p w14:paraId="3A6D69D2">
      <w:pPr>
        <w:rPr>
          <w:rFonts w:hint="eastAsia"/>
        </w:rPr>
      </w:pPr>
    </w:p>
    <w:p w14:paraId="258BC441">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14:paraId="304983E8">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14:paraId="4F3B0D3D">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99</w:t>
      </w:r>
      <w:r>
        <w:rPr>
          <w:rFonts w:hint="eastAsia" w:ascii="仿宋_GB2312" w:eastAsia="仿宋_GB2312"/>
          <w:sz w:val="32"/>
          <w:szCs w:val="32"/>
        </w:rPr>
        <w:t>分</w:t>
      </w:r>
    </w:p>
    <w:p w14:paraId="14897328">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绩效自评等级：</w:t>
      </w:r>
      <w:r>
        <w:rPr>
          <w:rFonts w:hint="eastAsia" w:ascii="仿宋_GB2312" w:eastAsia="仿宋_GB2312"/>
          <w:sz w:val="32"/>
          <w:szCs w:val="32"/>
          <w:lang w:eastAsia="zh-CN"/>
        </w:rPr>
        <w:t>优秀</w:t>
      </w:r>
    </w:p>
    <w:p w14:paraId="4E652EC2">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14:paraId="5BE45FC3">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（1）由于绩效考核工作是由财政部门布置，业务科室按惯性认为此项工作为财务部门的工作，业务科室对绩效考核工作不太重视，在填报绩效考核表时，偶有对付的情况是有发生。</w:t>
      </w:r>
    </w:p>
    <w:p w14:paraId="218CCC7E">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（2）业务科室只重视业务工作，对绩效考核指标关注度不够，指标科学程度和细化程度略显不够。</w:t>
      </w:r>
    </w:p>
    <w:p w14:paraId="22A88BA1">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（3）由于种种原因，绩效考核的大量工作基本是由财务部门完成，相关资料不完全，不充分的情况偶有发生。</w:t>
      </w:r>
    </w:p>
    <w:p w14:paraId="3EDF931A">
      <w:pPr>
        <w:spacing w:line="580" w:lineRule="exact"/>
        <w:ind w:firstLine="640"/>
        <w:rPr>
          <w:rFonts w:hint="eastAsia" w:ascii="仿宋_GB2312" w:eastAsia="仿宋_GB2312"/>
          <w:sz w:val="32"/>
          <w:szCs w:val="32"/>
        </w:rPr>
      </w:pPr>
    </w:p>
    <w:p w14:paraId="3DF6F40F">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14:paraId="257F8F86">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（1）进一步提高项目参与人员的预算绩效管理意识，通过宣传培训等手段提高人员对预算绩效管理的认知程度，促进绩效管理理念在实施工作中的落实。</w:t>
      </w:r>
    </w:p>
    <w:p w14:paraId="60BB80EC">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（2）进一步提高绩效目标编制的科学性和细化程度，完善效益指标的可衡量性，做到细化量化，以保证相关指标的可考核。</w:t>
      </w:r>
    </w:p>
    <w:p w14:paraId="3D7E0DD5">
      <w:pPr>
        <w:spacing w:line="580" w:lineRule="exact"/>
        <w:ind w:firstLine="641"/>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（3）进一步注重收集绩效材料，注意留存项目实施前后效果对比的资料，注重开展满意度调查工作，为项目绩效成果的体现提供更加全面的支撑。</w:t>
      </w:r>
    </w:p>
    <w:p w14:paraId="7EC27872">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14:paraId="0FA60DC9">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14:paraId="41CF53CA">
      <w:pPr>
        <w:spacing w:line="580" w:lineRule="exact"/>
        <w:ind w:firstLine="809" w:firstLineChars="253"/>
        <w:rPr>
          <w:rFonts w:hint="eastAsia"/>
        </w:rPr>
      </w:pPr>
      <w:r>
        <w:rPr>
          <w:rFonts w:hint="eastAsia" w:ascii="仿宋_GB2312" w:eastAsia="仿宋_GB2312"/>
          <w:color w:val="auto"/>
          <w:sz w:val="32"/>
          <w:szCs w:val="32"/>
          <w:lang w:val="en-US" w:eastAsia="zh-CN"/>
        </w:rPr>
        <w:t>2025年度区财政批复项目支出预算项目18个，涉及金额6,857,261.81元。本次实施绩效自评项目18个，涉及金额6,857,261.81元。评价得分在90分（含90分）以上的18个，评价得分在80-90分（含80分）的0个，评价得分在60-80分（含60分）的0个，评价得分在60分以下的0个。</w:t>
      </w:r>
    </w:p>
    <w:p w14:paraId="02AAC9E0">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14:paraId="14EC8F8D">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14:paraId="285C41D9">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14:paraId="0E52439A">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14:paraId="145C0AD5">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14:paraId="32C6E3CF">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14:paraId="42FAF5F5">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B6A14">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538477EF">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C023A">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3ED9697C">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029DF">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41CC0C42">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8DE7C1"/>
    <w:multiLevelType w:val="singleLevel"/>
    <w:tmpl w:val="838DE7C1"/>
    <w:lvl w:ilvl="0" w:tentative="0">
      <w:start w:val="2"/>
      <w:numFmt w:val="decimal"/>
      <w:lvlText w:val="%1."/>
      <w:lvlJc w:val="left"/>
      <w:pPr>
        <w:tabs>
          <w:tab w:val="left" w:pos="312"/>
        </w:tabs>
      </w:pPr>
    </w:lvl>
  </w:abstractNum>
  <w:abstractNum w:abstractNumId="1">
    <w:nsid w:val="83FE9F85"/>
    <w:multiLevelType w:val="singleLevel"/>
    <w:tmpl w:val="83FE9F85"/>
    <w:lvl w:ilvl="0" w:tentative="0">
      <w:start w:val="2"/>
      <w:numFmt w:val="decimal"/>
      <w:lvlText w:val="%1."/>
      <w:lvlJc w:val="left"/>
      <w:pPr>
        <w:tabs>
          <w:tab w:val="left" w:pos="312"/>
        </w:tabs>
      </w:pPr>
    </w:lvl>
  </w:abstractNum>
  <w:abstractNum w:abstractNumId="2">
    <w:nsid w:val="EF135F56"/>
    <w:multiLevelType w:val="singleLevel"/>
    <w:tmpl w:val="EF135F56"/>
    <w:lvl w:ilvl="0" w:tentative="0">
      <w:start w:val="2"/>
      <w:numFmt w:val="chineseCounting"/>
      <w:suff w:val="nothing"/>
      <w:lvlText w:val="（%1）"/>
      <w:lvlJc w:val="left"/>
      <w:rPr>
        <w:rFonts w:hint="eastAsia"/>
      </w:rPr>
    </w:lvl>
  </w:abstractNum>
  <w:abstractNum w:abstractNumId="3">
    <w:nsid w:val="16F2A058"/>
    <w:multiLevelType w:val="singleLevel"/>
    <w:tmpl w:val="16F2A058"/>
    <w:lvl w:ilvl="0" w:tentative="0">
      <w:start w:val="2"/>
      <w:numFmt w:val="decimal"/>
      <w:suff w:val="nothing"/>
      <w:lvlText w:val="（%1）"/>
      <w:lvlJc w:val="left"/>
    </w:lvl>
  </w:abstractNum>
  <w:abstractNum w:abstractNumId="4">
    <w:nsid w:val="2835BFD6"/>
    <w:multiLevelType w:val="singleLevel"/>
    <w:tmpl w:val="2835BFD6"/>
    <w:lvl w:ilvl="0" w:tentative="0">
      <w:start w:val="2"/>
      <w:numFmt w:val="decimal"/>
      <w:suff w:val="nothing"/>
      <w:lvlText w:val="（%1）"/>
      <w:lvlJc w:val="left"/>
    </w:lvl>
  </w:abstractNum>
  <w:abstractNum w:abstractNumId="5">
    <w:nsid w:val="41F0DB65"/>
    <w:multiLevelType w:val="singleLevel"/>
    <w:tmpl w:val="41F0DB65"/>
    <w:lvl w:ilvl="0" w:tentative="0">
      <w:start w:val="5"/>
      <w:numFmt w:val="chineseCounting"/>
      <w:suff w:val="nothing"/>
      <w:lvlText w:val="%1、"/>
      <w:lvlJc w:val="left"/>
      <w:rPr>
        <w:rFonts w:hint="eastAsia"/>
      </w:rPr>
    </w:lvl>
  </w:abstractNum>
  <w:num w:numId="1">
    <w:abstractNumId w:val="2"/>
  </w:num>
  <w:num w:numId="2">
    <w:abstractNumId w:val="5"/>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2B41"/>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9FE75F3"/>
    <w:rsid w:val="0BA148CA"/>
    <w:rsid w:val="0C1165C4"/>
    <w:rsid w:val="0D6D544B"/>
    <w:rsid w:val="0DC66F53"/>
    <w:rsid w:val="0DD136FE"/>
    <w:rsid w:val="0F8E2C57"/>
    <w:rsid w:val="1059665E"/>
    <w:rsid w:val="10AC13BA"/>
    <w:rsid w:val="11980797"/>
    <w:rsid w:val="145A6C1B"/>
    <w:rsid w:val="14B73493"/>
    <w:rsid w:val="167A2FF9"/>
    <w:rsid w:val="17E05399"/>
    <w:rsid w:val="18581C69"/>
    <w:rsid w:val="186D28E5"/>
    <w:rsid w:val="1AAB2ADD"/>
    <w:rsid w:val="1AEC0734"/>
    <w:rsid w:val="1C203C3A"/>
    <w:rsid w:val="1CDF508C"/>
    <w:rsid w:val="1DEF20B0"/>
    <w:rsid w:val="1F175566"/>
    <w:rsid w:val="214243FA"/>
    <w:rsid w:val="21AD613C"/>
    <w:rsid w:val="22467189"/>
    <w:rsid w:val="257A14F5"/>
    <w:rsid w:val="266A54D2"/>
    <w:rsid w:val="266E7CB3"/>
    <w:rsid w:val="27196C26"/>
    <w:rsid w:val="28E94267"/>
    <w:rsid w:val="29EF086F"/>
    <w:rsid w:val="2A014A0F"/>
    <w:rsid w:val="2EFFE297"/>
    <w:rsid w:val="2FB530B8"/>
    <w:rsid w:val="301437CA"/>
    <w:rsid w:val="32791381"/>
    <w:rsid w:val="349D1F0A"/>
    <w:rsid w:val="34DD0473"/>
    <w:rsid w:val="36E73666"/>
    <w:rsid w:val="37817404"/>
    <w:rsid w:val="3860129C"/>
    <w:rsid w:val="3C181CA7"/>
    <w:rsid w:val="3C684897"/>
    <w:rsid w:val="40414A86"/>
    <w:rsid w:val="41C6204F"/>
    <w:rsid w:val="433E495C"/>
    <w:rsid w:val="43B95440"/>
    <w:rsid w:val="461A7B0D"/>
    <w:rsid w:val="46620985"/>
    <w:rsid w:val="489F2FD7"/>
    <w:rsid w:val="498503A7"/>
    <w:rsid w:val="4AC27CB3"/>
    <w:rsid w:val="4BF72BEF"/>
    <w:rsid w:val="4DD545C6"/>
    <w:rsid w:val="4FA90297"/>
    <w:rsid w:val="4FC41A43"/>
    <w:rsid w:val="51DB3C59"/>
    <w:rsid w:val="534419B7"/>
    <w:rsid w:val="550C0952"/>
    <w:rsid w:val="55762E42"/>
    <w:rsid w:val="57A7B272"/>
    <w:rsid w:val="58470068"/>
    <w:rsid w:val="58747CAC"/>
    <w:rsid w:val="5A1720F9"/>
    <w:rsid w:val="5B9C37C2"/>
    <w:rsid w:val="5BA7C654"/>
    <w:rsid w:val="5E561184"/>
    <w:rsid w:val="60A54109"/>
    <w:rsid w:val="61D01CDF"/>
    <w:rsid w:val="641D4639"/>
    <w:rsid w:val="64C0607C"/>
    <w:rsid w:val="65756C86"/>
    <w:rsid w:val="674D385B"/>
    <w:rsid w:val="676D4A49"/>
    <w:rsid w:val="676F09E1"/>
    <w:rsid w:val="67E542AD"/>
    <w:rsid w:val="71793A80"/>
    <w:rsid w:val="7357290B"/>
    <w:rsid w:val="798524E4"/>
    <w:rsid w:val="7A7F1C49"/>
    <w:rsid w:val="7B5B7AE6"/>
    <w:rsid w:val="7B7B6628"/>
    <w:rsid w:val="7BA7071E"/>
    <w:rsid w:val="7BDF6DA8"/>
    <w:rsid w:val="7BDF7589"/>
    <w:rsid w:val="7C5E50C1"/>
    <w:rsid w:val="7C7EDC1A"/>
    <w:rsid w:val="7CCED98D"/>
    <w:rsid w:val="7D08410F"/>
    <w:rsid w:val="7D2759BE"/>
    <w:rsid w:val="7D594711"/>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11341.34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7c7db6fc-1d1e-4454-bf2a-2c1a484dba41}"/>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10903.65</c:v>
                </c:pt>
                <c:pt idx="1">
                  <c:v>437.74</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6a93766-3b42-4c87-8827-ccd07ca69d5a}"/>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6736</Words>
  <Characters>7794</Characters>
  <Lines>47</Lines>
  <Paragraphs>13</Paragraphs>
  <TotalTime>8</TotalTime>
  <ScaleCrop>false</ScaleCrop>
  <LinksUpToDate>false</LinksUpToDate>
  <CharactersWithSpaces>7870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千峰</cp:lastModifiedBy>
  <cp:lastPrinted>2026-08-19T04:20:00Z</cp:lastPrinted>
  <dcterms:modified xsi:type="dcterms:W3CDTF">2026-08-27T07:12:43Z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3B68F161A18B4F23A92C012CACD9E1A6_13</vt:lpwstr>
  </property>
  <property fmtid="{D5CDD505-2E9C-101B-9397-08002B2CF9AE}" pid="4" name="KSOTemplateDocerSaveRecord">
    <vt:lpwstr>eyJoZGlkIjoiODYwNzE4MTJlOGRhN2M1ODBlMWJiODIyMzU5NDVmNjMiLCJ1c2VySWQiOiIyNDQ0Mzc5NTAifQ==</vt:lpwstr>
  </property>
</Properties>
</file>