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2"/>
          <w:szCs w:val="32"/>
          <w:highlight w:val="none"/>
        </w:rPr>
      </w:pPr>
    </w:p>
    <w:p>
      <w:pPr>
        <w:jc w:val="center"/>
        <w:rPr>
          <w:rFonts w:ascii="黑体" w:eastAsia="黑体"/>
          <w:sz w:val="72"/>
          <w:szCs w:val="72"/>
          <w:highlight w:val="none"/>
        </w:rPr>
      </w:pPr>
    </w:p>
    <w:p>
      <w:pPr>
        <w:jc w:val="center"/>
        <w:rPr>
          <w:rFonts w:ascii="黑体" w:eastAsia="黑体"/>
          <w:sz w:val="72"/>
          <w:szCs w:val="72"/>
          <w:highlight w:val="none"/>
        </w:rPr>
      </w:pPr>
    </w:p>
    <w:p>
      <w:pPr>
        <w:jc w:val="center"/>
        <w:rPr>
          <w:rFonts w:ascii="黑体" w:eastAsia="黑体"/>
          <w:sz w:val="72"/>
          <w:szCs w:val="72"/>
          <w:highlight w:val="none"/>
        </w:rPr>
      </w:pPr>
    </w:p>
    <w:p>
      <w:pPr>
        <w:jc w:val="center"/>
        <w:rPr>
          <w:rFonts w:ascii="黑体" w:eastAsia="黑体"/>
          <w:sz w:val="72"/>
          <w:szCs w:val="72"/>
          <w:highlight w:val="none"/>
        </w:rPr>
      </w:pPr>
    </w:p>
    <w:p>
      <w:pPr>
        <w:jc w:val="center"/>
        <w:rPr>
          <w:rFonts w:ascii="黑体" w:eastAsia="黑体"/>
          <w:sz w:val="72"/>
          <w:szCs w:val="72"/>
          <w:highlight w:val="none"/>
        </w:rPr>
      </w:pPr>
      <w:r>
        <w:rPr>
          <w:rFonts w:hint="eastAsia" w:ascii="黑体" w:eastAsia="黑体"/>
          <w:sz w:val="72"/>
          <w:szCs w:val="72"/>
          <w:highlight w:val="none"/>
        </w:rPr>
        <w:t>2025年度部门决算（公开</w:t>
      </w:r>
      <w:r>
        <w:rPr>
          <w:rFonts w:ascii="黑体" w:eastAsia="黑体"/>
          <w:sz w:val="72"/>
          <w:szCs w:val="72"/>
          <w:highlight w:val="none"/>
        </w:rPr>
        <w:t>）</w:t>
      </w:r>
    </w:p>
    <w:p>
      <w:pPr>
        <w:jc w:val="center"/>
        <w:rPr>
          <w:rFonts w:ascii="黑体" w:eastAsia="黑体"/>
          <w:sz w:val="52"/>
          <w:szCs w:val="52"/>
          <w:highlight w:val="none"/>
        </w:rPr>
      </w:pPr>
    </w:p>
    <w:p>
      <w:pPr>
        <w:jc w:val="center"/>
        <w:rPr>
          <w:rFonts w:ascii="黑体" w:eastAsia="黑体"/>
          <w:sz w:val="52"/>
          <w:szCs w:val="52"/>
          <w:highlight w:val="none"/>
        </w:rPr>
      </w:pPr>
    </w:p>
    <w:p>
      <w:pPr>
        <w:jc w:val="center"/>
        <w:rPr>
          <w:rFonts w:ascii="黑体" w:eastAsia="黑体"/>
          <w:sz w:val="52"/>
          <w:szCs w:val="52"/>
          <w:highlight w:val="none"/>
        </w:rPr>
      </w:pPr>
    </w:p>
    <w:p>
      <w:pPr>
        <w:jc w:val="center"/>
        <w:rPr>
          <w:rFonts w:ascii="黑体" w:eastAsia="黑体"/>
          <w:sz w:val="52"/>
          <w:szCs w:val="52"/>
          <w:highlight w:val="none"/>
        </w:rPr>
      </w:pPr>
    </w:p>
    <w:p>
      <w:pPr>
        <w:jc w:val="center"/>
        <w:rPr>
          <w:rFonts w:ascii="黑体" w:eastAsia="黑体"/>
          <w:sz w:val="32"/>
          <w:szCs w:val="32"/>
          <w:highlight w:val="none"/>
        </w:rPr>
      </w:pPr>
    </w:p>
    <w:p>
      <w:pPr>
        <w:spacing w:line="500" w:lineRule="exact"/>
        <w:ind w:firstLine="645"/>
        <w:jc w:val="center"/>
        <w:rPr>
          <w:rFonts w:ascii="宋体" w:hAnsi="宋体" w:cs="宋体"/>
          <w:b/>
          <w:bCs/>
          <w:kern w:val="0"/>
          <w:sz w:val="44"/>
          <w:szCs w:val="36"/>
          <w:highlight w:val="none"/>
        </w:rPr>
      </w:pPr>
      <w:r>
        <w:rPr>
          <w:rFonts w:hint="eastAsia" w:ascii="宋体" w:hAnsi="宋体" w:cs="宋体"/>
          <w:b/>
          <w:bCs/>
          <w:kern w:val="0"/>
          <w:sz w:val="44"/>
          <w:szCs w:val="36"/>
          <w:highlight w:val="none"/>
        </w:rPr>
        <w:t>目    录</w:t>
      </w:r>
    </w:p>
    <w:p>
      <w:pPr>
        <w:spacing w:line="500" w:lineRule="exact"/>
        <w:ind w:firstLine="645"/>
        <w:jc w:val="center"/>
        <w:rPr>
          <w:rFonts w:ascii="宋体" w:hAnsi="宋体" w:cs="宋体"/>
          <w:b/>
          <w:bCs/>
          <w:kern w:val="0"/>
          <w:sz w:val="36"/>
          <w:szCs w:val="36"/>
          <w:highlight w:val="none"/>
        </w:rPr>
      </w:pPr>
    </w:p>
    <w:p>
      <w:pPr>
        <w:tabs>
          <w:tab w:val="center" w:pos="6979"/>
        </w:tabs>
        <w:spacing w:line="500" w:lineRule="exact"/>
        <w:ind w:firstLine="1600" w:firstLineChars="400"/>
        <w:jc w:val="left"/>
        <w:rPr>
          <w:rFonts w:ascii="宋体" w:hAnsi="宋体" w:cs="宋体"/>
          <w:bCs/>
          <w:spacing w:val="40"/>
          <w:kern w:val="0"/>
          <w:sz w:val="32"/>
          <w:szCs w:val="32"/>
          <w:highlight w:val="none"/>
        </w:rPr>
      </w:pPr>
      <w:r>
        <w:rPr>
          <w:rFonts w:hint="eastAsia" w:ascii="宋体" w:hAnsi="宋体" w:cs="宋体"/>
          <w:bCs/>
          <w:spacing w:val="40"/>
          <w:kern w:val="0"/>
          <w:sz w:val="32"/>
          <w:szCs w:val="32"/>
          <w:highlight w:val="none"/>
        </w:rPr>
        <w:t>第一部分 2025年度部门决算报表</w:t>
      </w:r>
    </w:p>
    <w:p>
      <w:pPr>
        <w:tabs>
          <w:tab w:val="center" w:pos="6979"/>
        </w:tabs>
        <w:spacing w:line="500" w:lineRule="exact"/>
        <w:ind w:firstLine="2400" w:firstLineChars="600"/>
        <w:jc w:val="left"/>
        <w:rPr>
          <w:rFonts w:ascii="仿宋_GB2312" w:hAnsi="仿宋" w:eastAsia="仿宋_GB2312"/>
          <w:spacing w:val="40"/>
          <w:sz w:val="32"/>
          <w:szCs w:val="32"/>
          <w:highlight w:val="none"/>
        </w:rPr>
      </w:pPr>
      <w:r>
        <w:rPr>
          <w:rFonts w:hint="eastAsia" w:ascii="仿宋_GB2312" w:hAnsi="仿宋" w:eastAsia="仿宋_GB2312" w:cs="宋体"/>
          <w:bCs/>
          <w:spacing w:val="40"/>
          <w:kern w:val="0"/>
          <w:sz w:val="32"/>
          <w:szCs w:val="32"/>
          <w:highlight w:val="none"/>
        </w:rPr>
        <w:t>一、收入支出决算总表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highlight w:val="none"/>
        </w:rPr>
      </w:pPr>
      <w:r>
        <w:rPr>
          <w:rFonts w:hint="eastAsia" w:ascii="仿宋_GB2312" w:hAnsi="仿宋" w:eastAsia="仿宋_GB2312" w:cs="宋体"/>
          <w:bCs/>
          <w:spacing w:val="40"/>
          <w:kern w:val="0"/>
          <w:sz w:val="32"/>
          <w:szCs w:val="32"/>
          <w:highlight w:val="none"/>
        </w:rPr>
        <w:t>二、收入决算表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highlight w:val="none"/>
        </w:rPr>
      </w:pPr>
      <w:r>
        <w:rPr>
          <w:rFonts w:hint="eastAsia" w:ascii="仿宋_GB2312" w:hAnsi="仿宋" w:eastAsia="仿宋_GB2312" w:cs="宋体"/>
          <w:bCs/>
          <w:spacing w:val="40"/>
          <w:kern w:val="0"/>
          <w:sz w:val="32"/>
          <w:szCs w:val="32"/>
          <w:highlight w:val="none"/>
        </w:rPr>
        <w:t>三、支出决算表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highlight w:val="none"/>
        </w:rPr>
      </w:pPr>
      <w:r>
        <w:rPr>
          <w:rFonts w:hint="eastAsia" w:ascii="仿宋_GB2312" w:hAnsi="仿宋" w:eastAsia="仿宋_GB2312" w:cs="宋体"/>
          <w:bCs/>
          <w:spacing w:val="40"/>
          <w:kern w:val="0"/>
          <w:sz w:val="32"/>
          <w:szCs w:val="32"/>
          <w:highlight w:val="none"/>
        </w:rPr>
        <w:t>四、财政拨款收入支出决算总表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highlight w:val="none"/>
        </w:rPr>
      </w:pPr>
      <w:r>
        <w:rPr>
          <w:rFonts w:hint="eastAsia" w:ascii="仿宋_GB2312" w:hAnsi="仿宋" w:eastAsia="仿宋_GB2312" w:cs="宋体"/>
          <w:bCs/>
          <w:spacing w:val="40"/>
          <w:kern w:val="0"/>
          <w:sz w:val="32"/>
          <w:szCs w:val="32"/>
          <w:highlight w:val="none"/>
        </w:rPr>
        <w:t>五、一般公共预算财政拨款支出决算表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highlight w:val="none"/>
        </w:rPr>
      </w:pPr>
      <w:r>
        <w:rPr>
          <w:rFonts w:hint="eastAsia" w:ascii="仿宋_GB2312" w:hAnsi="仿宋" w:eastAsia="仿宋_GB2312" w:cs="宋体"/>
          <w:bCs/>
          <w:spacing w:val="40"/>
          <w:kern w:val="0"/>
          <w:sz w:val="32"/>
          <w:szCs w:val="32"/>
          <w:highlight w:val="none"/>
        </w:rPr>
        <w:t>六、一般公共预算财政拨款</w:t>
      </w:r>
      <w:r>
        <w:rPr>
          <w:rFonts w:ascii="仿宋_GB2312" w:hAnsi="仿宋" w:eastAsia="仿宋_GB2312" w:cs="宋体"/>
          <w:bCs/>
          <w:spacing w:val="40"/>
          <w:kern w:val="0"/>
          <w:sz w:val="32"/>
          <w:szCs w:val="32"/>
          <w:highlight w:val="none"/>
        </w:rPr>
        <w:t>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highlight w:val="none"/>
        </w:rPr>
      </w:pPr>
      <w:r>
        <w:rPr>
          <w:rFonts w:hint="eastAsia" w:ascii="仿宋_GB2312" w:hAnsi="仿宋" w:eastAsia="仿宋_GB2312" w:cs="宋体"/>
          <w:bCs/>
          <w:spacing w:val="40"/>
          <w:kern w:val="0"/>
          <w:sz w:val="32"/>
          <w:szCs w:val="32"/>
          <w:highlight w:val="none"/>
        </w:rPr>
        <w:t>七</w:t>
      </w:r>
      <w:r>
        <w:rPr>
          <w:rFonts w:ascii="仿宋_GB2312" w:hAnsi="仿宋" w:eastAsia="仿宋_GB2312" w:cs="宋体"/>
          <w:bCs/>
          <w:spacing w:val="40"/>
          <w:kern w:val="0"/>
          <w:sz w:val="32"/>
          <w:szCs w:val="32"/>
          <w:highlight w:val="none"/>
        </w:rPr>
        <w:t>、</w:t>
      </w:r>
      <w:r>
        <w:rPr>
          <w:rFonts w:hint="eastAsia" w:ascii="仿宋_GB2312" w:hAnsi="仿宋" w:eastAsia="仿宋_GB2312" w:cs="宋体"/>
          <w:bCs/>
          <w:spacing w:val="40"/>
          <w:kern w:val="0"/>
          <w:sz w:val="32"/>
          <w:szCs w:val="32"/>
          <w:highlight w:val="none"/>
        </w:rPr>
        <w:t>政府性基金预算财政拨款收入支出决算表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highlight w:val="none"/>
        </w:rPr>
      </w:pPr>
      <w:r>
        <w:rPr>
          <w:rFonts w:hint="eastAsia" w:ascii="仿宋_GB2312" w:hAnsi="仿宋" w:eastAsia="仿宋_GB2312" w:cs="宋体"/>
          <w:bCs/>
          <w:spacing w:val="40"/>
          <w:kern w:val="0"/>
          <w:sz w:val="32"/>
          <w:szCs w:val="32"/>
          <w:highlight w:val="none"/>
        </w:rPr>
        <w:t>八、</w:t>
      </w:r>
      <w:r>
        <w:rPr>
          <w:rFonts w:ascii="仿宋_GB2312" w:hAnsi="仿宋" w:eastAsia="仿宋_GB2312" w:cs="宋体"/>
          <w:bCs/>
          <w:spacing w:val="40"/>
          <w:kern w:val="0"/>
          <w:sz w:val="32"/>
          <w:szCs w:val="32"/>
          <w:highlight w:val="none"/>
        </w:rPr>
        <w:t>政府性基金</w:t>
      </w:r>
      <w:r>
        <w:rPr>
          <w:rFonts w:hint="eastAsia" w:ascii="仿宋_GB2312" w:hAnsi="仿宋" w:eastAsia="仿宋_GB2312" w:cs="宋体"/>
          <w:bCs/>
          <w:spacing w:val="40"/>
          <w:kern w:val="0"/>
          <w:sz w:val="32"/>
          <w:szCs w:val="32"/>
          <w:highlight w:val="none"/>
        </w:rPr>
        <w:t>预算</w:t>
      </w:r>
      <w:r>
        <w:rPr>
          <w:rFonts w:ascii="仿宋_GB2312" w:hAnsi="仿宋" w:eastAsia="仿宋_GB2312" w:cs="宋体"/>
          <w:bCs/>
          <w:spacing w:val="40"/>
          <w:kern w:val="0"/>
          <w:sz w:val="32"/>
          <w:szCs w:val="32"/>
          <w:highlight w:val="none"/>
        </w:rPr>
        <w:t>财政拨款基本支出决算表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highlight w:val="none"/>
        </w:rPr>
      </w:pPr>
      <w:r>
        <w:rPr>
          <w:rFonts w:hint="eastAsia" w:ascii="仿宋_GB2312" w:hAnsi="仿宋" w:eastAsia="仿宋_GB2312" w:cs="宋体"/>
          <w:bCs/>
          <w:spacing w:val="40"/>
          <w:kern w:val="0"/>
          <w:sz w:val="32"/>
          <w:szCs w:val="32"/>
          <w:highlight w:val="none"/>
        </w:rPr>
        <w:t>九、国有资本经营预算财政拨款支出决算表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highlight w:val="none"/>
        </w:rPr>
      </w:pPr>
      <w:r>
        <w:rPr>
          <w:rFonts w:hint="eastAsia" w:ascii="仿宋_GB2312" w:hAnsi="仿宋" w:eastAsia="仿宋_GB2312" w:cs="宋体"/>
          <w:bCs/>
          <w:spacing w:val="40"/>
          <w:kern w:val="0"/>
          <w:sz w:val="32"/>
          <w:szCs w:val="32"/>
          <w:highlight w:val="none"/>
        </w:rPr>
        <w:t>十、财政拨款“三公”经费支出决算表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highlight w:val="none"/>
        </w:rPr>
      </w:pPr>
      <w:r>
        <w:rPr>
          <w:rFonts w:hint="eastAsia" w:ascii="仿宋_GB2312" w:hAnsi="仿宋" w:eastAsia="仿宋_GB2312" w:cs="宋体"/>
          <w:bCs/>
          <w:spacing w:val="40"/>
          <w:kern w:val="0"/>
          <w:sz w:val="32"/>
          <w:szCs w:val="32"/>
          <w:highlight w:val="none"/>
        </w:rPr>
        <w:t>十一、政府采购情况表</w:t>
      </w:r>
    </w:p>
    <w:p>
      <w:pPr>
        <w:tabs>
          <w:tab w:val="center" w:pos="6979"/>
        </w:tabs>
        <w:spacing w:line="500" w:lineRule="exact"/>
        <w:ind w:firstLine="1600" w:firstLineChars="400"/>
        <w:jc w:val="left"/>
        <w:rPr>
          <w:rFonts w:ascii="宋体" w:hAnsi="宋体" w:cs="宋体"/>
          <w:bCs/>
          <w:spacing w:val="40"/>
          <w:kern w:val="0"/>
          <w:sz w:val="32"/>
          <w:szCs w:val="32"/>
          <w:highlight w:val="none"/>
        </w:rPr>
      </w:pPr>
      <w:r>
        <w:rPr>
          <w:rFonts w:hint="eastAsia" w:ascii="宋体" w:hAnsi="宋体" w:cs="宋体"/>
          <w:bCs/>
          <w:spacing w:val="40"/>
          <w:kern w:val="0"/>
          <w:sz w:val="32"/>
          <w:szCs w:val="32"/>
          <w:highlight w:val="none"/>
        </w:rPr>
        <w:t xml:space="preserve">第二部分 </w:t>
      </w:r>
      <w:r>
        <w:rPr>
          <w:rFonts w:hint="eastAsia" w:ascii="宋体" w:hAnsi="宋体"/>
          <w:spacing w:val="40"/>
          <w:sz w:val="32"/>
          <w:szCs w:val="32"/>
          <w:highlight w:val="none"/>
        </w:rPr>
        <w:t>2025年度部门决算说明</w:t>
      </w:r>
    </w:p>
    <w:p>
      <w:pPr>
        <w:tabs>
          <w:tab w:val="center" w:pos="6979"/>
        </w:tabs>
        <w:spacing w:line="500" w:lineRule="exact"/>
        <w:ind w:firstLine="1600" w:firstLineChars="400"/>
        <w:jc w:val="left"/>
        <w:rPr>
          <w:rFonts w:ascii="宋体" w:hAnsi="宋体" w:cs="宋体"/>
          <w:spacing w:val="40"/>
          <w:kern w:val="0"/>
          <w:sz w:val="32"/>
          <w:szCs w:val="32"/>
          <w:highlight w:val="none"/>
        </w:rPr>
      </w:pPr>
      <w:r>
        <w:rPr>
          <w:rFonts w:hint="eastAsia" w:ascii="宋体" w:hAnsi="宋体" w:cs="宋体"/>
          <w:bCs/>
          <w:spacing w:val="40"/>
          <w:kern w:val="0"/>
          <w:sz w:val="32"/>
          <w:szCs w:val="32"/>
          <w:highlight w:val="none"/>
        </w:rPr>
        <w:t xml:space="preserve">第三部分 </w:t>
      </w:r>
      <w:r>
        <w:rPr>
          <w:rFonts w:hint="eastAsia" w:ascii="宋体" w:hAnsi="宋体"/>
          <w:spacing w:val="40"/>
          <w:sz w:val="32"/>
          <w:szCs w:val="32"/>
          <w:highlight w:val="none"/>
        </w:rPr>
        <w:t>2025年度</w:t>
      </w:r>
      <w:r>
        <w:rPr>
          <w:rFonts w:hint="eastAsia" w:ascii="宋体" w:hAnsi="宋体" w:cs="宋体"/>
          <w:spacing w:val="40"/>
          <w:kern w:val="0"/>
          <w:sz w:val="32"/>
          <w:szCs w:val="32"/>
          <w:highlight w:val="none"/>
        </w:rPr>
        <w:t>其他重要事项的情况说明</w:t>
      </w:r>
    </w:p>
    <w:p>
      <w:pPr>
        <w:tabs>
          <w:tab w:val="center" w:pos="6979"/>
        </w:tabs>
        <w:spacing w:line="500" w:lineRule="exact"/>
        <w:ind w:firstLine="1600" w:firstLineChars="400"/>
        <w:jc w:val="left"/>
        <w:rPr>
          <w:rFonts w:ascii="宋体" w:hAnsi="宋体" w:cs="宋体"/>
          <w:spacing w:val="40"/>
          <w:kern w:val="0"/>
          <w:sz w:val="36"/>
          <w:szCs w:val="32"/>
          <w:highlight w:val="none"/>
        </w:rPr>
      </w:pPr>
      <w:r>
        <w:rPr>
          <w:rFonts w:hint="eastAsia" w:ascii="宋体" w:hAnsi="宋体" w:cs="宋体"/>
          <w:spacing w:val="40"/>
          <w:kern w:val="0"/>
          <w:sz w:val="32"/>
          <w:szCs w:val="32"/>
          <w:highlight w:val="none"/>
        </w:rPr>
        <w:t>第四部分 2025年度部门绩效评价情况</w:t>
      </w:r>
    </w:p>
    <w:p>
      <w:pPr>
        <w:tabs>
          <w:tab w:val="center" w:pos="6979"/>
        </w:tabs>
        <w:spacing w:before="156" w:beforeLines="50" w:after="156" w:afterLines="50"/>
        <w:jc w:val="center"/>
        <w:rPr>
          <w:rFonts w:ascii="宋体" w:hAnsi="宋体" w:cs="宋体"/>
          <w:b/>
          <w:bCs/>
          <w:spacing w:val="40"/>
          <w:kern w:val="0"/>
          <w:sz w:val="32"/>
          <w:szCs w:val="32"/>
          <w:highlight w:val="none"/>
        </w:rPr>
      </w:pPr>
    </w:p>
    <w:p>
      <w:pPr>
        <w:tabs>
          <w:tab w:val="center" w:pos="6979"/>
        </w:tabs>
        <w:spacing w:before="156" w:beforeLines="50" w:after="156" w:afterLines="50"/>
        <w:jc w:val="center"/>
        <w:rPr>
          <w:rFonts w:ascii="宋体" w:hAnsi="宋体" w:cs="宋体"/>
          <w:b/>
          <w:bCs/>
          <w:spacing w:val="40"/>
          <w:kern w:val="0"/>
          <w:sz w:val="32"/>
          <w:szCs w:val="32"/>
          <w:highlight w:val="none"/>
        </w:rPr>
      </w:pPr>
    </w:p>
    <w:p>
      <w:pPr>
        <w:tabs>
          <w:tab w:val="center" w:pos="6979"/>
        </w:tabs>
        <w:spacing w:before="156" w:beforeLines="50" w:after="156" w:afterLines="50"/>
        <w:jc w:val="center"/>
        <w:rPr>
          <w:rFonts w:ascii="宋体" w:hAnsi="宋体" w:cs="宋体"/>
          <w:b/>
          <w:bCs/>
          <w:spacing w:val="40"/>
          <w:kern w:val="0"/>
          <w:sz w:val="32"/>
          <w:szCs w:val="32"/>
          <w:highlight w:val="none"/>
        </w:rPr>
      </w:pPr>
    </w:p>
    <w:p>
      <w:pPr>
        <w:tabs>
          <w:tab w:val="center" w:pos="6979"/>
        </w:tabs>
        <w:spacing w:before="156" w:beforeLines="50" w:after="156" w:afterLines="50"/>
        <w:jc w:val="center"/>
        <w:rPr>
          <w:rFonts w:ascii="宋体" w:hAnsi="宋体" w:cs="宋体"/>
          <w:b/>
          <w:bCs/>
          <w:spacing w:val="40"/>
          <w:kern w:val="0"/>
          <w:sz w:val="32"/>
          <w:szCs w:val="32"/>
          <w:highlight w:val="none"/>
        </w:rPr>
      </w:pPr>
    </w:p>
    <w:p>
      <w:pPr>
        <w:tabs>
          <w:tab w:val="center" w:pos="6979"/>
        </w:tabs>
        <w:spacing w:before="156" w:beforeLines="50" w:after="156" w:afterLines="50"/>
        <w:jc w:val="center"/>
        <w:rPr>
          <w:rFonts w:ascii="宋体" w:hAnsi="宋体" w:cs="宋体"/>
          <w:b/>
          <w:bCs/>
          <w:spacing w:val="40"/>
          <w:kern w:val="0"/>
          <w:sz w:val="32"/>
          <w:szCs w:val="32"/>
          <w:highlight w:val="none"/>
        </w:rPr>
      </w:pPr>
    </w:p>
    <w:p>
      <w:pPr>
        <w:tabs>
          <w:tab w:val="center" w:pos="6979"/>
        </w:tabs>
        <w:spacing w:before="156" w:beforeLines="50" w:after="156" w:afterLines="50"/>
        <w:jc w:val="center"/>
        <w:rPr>
          <w:rFonts w:ascii="宋体" w:hAnsi="宋体" w:cs="宋体"/>
          <w:b/>
          <w:bCs/>
          <w:spacing w:val="40"/>
          <w:kern w:val="0"/>
          <w:sz w:val="32"/>
          <w:szCs w:val="32"/>
          <w:highlight w:val="none"/>
        </w:rPr>
      </w:pPr>
      <w:r>
        <w:rPr>
          <w:rFonts w:hint="eastAsia" w:ascii="宋体" w:hAnsi="宋体" w:cs="宋体"/>
          <w:b/>
          <w:bCs/>
          <w:spacing w:val="40"/>
          <w:kern w:val="0"/>
          <w:sz w:val="44"/>
          <w:szCs w:val="44"/>
          <w:highlight w:val="none"/>
        </w:rPr>
        <w:t>第一部分 2025年度部门决算报表</w:t>
      </w:r>
    </w:p>
    <w:p>
      <w:pPr>
        <w:pStyle w:val="3"/>
        <w:rPr>
          <w:b w:val="0"/>
          <w:bCs w:val="0"/>
          <w:highlight w:val="none"/>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highlight w:val="none"/>
        </w:rPr>
        <w:t xml:space="preserve">   </w:t>
      </w:r>
      <w:r>
        <w:rPr>
          <w:rFonts w:hint="eastAsia" w:ascii="仿宋_GB2312" w:eastAsia="仿宋_GB2312"/>
          <w:b w:val="0"/>
          <w:bCs w:val="0"/>
          <w:sz w:val="28"/>
          <w:szCs w:val="28"/>
          <w:highlight w:val="none"/>
        </w:rPr>
        <w:t>报表详见附件。</w:t>
      </w:r>
    </w:p>
    <w:p>
      <w:pPr>
        <w:tabs>
          <w:tab w:val="center" w:pos="6979"/>
        </w:tabs>
        <w:spacing w:before="156" w:beforeLines="50" w:after="156" w:afterLines="50"/>
        <w:jc w:val="center"/>
        <w:rPr>
          <w:rFonts w:ascii="宋体" w:hAnsi="宋体"/>
          <w:b/>
          <w:sz w:val="40"/>
          <w:szCs w:val="40"/>
          <w:highlight w:val="none"/>
        </w:rPr>
      </w:pPr>
      <w:r>
        <w:rPr>
          <w:rFonts w:hint="eastAsia" w:ascii="宋体" w:hAnsi="宋体" w:cs="宋体"/>
          <w:b/>
          <w:bCs/>
          <w:spacing w:val="40"/>
          <w:kern w:val="0"/>
          <w:sz w:val="40"/>
          <w:szCs w:val="40"/>
          <w:highlight w:val="none"/>
        </w:rPr>
        <w:t xml:space="preserve">第二部分 </w:t>
      </w:r>
      <w:r>
        <w:rPr>
          <w:rFonts w:hint="eastAsia" w:ascii="宋体" w:hAnsi="宋体"/>
          <w:b/>
          <w:spacing w:val="40"/>
          <w:sz w:val="40"/>
          <w:szCs w:val="40"/>
          <w:highlight w:val="none"/>
        </w:rPr>
        <w:t>2025年度部门决算说明</w:t>
      </w:r>
    </w:p>
    <w:p>
      <w:pPr>
        <w:tabs>
          <w:tab w:val="center" w:pos="6979"/>
        </w:tabs>
        <w:spacing w:line="580" w:lineRule="exact"/>
        <w:ind w:firstLine="548" w:firstLineChars="196"/>
        <w:rPr>
          <w:rFonts w:ascii="黑体" w:eastAsia="黑体"/>
          <w:b/>
          <w:bCs w:val="0"/>
          <w:sz w:val="28"/>
          <w:szCs w:val="28"/>
          <w:highlight w:val="none"/>
        </w:rPr>
      </w:pPr>
      <w:r>
        <w:rPr>
          <w:rFonts w:hint="eastAsia" w:ascii="黑体" w:eastAsia="黑体"/>
          <w:b/>
          <w:bCs w:val="0"/>
          <w:sz w:val="28"/>
          <w:szCs w:val="28"/>
          <w:highlight w:val="none"/>
        </w:rPr>
        <w:t>一、部门/单位基本情况</w:t>
      </w:r>
    </w:p>
    <w:p>
      <w:pPr>
        <w:keepNext w:val="0"/>
        <w:keepLines w:val="0"/>
        <w:pageBreakBefore w:val="0"/>
        <w:tabs>
          <w:tab w:val="center" w:pos="6979"/>
        </w:tabs>
        <w:kinsoku/>
        <w:wordWrap/>
        <w:overflowPunct/>
        <w:topLinePunct w:val="0"/>
        <w:bidi w:val="0"/>
        <w:spacing w:line="560" w:lineRule="exact"/>
        <w:ind w:firstLine="560" w:firstLineChars="200"/>
        <w:jc w:val="both"/>
        <w:textAlignment w:val="auto"/>
        <w:rPr>
          <w:rFonts w:hint="eastAsia" w:ascii="仿宋_GB2312" w:eastAsia="仿宋_GB2312"/>
          <w:sz w:val="28"/>
          <w:szCs w:val="28"/>
          <w:highlight w:val="none"/>
        </w:rPr>
      </w:pPr>
      <w:r>
        <w:rPr>
          <w:rFonts w:hint="eastAsia" w:ascii="仿宋_GB2312" w:eastAsia="仿宋_GB2312"/>
          <w:sz w:val="28"/>
          <w:szCs w:val="28"/>
          <w:highlight w:val="none"/>
        </w:rPr>
        <w:t>（一</w:t>
      </w:r>
      <w:r>
        <w:rPr>
          <w:rFonts w:ascii="仿宋_GB2312" w:eastAsia="仿宋_GB2312"/>
          <w:sz w:val="28"/>
          <w:szCs w:val="28"/>
          <w:highlight w:val="none"/>
        </w:rPr>
        <w:t>）</w:t>
      </w:r>
      <w:r>
        <w:rPr>
          <w:rFonts w:hint="eastAsia" w:ascii="仿宋_GB2312" w:eastAsia="仿宋_GB2312"/>
          <w:sz w:val="28"/>
          <w:szCs w:val="28"/>
          <w:highlight w:val="none"/>
        </w:rPr>
        <w:t>本部门职责情况</w:t>
      </w:r>
    </w:p>
    <w:p>
      <w:pPr>
        <w:keepNext w:val="0"/>
        <w:keepLines w:val="0"/>
        <w:pageBreakBefore w:val="0"/>
        <w:tabs>
          <w:tab w:val="center" w:pos="6979"/>
        </w:tabs>
        <w:kinsoku/>
        <w:wordWrap/>
        <w:overflowPunct/>
        <w:topLinePunct w:val="0"/>
        <w:bidi w:val="0"/>
        <w:spacing w:line="560" w:lineRule="exact"/>
        <w:ind w:firstLine="560" w:firstLineChars="200"/>
        <w:jc w:val="both"/>
        <w:textAlignment w:val="auto"/>
        <w:rPr>
          <w:rFonts w:hint="eastAsia" w:ascii="仿宋_GB2312" w:eastAsia="仿宋_GB2312" w:cs="Times New Roman"/>
          <w:sz w:val="28"/>
          <w:szCs w:val="28"/>
          <w:highlight w:val="none"/>
          <w:lang w:val="en-US" w:eastAsia="zh-CN"/>
        </w:rPr>
      </w:pPr>
      <w:r>
        <w:rPr>
          <w:rFonts w:hint="eastAsia" w:ascii="仿宋_GB2312" w:eastAsia="仿宋_GB2312" w:cs="Times New Roman"/>
          <w:sz w:val="28"/>
          <w:szCs w:val="28"/>
          <w:highlight w:val="none"/>
          <w:lang w:val="en-US" w:eastAsia="zh-CN"/>
        </w:rPr>
        <w:t>1.贯彻执行国家有关医疗保险、生育保险、医疗救助等医疗保障的法律法规和政策规定，拟订本区医疗保障相关政策、规划、标准、办法并组织实施；</w:t>
      </w:r>
    </w:p>
    <w:p>
      <w:pPr>
        <w:keepNext w:val="0"/>
        <w:keepLines w:val="0"/>
        <w:pageBreakBefore w:val="0"/>
        <w:tabs>
          <w:tab w:val="center" w:pos="6979"/>
        </w:tabs>
        <w:kinsoku/>
        <w:wordWrap/>
        <w:overflowPunct/>
        <w:topLinePunct w:val="0"/>
        <w:bidi w:val="0"/>
        <w:spacing w:line="560" w:lineRule="exact"/>
        <w:ind w:firstLine="560" w:firstLineChars="200"/>
        <w:jc w:val="both"/>
        <w:textAlignment w:val="auto"/>
        <w:rPr>
          <w:rFonts w:hint="eastAsia" w:ascii="仿宋_GB2312" w:eastAsia="仿宋_GB2312" w:cs="Times New Roman"/>
          <w:sz w:val="28"/>
          <w:szCs w:val="28"/>
          <w:highlight w:val="none"/>
          <w:lang w:val="en-US" w:eastAsia="zh-CN"/>
        </w:rPr>
      </w:pPr>
      <w:r>
        <w:rPr>
          <w:rFonts w:hint="eastAsia" w:ascii="仿宋_GB2312" w:eastAsia="仿宋_GB2312" w:cs="Times New Roman"/>
          <w:sz w:val="28"/>
          <w:szCs w:val="28"/>
          <w:highlight w:val="none"/>
          <w:lang w:val="en-US" w:eastAsia="zh-CN"/>
        </w:rPr>
        <w:t>2.负责本区医疗保障基金征缴（拨付）、支付和管理，做好医疗保障基金管理工作；</w:t>
      </w:r>
    </w:p>
    <w:p>
      <w:pPr>
        <w:keepNext w:val="0"/>
        <w:keepLines w:val="0"/>
        <w:pageBreakBefore w:val="0"/>
        <w:tabs>
          <w:tab w:val="center" w:pos="6979"/>
        </w:tabs>
        <w:kinsoku/>
        <w:wordWrap/>
        <w:overflowPunct/>
        <w:topLinePunct w:val="0"/>
        <w:bidi w:val="0"/>
        <w:spacing w:line="560" w:lineRule="exact"/>
        <w:ind w:firstLine="560" w:firstLineChars="200"/>
        <w:jc w:val="both"/>
        <w:textAlignment w:val="auto"/>
        <w:rPr>
          <w:rFonts w:hint="eastAsia" w:ascii="仿宋_GB2312" w:eastAsia="仿宋_GB2312" w:cs="Times New Roman"/>
          <w:sz w:val="28"/>
          <w:szCs w:val="28"/>
          <w:highlight w:val="none"/>
          <w:lang w:val="en-US" w:eastAsia="zh-CN"/>
        </w:rPr>
      </w:pPr>
      <w:r>
        <w:rPr>
          <w:rFonts w:hint="eastAsia" w:ascii="仿宋_GB2312" w:eastAsia="仿宋_GB2312" w:cs="Times New Roman"/>
          <w:sz w:val="28"/>
          <w:szCs w:val="28"/>
          <w:highlight w:val="none"/>
          <w:lang w:val="en-US" w:eastAsia="zh-CN"/>
        </w:rPr>
        <w:t>3.贯彻执行本市医疗保障筹资和待遇政策。落实本市公费医疗政策。负责本区离休干部医疗费用统筹工作。落实好长期护理保险制度改革方案；</w:t>
      </w:r>
    </w:p>
    <w:p>
      <w:pPr>
        <w:keepNext w:val="0"/>
        <w:keepLines w:val="0"/>
        <w:pageBreakBefore w:val="0"/>
        <w:tabs>
          <w:tab w:val="center" w:pos="6979"/>
        </w:tabs>
        <w:kinsoku/>
        <w:wordWrap/>
        <w:overflowPunct/>
        <w:topLinePunct w:val="0"/>
        <w:bidi w:val="0"/>
        <w:spacing w:line="560" w:lineRule="exact"/>
        <w:ind w:firstLine="560" w:firstLineChars="200"/>
        <w:jc w:val="both"/>
        <w:textAlignment w:val="auto"/>
        <w:rPr>
          <w:rFonts w:hint="eastAsia" w:ascii="仿宋_GB2312" w:eastAsia="仿宋_GB2312" w:cs="Times New Roman"/>
          <w:sz w:val="28"/>
          <w:szCs w:val="28"/>
          <w:highlight w:val="none"/>
          <w:lang w:val="en-US" w:eastAsia="zh-CN"/>
        </w:rPr>
      </w:pPr>
      <w:r>
        <w:rPr>
          <w:rFonts w:hint="eastAsia" w:ascii="仿宋_GB2312" w:eastAsia="仿宋_GB2312" w:cs="Times New Roman"/>
          <w:sz w:val="28"/>
          <w:szCs w:val="28"/>
          <w:highlight w:val="none"/>
          <w:lang w:val="en-US" w:eastAsia="zh-CN"/>
        </w:rPr>
        <w:t>4.贯彻执行好本市药品、医用耗材、医疗服务项目、医疗服务设施等医保目录和支付标准等政策。贯彻执行好本市药品、医用耗材、医疗服务项目、医疗服务设施收费等政策；</w:t>
      </w:r>
    </w:p>
    <w:p>
      <w:pPr>
        <w:keepNext w:val="0"/>
        <w:keepLines w:val="0"/>
        <w:pageBreakBefore w:val="0"/>
        <w:tabs>
          <w:tab w:val="center" w:pos="6979"/>
        </w:tabs>
        <w:kinsoku/>
        <w:wordWrap/>
        <w:overflowPunct/>
        <w:topLinePunct w:val="0"/>
        <w:bidi w:val="0"/>
        <w:spacing w:line="560" w:lineRule="exact"/>
        <w:ind w:firstLine="560" w:firstLineChars="200"/>
        <w:jc w:val="both"/>
        <w:textAlignment w:val="auto"/>
        <w:rPr>
          <w:rFonts w:hint="eastAsia" w:ascii="仿宋_GB2312" w:eastAsia="仿宋_GB2312" w:cs="Times New Roman"/>
          <w:sz w:val="28"/>
          <w:szCs w:val="28"/>
          <w:highlight w:val="none"/>
          <w:lang w:val="en-US" w:eastAsia="zh-CN"/>
        </w:rPr>
      </w:pPr>
      <w:r>
        <w:rPr>
          <w:rFonts w:hint="eastAsia" w:ascii="仿宋_GB2312" w:eastAsia="仿宋_GB2312" w:cs="Times New Roman"/>
          <w:sz w:val="28"/>
          <w:szCs w:val="28"/>
          <w:highlight w:val="none"/>
          <w:lang w:val="en-US" w:eastAsia="zh-CN"/>
        </w:rPr>
        <w:t>5.协助市医疗保障局开展本区医疗机构药品、医疗器械及非械医用耗材集中采购的实施工作，并配合做好辖区内药品、医疗器械及非械医用耗材集中采购监督管理工作；</w:t>
      </w:r>
    </w:p>
    <w:p>
      <w:pPr>
        <w:keepNext w:val="0"/>
        <w:keepLines w:val="0"/>
        <w:pageBreakBefore w:val="0"/>
        <w:tabs>
          <w:tab w:val="center" w:pos="6979"/>
        </w:tabs>
        <w:kinsoku/>
        <w:wordWrap/>
        <w:overflowPunct/>
        <w:topLinePunct w:val="0"/>
        <w:bidi w:val="0"/>
        <w:spacing w:line="560" w:lineRule="exact"/>
        <w:ind w:firstLine="560" w:firstLineChars="200"/>
        <w:jc w:val="both"/>
        <w:textAlignment w:val="auto"/>
        <w:rPr>
          <w:rFonts w:hint="eastAsia" w:ascii="仿宋_GB2312" w:eastAsia="仿宋_GB2312" w:cs="Times New Roman"/>
          <w:sz w:val="28"/>
          <w:szCs w:val="28"/>
          <w:highlight w:val="none"/>
          <w:lang w:val="en-US" w:eastAsia="zh-CN"/>
        </w:rPr>
      </w:pPr>
      <w:r>
        <w:rPr>
          <w:rFonts w:hint="eastAsia" w:ascii="仿宋_GB2312" w:eastAsia="仿宋_GB2312" w:cs="Times New Roman"/>
          <w:sz w:val="28"/>
          <w:szCs w:val="28"/>
          <w:highlight w:val="none"/>
          <w:lang w:val="en-US" w:eastAsia="zh-CN"/>
        </w:rPr>
        <w:t>6.负责本区医疗保障定点医疗机构协议管理等工作，落实信用评价体系和信息披露制度，监督管理纳入医保范围的医疗服务行为和医疗费用，依法查处医疗保障领域违法违规行为；</w:t>
      </w:r>
    </w:p>
    <w:p>
      <w:pPr>
        <w:keepNext w:val="0"/>
        <w:keepLines w:val="0"/>
        <w:pageBreakBefore w:val="0"/>
        <w:tabs>
          <w:tab w:val="center" w:pos="6979"/>
        </w:tabs>
        <w:kinsoku/>
        <w:wordWrap/>
        <w:overflowPunct/>
        <w:topLinePunct w:val="0"/>
        <w:bidi w:val="0"/>
        <w:spacing w:line="560" w:lineRule="exact"/>
        <w:ind w:firstLine="560" w:firstLineChars="200"/>
        <w:jc w:val="both"/>
        <w:textAlignment w:val="auto"/>
        <w:rPr>
          <w:rFonts w:hint="eastAsia" w:ascii="仿宋_GB2312" w:eastAsia="仿宋_GB2312" w:cs="Times New Roman"/>
          <w:sz w:val="28"/>
          <w:szCs w:val="28"/>
          <w:highlight w:val="none"/>
          <w:lang w:val="en-US" w:eastAsia="zh-CN"/>
        </w:rPr>
      </w:pPr>
      <w:r>
        <w:rPr>
          <w:rFonts w:hint="eastAsia" w:ascii="仿宋_GB2312" w:eastAsia="仿宋_GB2312" w:cs="Times New Roman"/>
          <w:sz w:val="28"/>
          <w:szCs w:val="28"/>
          <w:highlight w:val="none"/>
          <w:lang w:val="en-US" w:eastAsia="zh-CN"/>
        </w:rPr>
        <w:t>7.负责本区医疗保障经办管理、公共服务体系和信息化建设。贯彻执行异地就医管理、费用结算政策。落实医疗保障关系转移接续制度；</w:t>
      </w:r>
    </w:p>
    <w:p>
      <w:pPr>
        <w:keepNext w:val="0"/>
        <w:keepLines w:val="0"/>
        <w:pageBreakBefore w:val="0"/>
        <w:tabs>
          <w:tab w:val="center" w:pos="6979"/>
        </w:tabs>
        <w:kinsoku/>
        <w:wordWrap/>
        <w:overflowPunct/>
        <w:topLinePunct w:val="0"/>
        <w:bidi w:val="0"/>
        <w:spacing w:line="560" w:lineRule="exact"/>
        <w:ind w:firstLine="560" w:firstLineChars="200"/>
        <w:jc w:val="both"/>
        <w:textAlignment w:val="auto"/>
        <w:rPr>
          <w:rFonts w:ascii="仿宋_GB2312" w:eastAsia="仿宋_GB2312"/>
          <w:sz w:val="28"/>
          <w:szCs w:val="28"/>
          <w:highlight w:val="none"/>
        </w:rPr>
      </w:pPr>
      <w:r>
        <w:rPr>
          <w:rFonts w:hint="eastAsia" w:ascii="仿宋_GB2312" w:eastAsia="仿宋_GB2312" w:cs="Times New Roman"/>
          <w:sz w:val="28"/>
          <w:szCs w:val="28"/>
          <w:highlight w:val="none"/>
          <w:lang w:val="en-US" w:eastAsia="zh-CN"/>
        </w:rPr>
        <w:t>8.完成区委、区政府交办的其他任务。</w:t>
      </w:r>
    </w:p>
    <w:p>
      <w:pPr>
        <w:tabs>
          <w:tab w:val="center" w:pos="6979"/>
        </w:tabs>
        <w:spacing w:line="580" w:lineRule="exact"/>
        <w:ind w:firstLine="700" w:firstLineChars="250"/>
        <w:rPr>
          <w:rFonts w:hint="eastAsia" w:ascii="仿宋_GB2312" w:eastAsia="仿宋_GB2312"/>
          <w:sz w:val="28"/>
          <w:szCs w:val="28"/>
          <w:highlight w:val="none"/>
        </w:rPr>
      </w:pPr>
      <w:r>
        <w:rPr>
          <w:rFonts w:hint="eastAsia" w:ascii="仿宋_GB2312" w:eastAsia="仿宋_GB2312"/>
          <w:sz w:val="28"/>
          <w:szCs w:val="28"/>
          <w:highlight w:val="none"/>
        </w:rPr>
        <w:t>（二）机构</w:t>
      </w:r>
      <w:r>
        <w:rPr>
          <w:rFonts w:ascii="仿宋_GB2312" w:eastAsia="仿宋_GB2312"/>
          <w:sz w:val="28"/>
          <w:szCs w:val="28"/>
          <w:highlight w:val="none"/>
        </w:rPr>
        <w:t>设置</w:t>
      </w:r>
      <w:r>
        <w:rPr>
          <w:rFonts w:hint="eastAsia" w:ascii="仿宋_GB2312" w:eastAsia="仿宋_GB2312"/>
          <w:sz w:val="28"/>
          <w:szCs w:val="28"/>
          <w:highlight w:val="none"/>
        </w:rPr>
        <w:t>情况</w:t>
      </w:r>
    </w:p>
    <w:p>
      <w:pPr>
        <w:keepNext w:val="0"/>
        <w:keepLines w:val="0"/>
        <w:pageBreakBefore w:val="0"/>
        <w:tabs>
          <w:tab w:val="center" w:pos="6979"/>
        </w:tabs>
        <w:kinsoku/>
        <w:wordWrap/>
        <w:overflowPunct/>
        <w:topLinePunct w:val="0"/>
        <w:bidi w:val="0"/>
        <w:spacing w:line="560" w:lineRule="exact"/>
        <w:ind w:firstLine="560" w:firstLineChars="200"/>
        <w:jc w:val="both"/>
        <w:textAlignment w:val="auto"/>
        <w:rPr>
          <w:highlight w:val="none"/>
        </w:rPr>
      </w:pPr>
      <w:r>
        <w:rPr>
          <w:rFonts w:hint="eastAsia" w:ascii="仿宋_GB2312" w:eastAsia="仿宋_GB2312"/>
          <w:sz w:val="28"/>
          <w:szCs w:val="28"/>
          <w:highlight w:val="none"/>
        </w:rPr>
        <w:t>本部门共</w:t>
      </w:r>
      <w:r>
        <w:rPr>
          <w:rFonts w:hint="eastAsia" w:ascii="仿宋_GB2312" w:hAnsi="宋体" w:eastAsia="仿宋_GB2312" w:cs="宋体"/>
          <w:bCs/>
          <w:kern w:val="0"/>
          <w:sz w:val="28"/>
          <w:szCs w:val="28"/>
          <w:highlight w:val="none"/>
        </w:rPr>
        <w:t>设</w:t>
      </w:r>
      <w:r>
        <w:rPr>
          <w:rFonts w:hint="eastAsia" w:ascii="仿宋_GB2312" w:eastAsia="仿宋_GB2312"/>
          <w:color w:val="000000"/>
          <w:sz w:val="28"/>
          <w:szCs w:val="28"/>
          <w:highlight w:val="none"/>
          <w:lang w:val="en-US" w:eastAsia="zh-CN"/>
        </w:rPr>
        <w:t>3</w:t>
      </w:r>
      <w:r>
        <w:rPr>
          <w:rFonts w:hint="eastAsia" w:ascii="仿宋_GB2312" w:hAnsi="宋体" w:eastAsia="仿宋_GB2312" w:cs="宋体"/>
          <w:bCs/>
          <w:kern w:val="0"/>
          <w:sz w:val="28"/>
          <w:szCs w:val="28"/>
          <w:highlight w:val="none"/>
        </w:rPr>
        <w:t>个</w:t>
      </w:r>
      <w:r>
        <w:rPr>
          <w:rFonts w:hint="eastAsia" w:ascii="仿宋_GB2312" w:hAnsi="宋体" w:eastAsia="仿宋_GB2312" w:cs="宋体"/>
          <w:bCs/>
          <w:kern w:val="0"/>
          <w:sz w:val="28"/>
          <w:szCs w:val="28"/>
          <w:highlight w:val="none"/>
          <w:lang w:eastAsia="zh-CN"/>
        </w:rPr>
        <w:t>岗位，</w:t>
      </w:r>
      <w:r>
        <w:rPr>
          <w:rFonts w:hint="eastAsia" w:ascii="仿宋_GB2312" w:hAnsi="宋体" w:eastAsia="仿宋_GB2312" w:cs="宋体"/>
          <w:bCs/>
          <w:kern w:val="0"/>
          <w:sz w:val="28"/>
          <w:szCs w:val="28"/>
          <w:highlight w:val="none"/>
          <w:lang w:val="en-US" w:eastAsia="zh-CN"/>
        </w:rPr>
        <w:t>为综合管理岗、价格管理岗、基金管理岗；</w:t>
      </w:r>
      <w:r>
        <w:rPr>
          <w:rFonts w:hint="eastAsia" w:ascii="仿宋_GB2312" w:hAnsi="宋体" w:eastAsia="仿宋_GB2312" w:cs="宋体"/>
          <w:bCs/>
          <w:kern w:val="0"/>
          <w:sz w:val="28"/>
          <w:szCs w:val="28"/>
          <w:highlight w:val="none"/>
        </w:rPr>
        <w:t>下设</w:t>
      </w:r>
      <w:r>
        <w:rPr>
          <w:rFonts w:hint="eastAsia" w:ascii="仿宋_GB2312" w:eastAsia="仿宋_GB2312"/>
          <w:color w:val="000000"/>
          <w:sz w:val="28"/>
          <w:szCs w:val="28"/>
          <w:highlight w:val="none"/>
          <w:lang w:val="en-US" w:eastAsia="zh-CN"/>
        </w:rPr>
        <w:t>1</w:t>
      </w:r>
      <w:r>
        <w:rPr>
          <w:rFonts w:hint="eastAsia" w:ascii="仿宋_GB2312" w:hAnsi="宋体" w:eastAsia="仿宋_GB2312" w:cs="宋体"/>
          <w:bCs/>
          <w:kern w:val="0"/>
          <w:sz w:val="28"/>
          <w:szCs w:val="28"/>
          <w:highlight w:val="none"/>
        </w:rPr>
        <w:t>个</w:t>
      </w:r>
      <w:r>
        <w:rPr>
          <w:rFonts w:hint="eastAsia" w:ascii="仿宋_GB2312" w:eastAsia="仿宋_GB2312"/>
          <w:sz w:val="28"/>
          <w:szCs w:val="28"/>
          <w:highlight w:val="none"/>
        </w:rPr>
        <w:t>参照公务员法管理事业单位</w:t>
      </w:r>
      <w:r>
        <w:rPr>
          <w:rFonts w:hint="eastAsia" w:ascii="仿宋_GB2312" w:hAnsi="宋体" w:eastAsia="仿宋_GB2312" w:cs="宋体"/>
          <w:bCs/>
          <w:kern w:val="0"/>
          <w:sz w:val="28"/>
          <w:szCs w:val="28"/>
          <w:highlight w:val="none"/>
          <w:lang w:eastAsia="zh-CN"/>
        </w:rPr>
        <w:t>，</w:t>
      </w:r>
      <w:r>
        <w:rPr>
          <w:rFonts w:hint="eastAsia" w:ascii="仿宋_GB2312" w:hAnsi="宋体" w:eastAsia="仿宋_GB2312" w:cs="宋体"/>
          <w:bCs/>
          <w:kern w:val="0"/>
          <w:sz w:val="28"/>
          <w:szCs w:val="28"/>
          <w:highlight w:val="none"/>
          <w:lang w:val="en-US" w:eastAsia="zh-CN"/>
        </w:rPr>
        <w:t>为北京市门头沟区医疗保险事务管理中心。</w:t>
      </w:r>
    </w:p>
    <w:p>
      <w:pPr>
        <w:tabs>
          <w:tab w:val="center" w:pos="6979"/>
        </w:tabs>
        <w:spacing w:line="580" w:lineRule="exact"/>
        <w:rPr>
          <w:rFonts w:ascii="黑体" w:eastAsia="黑体"/>
          <w:b/>
          <w:sz w:val="28"/>
          <w:szCs w:val="28"/>
          <w:highlight w:val="none"/>
        </w:rPr>
      </w:pPr>
      <w:r>
        <w:rPr>
          <w:rFonts w:hint="eastAsia" w:ascii="仿宋_GB2312" w:eastAsia="仿宋_GB2312"/>
          <w:b/>
          <w:sz w:val="32"/>
          <w:szCs w:val="32"/>
          <w:highlight w:val="none"/>
        </w:rPr>
        <w:t xml:space="preserve">   </w:t>
      </w:r>
      <w:r>
        <w:rPr>
          <w:rFonts w:hint="eastAsia" w:ascii="黑体" w:eastAsia="黑体"/>
          <w:b/>
          <w:sz w:val="28"/>
          <w:szCs w:val="28"/>
          <w:highlight w:val="none"/>
        </w:rPr>
        <w:t>二、收入支出决算总体情况说明</w:t>
      </w:r>
    </w:p>
    <w:p>
      <w:pPr>
        <w:tabs>
          <w:tab w:val="center" w:pos="6979"/>
        </w:tabs>
        <w:spacing w:line="580" w:lineRule="exact"/>
        <w:ind w:firstLine="570"/>
        <w:rPr>
          <w:rFonts w:ascii="仿宋_GB2312" w:eastAsia="仿宋_GB2312"/>
          <w:sz w:val="28"/>
          <w:szCs w:val="28"/>
          <w:highlight w:val="none"/>
        </w:rPr>
      </w:pPr>
      <w:r>
        <w:rPr>
          <w:rFonts w:hint="eastAsia" w:ascii="仿宋_GB2312" w:eastAsia="仿宋_GB2312"/>
          <w:sz w:val="28"/>
          <w:szCs w:val="28"/>
          <w:highlight w:val="none"/>
        </w:rPr>
        <w:t>2025年度收、</w:t>
      </w:r>
      <w:r>
        <w:rPr>
          <w:rFonts w:ascii="仿宋_GB2312" w:eastAsia="仿宋_GB2312"/>
          <w:sz w:val="28"/>
          <w:szCs w:val="28"/>
          <w:highlight w:val="none"/>
        </w:rPr>
        <w:t>支</w:t>
      </w:r>
      <w:r>
        <w:rPr>
          <w:rFonts w:hint="eastAsia" w:ascii="仿宋_GB2312" w:eastAsia="仿宋_GB2312"/>
          <w:sz w:val="28"/>
          <w:szCs w:val="28"/>
          <w:highlight w:val="none"/>
        </w:rPr>
        <w:t>总计</w:t>
      </w:r>
      <w:r>
        <w:rPr>
          <w:rFonts w:ascii="仿宋_GB2312" w:eastAsia="仿宋_GB2312"/>
          <w:sz w:val="28"/>
          <w:szCs w:val="28"/>
          <w:highlight w:val="none"/>
        </w:rPr>
        <w:t>187</w:t>
      </w:r>
      <w:r>
        <w:rPr>
          <w:rFonts w:hint="eastAsia" w:ascii="仿宋_GB2312" w:eastAsia="仿宋_GB2312"/>
          <w:sz w:val="28"/>
          <w:szCs w:val="28"/>
          <w:highlight w:val="none"/>
          <w:lang w:val="en-US" w:eastAsia="zh-CN"/>
        </w:rPr>
        <w:t>,</w:t>
      </w:r>
      <w:r>
        <w:rPr>
          <w:rFonts w:ascii="仿宋_GB2312" w:eastAsia="仿宋_GB2312"/>
          <w:sz w:val="28"/>
          <w:szCs w:val="28"/>
          <w:highlight w:val="none"/>
        </w:rPr>
        <w:t>699</w:t>
      </w:r>
      <w:r>
        <w:rPr>
          <w:rFonts w:hint="eastAsia" w:ascii="仿宋_GB2312" w:eastAsia="仿宋_GB2312"/>
          <w:sz w:val="28"/>
          <w:szCs w:val="28"/>
          <w:highlight w:val="none"/>
          <w:lang w:val="en-US" w:eastAsia="zh-CN"/>
        </w:rPr>
        <w:t>,</w:t>
      </w:r>
      <w:r>
        <w:rPr>
          <w:rFonts w:ascii="仿宋_GB2312" w:eastAsia="仿宋_GB2312"/>
          <w:sz w:val="28"/>
          <w:szCs w:val="28"/>
          <w:highlight w:val="none"/>
        </w:rPr>
        <w:t>462.49</w:t>
      </w:r>
      <w:r>
        <w:rPr>
          <w:rFonts w:hint="eastAsia" w:ascii="仿宋_GB2312" w:eastAsia="仿宋_GB2312"/>
          <w:sz w:val="28"/>
          <w:szCs w:val="28"/>
          <w:highlight w:val="none"/>
        </w:rPr>
        <w:t>元，</w:t>
      </w:r>
      <w:r>
        <w:rPr>
          <w:rFonts w:ascii="仿宋_GB2312" w:eastAsia="仿宋_GB2312"/>
          <w:sz w:val="28"/>
          <w:szCs w:val="28"/>
          <w:highlight w:val="none"/>
        </w:rPr>
        <w:t>比上年增加</w:t>
      </w:r>
      <w:r>
        <w:rPr>
          <w:rFonts w:hint="eastAsia" w:ascii="仿宋_GB2312" w:eastAsia="仿宋_GB2312"/>
          <w:sz w:val="28"/>
          <w:szCs w:val="28"/>
          <w:highlight w:val="none"/>
        </w:rPr>
        <w:t>3</w:t>
      </w:r>
      <w:r>
        <w:rPr>
          <w:rFonts w:hint="eastAsia" w:ascii="仿宋_GB2312" w:eastAsia="仿宋_GB2312"/>
          <w:sz w:val="28"/>
          <w:szCs w:val="28"/>
          <w:highlight w:val="none"/>
          <w:lang w:val="en-US" w:eastAsia="zh-CN"/>
        </w:rPr>
        <w:t>,</w:t>
      </w:r>
      <w:r>
        <w:rPr>
          <w:rFonts w:hint="eastAsia" w:ascii="仿宋_GB2312" w:eastAsia="仿宋_GB2312"/>
          <w:sz w:val="28"/>
          <w:szCs w:val="28"/>
          <w:highlight w:val="none"/>
        </w:rPr>
        <w:t>253</w:t>
      </w:r>
      <w:r>
        <w:rPr>
          <w:rFonts w:hint="eastAsia" w:ascii="仿宋_GB2312" w:eastAsia="仿宋_GB2312"/>
          <w:sz w:val="28"/>
          <w:szCs w:val="28"/>
          <w:highlight w:val="none"/>
          <w:lang w:val="en-US" w:eastAsia="zh-CN"/>
        </w:rPr>
        <w:t>,</w:t>
      </w:r>
      <w:r>
        <w:rPr>
          <w:rFonts w:hint="eastAsia" w:ascii="仿宋_GB2312" w:eastAsia="仿宋_GB2312"/>
          <w:sz w:val="28"/>
          <w:szCs w:val="28"/>
          <w:highlight w:val="none"/>
        </w:rPr>
        <w:t>031.14元，增长</w:t>
      </w:r>
      <w:r>
        <w:rPr>
          <w:rFonts w:hint="eastAsia" w:ascii="仿宋_GB2312" w:eastAsia="仿宋_GB2312"/>
          <w:sz w:val="28"/>
          <w:szCs w:val="28"/>
          <w:highlight w:val="none"/>
          <w:lang w:val="en-US" w:eastAsia="zh-CN"/>
        </w:rPr>
        <w:t>1.8</w:t>
      </w:r>
      <w:r>
        <w:rPr>
          <w:rFonts w:hint="eastAsia" w:ascii="仿宋_GB2312" w:eastAsia="仿宋_GB2312"/>
          <w:sz w:val="28"/>
          <w:szCs w:val="28"/>
          <w:highlight w:val="none"/>
        </w:rPr>
        <w:t>%。</w:t>
      </w:r>
    </w:p>
    <w:p>
      <w:pPr>
        <w:tabs>
          <w:tab w:val="center" w:pos="6979"/>
        </w:tabs>
        <w:spacing w:line="580" w:lineRule="exact"/>
        <w:ind w:firstLine="570"/>
        <w:rPr>
          <w:rFonts w:ascii="仿宋_GB2312" w:eastAsia="仿宋_GB2312"/>
          <w:sz w:val="28"/>
          <w:szCs w:val="28"/>
          <w:highlight w:val="none"/>
        </w:rPr>
      </w:pPr>
      <w:r>
        <w:rPr>
          <w:rFonts w:hint="eastAsia" w:ascii="仿宋_GB2312" w:eastAsia="仿宋_GB2312"/>
          <w:sz w:val="28"/>
          <w:szCs w:val="28"/>
          <w:highlight w:val="none"/>
        </w:rPr>
        <w:t>（一</w:t>
      </w:r>
      <w:r>
        <w:rPr>
          <w:rFonts w:ascii="仿宋_GB2312" w:eastAsia="仿宋_GB2312"/>
          <w:sz w:val="28"/>
          <w:szCs w:val="28"/>
          <w:highlight w:val="none"/>
        </w:rPr>
        <w:t>）</w:t>
      </w:r>
      <w:r>
        <w:rPr>
          <w:rFonts w:hint="eastAsia" w:ascii="仿宋_GB2312" w:eastAsia="仿宋_GB2312"/>
          <w:sz w:val="28"/>
          <w:szCs w:val="28"/>
          <w:highlight w:val="none"/>
        </w:rPr>
        <w:t>收入决算</w:t>
      </w:r>
      <w:r>
        <w:rPr>
          <w:rFonts w:ascii="仿宋_GB2312" w:eastAsia="仿宋_GB2312"/>
          <w:sz w:val="28"/>
          <w:szCs w:val="28"/>
          <w:highlight w:val="none"/>
        </w:rPr>
        <w:t>说明</w:t>
      </w:r>
    </w:p>
    <w:p>
      <w:pPr>
        <w:keepNext w:val="0"/>
        <w:keepLines w:val="0"/>
        <w:pageBreakBefore w:val="0"/>
        <w:tabs>
          <w:tab w:val="center" w:pos="6979"/>
        </w:tabs>
        <w:kinsoku/>
        <w:wordWrap/>
        <w:overflowPunct/>
        <w:topLinePunct w:val="0"/>
        <w:bidi w:val="0"/>
        <w:spacing w:line="560" w:lineRule="exact"/>
        <w:ind w:firstLine="560" w:firstLineChars="200"/>
        <w:jc w:val="both"/>
        <w:textAlignment w:val="auto"/>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2025年度本年收入合计187,699,462.49元，比上年增加3,253,031.14元，增长1.8%。</w:t>
      </w:r>
    </w:p>
    <w:p>
      <w:pPr>
        <w:keepNext w:val="0"/>
        <w:keepLines w:val="0"/>
        <w:pageBreakBefore w:val="0"/>
        <w:tabs>
          <w:tab w:val="center" w:pos="6979"/>
        </w:tabs>
        <w:kinsoku/>
        <w:wordWrap/>
        <w:overflowPunct/>
        <w:topLinePunct w:val="0"/>
        <w:bidi w:val="0"/>
        <w:spacing w:line="560" w:lineRule="exact"/>
        <w:ind w:firstLine="560" w:firstLineChars="200"/>
        <w:jc w:val="both"/>
        <w:textAlignment w:val="auto"/>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1.财政拨款收入187,699,462.49元，占收入合计的100%。其中：一般公共预算财政拨款收入187,699,462.49元，占收入合计的100%；政府性基金预算财政拨款收入0元，占收入合计的0%；国有资本经营预算财政拨款收入0元，占收入合计的0%；</w:t>
      </w:r>
    </w:p>
    <w:p>
      <w:pPr>
        <w:keepNext w:val="0"/>
        <w:keepLines w:val="0"/>
        <w:pageBreakBefore w:val="0"/>
        <w:tabs>
          <w:tab w:val="center" w:pos="6979"/>
        </w:tabs>
        <w:kinsoku/>
        <w:wordWrap/>
        <w:overflowPunct/>
        <w:topLinePunct w:val="0"/>
        <w:bidi w:val="0"/>
        <w:spacing w:line="560" w:lineRule="exact"/>
        <w:ind w:firstLine="560" w:firstLineChars="200"/>
        <w:jc w:val="both"/>
        <w:textAlignment w:val="auto"/>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2.上级补助收入0元，占收入合计的0%；</w:t>
      </w:r>
    </w:p>
    <w:p>
      <w:pPr>
        <w:keepNext w:val="0"/>
        <w:keepLines w:val="0"/>
        <w:pageBreakBefore w:val="0"/>
        <w:tabs>
          <w:tab w:val="center" w:pos="6979"/>
        </w:tabs>
        <w:kinsoku/>
        <w:wordWrap/>
        <w:overflowPunct/>
        <w:topLinePunct w:val="0"/>
        <w:bidi w:val="0"/>
        <w:spacing w:line="560" w:lineRule="exact"/>
        <w:ind w:firstLine="560" w:firstLineChars="200"/>
        <w:jc w:val="both"/>
        <w:textAlignment w:val="auto"/>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3.事业收入0元，占收入合计的0%；</w:t>
      </w:r>
    </w:p>
    <w:p>
      <w:pPr>
        <w:keepNext w:val="0"/>
        <w:keepLines w:val="0"/>
        <w:pageBreakBefore w:val="0"/>
        <w:tabs>
          <w:tab w:val="center" w:pos="6979"/>
        </w:tabs>
        <w:kinsoku/>
        <w:wordWrap/>
        <w:overflowPunct/>
        <w:topLinePunct w:val="0"/>
        <w:bidi w:val="0"/>
        <w:spacing w:line="560" w:lineRule="exact"/>
        <w:ind w:firstLine="560" w:firstLineChars="200"/>
        <w:jc w:val="both"/>
        <w:textAlignment w:val="auto"/>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4.经营收入0元，占收入合计的0%；</w:t>
      </w:r>
    </w:p>
    <w:p>
      <w:pPr>
        <w:keepNext w:val="0"/>
        <w:keepLines w:val="0"/>
        <w:pageBreakBefore w:val="0"/>
        <w:tabs>
          <w:tab w:val="center" w:pos="6979"/>
        </w:tabs>
        <w:kinsoku/>
        <w:wordWrap/>
        <w:overflowPunct/>
        <w:topLinePunct w:val="0"/>
        <w:bidi w:val="0"/>
        <w:spacing w:line="560" w:lineRule="exact"/>
        <w:ind w:firstLine="560" w:firstLineChars="200"/>
        <w:jc w:val="both"/>
        <w:textAlignment w:val="auto"/>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5.附属单位上缴收入0元，占收入合计的0%；</w:t>
      </w:r>
    </w:p>
    <w:p>
      <w:pPr>
        <w:keepNext w:val="0"/>
        <w:keepLines w:val="0"/>
        <w:pageBreakBefore w:val="0"/>
        <w:tabs>
          <w:tab w:val="center" w:pos="6979"/>
        </w:tabs>
        <w:kinsoku/>
        <w:wordWrap/>
        <w:overflowPunct/>
        <w:topLinePunct w:val="0"/>
        <w:bidi w:val="0"/>
        <w:spacing w:line="560" w:lineRule="exact"/>
        <w:ind w:firstLine="560" w:firstLineChars="200"/>
        <w:jc w:val="both"/>
        <w:textAlignment w:val="auto"/>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6.其他收入0元，占收入合计的0%。</w:t>
      </w:r>
    </w:p>
    <w:p>
      <w:pPr>
        <w:pStyle w:val="3"/>
        <w:jc w:val="center"/>
        <w:rPr>
          <w:highlight w:val="none"/>
        </w:rPr>
      </w:pPr>
      <w:r>
        <w:rPr>
          <w:rFonts w:hint="eastAsia" w:ascii="仿宋_GB2312" w:eastAsia="仿宋_GB2312"/>
          <w:color w:val="000000"/>
          <w:sz w:val="32"/>
          <w:highlight w:val="none"/>
        </w:rPr>
        <w:t>图1：收入决算</w:t>
      </w:r>
    </w:p>
    <w:p>
      <w:pPr>
        <w:pStyle w:val="4"/>
        <w:ind w:firstLine="420"/>
        <w:jc w:val="center"/>
        <w:rPr>
          <w:highlight w:val="none"/>
        </w:rPr>
      </w:pPr>
      <w:r>
        <w:rPr>
          <w:highlight w:val="none"/>
        </w:rPr>
        <w:drawing>
          <wp:inline distT="0" distB="0" distL="0" distR="0">
            <wp:extent cx="4036695" cy="2328545"/>
            <wp:effectExtent l="4445" t="4445" r="16510" b="10160"/>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tabs>
          <w:tab w:val="center" w:pos="6979"/>
        </w:tabs>
        <w:spacing w:line="580" w:lineRule="exact"/>
        <w:ind w:firstLine="570"/>
        <w:rPr>
          <w:rFonts w:ascii="仿宋_GB2312" w:eastAsia="仿宋_GB2312"/>
          <w:sz w:val="28"/>
          <w:szCs w:val="28"/>
          <w:highlight w:val="none"/>
        </w:rPr>
      </w:pPr>
      <w:r>
        <w:rPr>
          <w:rFonts w:hint="eastAsia" w:ascii="仿宋_GB2312" w:eastAsia="仿宋_GB2312"/>
          <w:sz w:val="28"/>
          <w:szCs w:val="28"/>
          <w:highlight w:val="none"/>
        </w:rPr>
        <w:t>（二</w:t>
      </w:r>
      <w:r>
        <w:rPr>
          <w:rFonts w:ascii="仿宋_GB2312" w:eastAsia="仿宋_GB2312"/>
          <w:sz w:val="28"/>
          <w:szCs w:val="28"/>
          <w:highlight w:val="none"/>
        </w:rPr>
        <w:t>）</w:t>
      </w:r>
      <w:r>
        <w:rPr>
          <w:rFonts w:hint="eastAsia" w:ascii="仿宋_GB2312" w:eastAsia="仿宋_GB2312"/>
          <w:sz w:val="28"/>
          <w:szCs w:val="28"/>
          <w:highlight w:val="none"/>
        </w:rPr>
        <w:t>支出决算</w:t>
      </w:r>
      <w:r>
        <w:rPr>
          <w:rFonts w:ascii="仿宋_GB2312" w:eastAsia="仿宋_GB2312"/>
          <w:sz w:val="28"/>
          <w:szCs w:val="28"/>
          <w:highlight w:val="none"/>
        </w:rPr>
        <w:t>说明</w:t>
      </w:r>
    </w:p>
    <w:p>
      <w:pPr>
        <w:spacing w:line="560" w:lineRule="exact"/>
        <w:ind w:firstLine="640"/>
        <w:rPr>
          <w:rFonts w:ascii="仿宋_GB2312" w:eastAsia="仿宋_GB2312" w:cs="Droid Sans"/>
          <w:color w:val="000000"/>
          <w:sz w:val="32"/>
          <w:szCs w:val="32"/>
          <w:highlight w:val="none"/>
        </w:rPr>
      </w:pPr>
      <w:r>
        <w:rPr>
          <w:rFonts w:hint="eastAsia" w:ascii="仿宋_GB2312" w:eastAsia="仿宋_GB2312"/>
          <w:sz w:val="28"/>
          <w:szCs w:val="28"/>
          <w:highlight w:val="none"/>
        </w:rPr>
        <w:t>2025年度本年支出合计</w:t>
      </w:r>
      <w:r>
        <w:rPr>
          <w:rFonts w:ascii="仿宋_GB2312" w:eastAsia="仿宋_GB2312"/>
          <w:sz w:val="28"/>
          <w:szCs w:val="28"/>
          <w:highlight w:val="none"/>
        </w:rPr>
        <w:t>187</w:t>
      </w:r>
      <w:r>
        <w:rPr>
          <w:rFonts w:hint="eastAsia" w:ascii="仿宋_GB2312" w:eastAsia="仿宋_GB2312"/>
          <w:sz w:val="28"/>
          <w:szCs w:val="28"/>
          <w:highlight w:val="none"/>
          <w:lang w:val="en-US" w:eastAsia="zh-CN"/>
        </w:rPr>
        <w:t>,</w:t>
      </w:r>
      <w:r>
        <w:rPr>
          <w:rFonts w:ascii="仿宋_GB2312" w:eastAsia="仿宋_GB2312"/>
          <w:sz w:val="28"/>
          <w:szCs w:val="28"/>
          <w:highlight w:val="none"/>
        </w:rPr>
        <w:t>699</w:t>
      </w:r>
      <w:r>
        <w:rPr>
          <w:rFonts w:hint="eastAsia" w:ascii="仿宋_GB2312" w:eastAsia="仿宋_GB2312"/>
          <w:sz w:val="28"/>
          <w:szCs w:val="28"/>
          <w:highlight w:val="none"/>
          <w:lang w:val="en-US" w:eastAsia="zh-CN"/>
        </w:rPr>
        <w:t>,</w:t>
      </w:r>
      <w:r>
        <w:rPr>
          <w:rFonts w:ascii="仿宋_GB2312" w:eastAsia="仿宋_GB2312"/>
          <w:sz w:val="28"/>
          <w:szCs w:val="28"/>
          <w:highlight w:val="none"/>
        </w:rPr>
        <w:t>462.49</w:t>
      </w:r>
      <w:r>
        <w:rPr>
          <w:rFonts w:hint="eastAsia" w:ascii="仿宋_GB2312" w:eastAsia="仿宋_GB2312"/>
          <w:sz w:val="28"/>
          <w:szCs w:val="28"/>
          <w:highlight w:val="none"/>
        </w:rPr>
        <w:t>元，</w:t>
      </w:r>
      <w:r>
        <w:rPr>
          <w:rFonts w:ascii="仿宋_GB2312" w:eastAsia="仿宋_GB2312"/>
          <w:sz w:val="28"/>
          <w:szCs w:val="28"/>
          <w:highlight w:val="none"/>
        </w:rPr>
        <w:t>比上年增加</w:t>
      </w:r>
      <w:r>
        <w:rPr>
          <w:rFonts w:hint="eastAsia" w:ascii="仿宋_GB2312" w:eastAsia="仿宋_GB2312"/>
          <w:sz w:val="28"/>
          <w:szCs w:val="28"/>
          <w:highlight w:val="none"/>
        </w:rPr>
        <w:t>3</w:t>
      </w:r>
      <w:r>
        <w:rPr>
          <w:rFonts w:hint="eastAsia" w:ascii="仿宋_GB2312" w:eastAsia="仿宋_GB2312"/>
          <w:sz w:val="28"/>
          <w:szCs w:val="28"/>
          <w:highlight w:val="none"/>
          <w:lang w:val="en-US" w:eastAsia="zh-CN"/>
        </w:rPr>
        <w:t>,</w:t>
      </w:r>
      <w:r>
        <w:rPr>
          <w:rFonts w:hint="eastAsia" w:ascii="仿宋_GB2312" w:eastAsia="仿宋_GB2312"/>
          <w:sz w:val="28"/>
          <w:szCs w:val="28"/>
          <w:highlight w:val="none"/>
        </w:rPr>
        <w:t>253</w:t>
      </w:r>
      <w:r>
        <w:rPr>
          <w:rFonts w:hint="eastAsia" w:ascii="仿宋_GB2312" w:eastAsia="仿宋_GB2312"/>
          <w:sz w:val="28"/>
          <w:szCs w:val="28"/>
          <w:highlight w:val="none"/>
          <w:lang w:val="en-US" w:eastAsia="zh-CN"/>
        </w:rPr>
        <w:t>,</w:t>
      </w:r>
      <w:r>
        <w:rPr>
          <w:rFonts w:hint="eastAsia" w:ascii="仿宋_GB2312" w:eastAsia="仿宋_GB2312"/>
          <w:sz w:val="28"/>
          <w:szCs w:val="28"/>
          <w:highlight w:val="none"/>
        </w:rPr>
        <w:t>031.14元，增长</w:t>
      </w:r>
      <w:r>
        <w:rPr>
          <w:rFonts w:hint="eastAsia" w:ascii="仿宋_GB2312" w:eastAsia="仿宋_GB2312"/>
          <w:sz w:val="28"/>
          <w:szCs w:val="28"/>
          <w:highlight w:val="none"/>
          <w:lang w:val="en-US" w:eastAsia="zh-CN"/>
        </w:rPr>
        <w:t>1.8</w:t>
      </w:r>
      <w:r>
        <w:rPr>
          <w:rFonts w:hint="eastAsia" w:ascii="仿宋_GB2312" w:eastAsia="仿宋_GB2312"/>
          <w:sz w:val="28"/>
          <w:szCs w:val="28"/>
          <w:highlight w:val="none"/>
        </w:rPr>
        <w:t>%，其中：基本支出</w:t>
      </w:r>
      <w:r>
        <w:rPr>
          <w:rFonts w:ascii="仿宋_GB2312" w:eastAsia="仿宋_GB2312"/>
          <w:sz w:val="28"/>
          <w:szCs w:val="28"/>
          <w:highlight w:val="none"/>
        </w:rPr>
        <w:t>15</w:t>
      </w:r>
      <w:r>
        <w:rPr>
          <w:rFonts w:hint="eastAsia" w:ascii="仿宋_GB2312" w:eastAsia="仿宋_GB2312"/>
          <w:sz w:val="28"/>
          <w:szCs w:val="28"/>
          <w:highlight w:val="none"/>
          <w:lang w:val="en-US" w:eastAsia="zh-CN"/>
        </w:rPr>
        <w:t>,</w:t>
      </w:r>
      <w:r>
        <w:rPr>
          <w:rFonts w:ascii="仿宋_GB2312" w:eastAsia="仿宋_GB2312"/>
          <w:sz w:val="28"/>
          <w:szCs w:val="28"/>
          <w:highlight w:val="none"/>
        </w:rPr>
        <w:t>655</w:t>
      </w:r>
      <w:r>
        <w:rPr>
          <w:rFonts w:hint="eastAsia" w:ascii="仿宋_GB2312" w:eastAsia="仿宋_GB2312"/>
          <w:sz w:val="28"/>
          <w:szCs w:val="28"/>
          <w:highlight w:val="none"/>
          <w:lang w:val="en-US" w:eastAsia="zh-CN"/>
        </w:rPr>
        <w:t>,</w:t>
      </w:r>
      <w:r>
        <w:rPr>
          <w:rFonts w:ascii="仿宋_GB2312" w:eastAsia="仿宋_GB2312"/>
          <w:sz w:val="28"/>
          <w:szCs w:val="28"/>
          <w:highlight w:val="none"/>
        </w:rPr>
        <w:t>511.17</w:t>
      </w:r>
      <w:r>
        <w:rPr>
          <w:rFonts w:hint="eastAsia" w:ascii="仿宋_GB2312" w:eastAsia="仿宋_GB2312"/>
          <w:sz w:val="28"/>
          <w:szCs w:val="28"/>
          <w:highlight w:val="none"/>
        </w:rPr>
        <w:t>元，占支出合计的</w:t>
      </w:r>
      <w:r>
        <w:rPr>
          <w:rFonts w:hint="eastAsia" w:ascii="仿宋_GB2312" w:eastAsia="仿宋_GB2312"/>
          <w:sz w:val="28"/>
          <w:szCs w:val="28"/>
          <w:highlight w:val="none"/>
        </w:rPr>
        <w:t>8.3%</w:t>
      </w:r>
      <w:r>
        <w:rPr>
          <w:rFonts w:hint="eastAsia" w:ascii="仿宋_GB2312" w:eastAsia="仿宋_GB2312"/>
          <w:sz w:val="28"/>
          <w:szCs w:val="28"/>
          <w:highlight w:val="none"/>
        </w:rPr>
        <w:t>；项目支出</w:t>
      </w:r>
      <w:r>
        <w:rPr>
          <w:rFonts w:ascii="仿宋_GB2312" w:eastAsia="仿宋_GB2312"/>
          <w:sz w:val="28"/>
          <w:szCs w:val="28"/>
          <w:highlight w:val="none"/>
        </w:rPr>
        <w:t>172</w:t>
      </w:r>
      <w:r>
        <w:rPr>
          <w:rFonts w:hint="eastAsia" w:ascii="仿宋_GB2312" w:eastAsia="仿宋_GB2312"/>
          <w:sz w:val="28"/>
          <w:szCs w:val="28"/>
          <w:highlight w:val="none"/>
          <w:lang w:val="en-US" w:eastAsia="zh-CN"/>
        </w:rPr>
        <w:t>,</w:t>
      </w:r>
      <w:r>
        <w:rPr>
          <w:rFonts w:ascii="仿宋_GB2312" w:eastAsia="仿宋_GB2312"/>
          <w:sz w:val="28"/>
          <w:szCs w:val="28"/>
          <w:highlight w:val="none"/>
        </w:rPr>
        <w:t>043</w:t>
      </w:r>
      <w:r>
        <w:rPr>
          <w:rFonts w:hint="eastAsia" w:ascii="仿宋_GB2312" w:eastAsia="仿宋_GB2312"/>
          <w:sz w:val="28"/>
          <w:szCs w:val="28"/>
          <w:highlight w:val="none"/>
          <w:lang w:val="en-US" w:eastAsia="zh-CN"/>
        </w:rPr>
        <w:t>,</w:t>
      </w:r>
      <w:r>
        <w:rPr>
          <w:rFonts w:ascii="仿宋_GB2312" w:eastAsia="仿宋_GB2312"/>
          <w:sz w:val="28"/>
          <w:szCs w:val="28"/>
          <w:highlight w:val="none"/>
        </w:rPr>
        <w:t>951.32</w:t>
      </w:r>
      <w:r>
        <w:rPr>
          <w:rFonts w:hint="eastAsia" w:ascii="仿宋_GB2312" w:eastAsia="仿宋_GB2312"/>
          <w:sz w:val="28"/>
          <w:szCs w:val="28"/>
          <w:highlight w:val="none"/>
        </w:rPr>
        <w:t>元，占支出合计的</w:t>
      </w:r>
      <w:r>
        <w:rPr>
          <w:rFonts w:hint="eastAsia" w:ascii="仿宋_GB2312" w:eastAsia="仿宋_GB2312"/>
          <w:sz w:val="28"/>
          <w:szCs w:val="28"/>
          <w:highlight w:val="none"/>
        </w:rPr>
        <w:t>91.</w:t>
      </w:r>
      <w:r>
        <w:rPr>
          <w:rFonts w:hint="eastAsia" w:ascii="仿宋_GB2312" w:eastAsia="仿宋_GB2312"/>
          <w:sz w:val="28"/>
          <w:szCs w:val="28"/>
          <w:highlight w:val="none"/>
          <w:lang w:val="en-US" w:eastAsia="zh-CN"/>
        </w:rPr>
        <w:t>7</w:t>
      </w:r>
      <w:r>
        <w:rPr>
          <w:rFonts w:hint="eastAsia" w:ascii="仿宋_GB2312" w:eastAsia="仿宋_GB2312"/>
          <w:sz w:val="28"/>
          <w:szCs w:val="28"/>
          <w:highlight w:val="none"/>
        </w:rPr>
        <w:t>%</w:t>
      </w:r>
      <w:r>
        <w:rPr>
          <w:rFonts w:hint="eastAsia" w:ascii="仿宋_GB2312" w:eastAsia="仿宋_GB2312"/>
          <w:sz w:val="28"/>
          <w:szCs w:val="28"/>
          <w:highlight w:val="none"/>
        </w:rPr>
        <w:t>;上缴上级支出</w:t>
      </w:r>
      <w:r>
        <w:rPr>
          <w:rFonts w:ascii="仿宋_GB2312" w:eastAsia="仿宋_GB2312"/>
          <w:sz w:val="28"/>
          <w:szCs w:val="28"/>
          <w:highlight w:val="none"/>
        </w:rPr>
        <w:t>0</w:t>
      </w:r>
      <w:r>
        <w:rPr>
          <w:rFonts w:hint="eastAsia" w:ascii="仿宋_GB2312" w:eastAsia="仿宋_GB2312"/>
          <w:sz w:val="28"/>
          <w:szCs w:val="28"/>
          <w:highlight w:val="none"/>
        </w:rPr>
        <w:t>元，占支出合计的0%；经营支出</w:t>
      </w:r>
      <w:r>
        <w:rPr>
          <w:rFonts w:ascii="仿宋_GB2312" w:eastAsia="仿宋_GB2312"/>
          <w:sz w:val="28"/>
          <w:szCs w:val="28"/>
          <w:highlight w:val="none"/>
        </w:rPr>
        <w:t>0</w:t>
      </w:r>
      <w:r>
        <w:rPr>
          <w:rFonts w:hint="eastAsia" w:ascii="仿宋_GB2312" w:eastAsia="仿宋_GB2312"/>
          <w:sz w:val="28"/>
          <w:szCs w:val="28"/>
          <w:highlight w:val="none"/>
        </w:rPr>
        <w:t>元，占支出合计的0%；对附属单位补助支出</w:t>
      </w:r>
      <w:r>
        <w:rPr>
          <w:rFonts w:ascii="仿宋_GB2312" w:eastAsia="仿宋_GB2312"/>
          <w:sz w:val="28"/>
          <w:szCs w:val="28"/>
          <w:highlight w:val="none"/>
        </w:rPr>
        <w:t>0</w:t>
      </w:r>
      <w:r>
        <w:rPr>
          <w:rFonts w:hint="eastAsia" w:ascii="仿宋_GB2312" w:eastAsia="仿宋_GB2312"/>
          <w:sz w:val="28"/>
          <w:szCs w:val="28"/>
          <w:highlight w:val="none"/>
        </w:rPr>
        <w:t>元，占支出合计的0%。</w:t>
      </w:r>
    </w:p>
    <w:p>
      <w:pPr>
        <w:pStyle w:val="3"/>
        <w:jc w:val="center"/>
        <w:rPr>
          <w:rFonts w:ascii="仿宋_GB2312" w:eastAsia="仿宋_GB2312"/>
          <w:color w:val="000000"/>
          <w:sz w:val="32"/>
          <w:highlight w:val="none"/>
        </w:rPr>
      </w:pPr>
      <w:r>
        <w:rPr>
          <w:rFonts w:hint="eastAsia" w:ascii="仿宋_GB2312" w:eastAsia="仿宋_GB2312"/>
          <w:color w:val="000000"/>
          <w:sz w:val="32"/>
          <w:highlight w:val="none"/>
        </w:rPr>
        <w:t>图2：支出决算</w:t>
      </w:r>
    </w:p>
    <w:p>
      <w:pPr>
        <w:jc w:val="center"/>
        <w:rPr>
          <w:rFonts w:ascii="黑体" w:eastAsia="黑体"/>
          <w:b/>
          <w:sz w:val="28"/>
          <w:szCs w:val="28"/>
          <w:highlight w:val="none"/>
        </w:rPr>
      </w:pPr>
      <w:r>
        <w:rPr>
          <w:highlight w:val="none"/>
        </w:rP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tabs>
          <w:tab w:val="center" w:pos="6979"/>
        </w:tabs>
        <w:spacing w:line="580" w:lineRule="exact"/>
        <w:ind w:firstLine="548" w:firstLineChars="196"/>
        <w:rPr>
          <w:rFonts w:ascii="黑体" w:eastAsia="黑体"/>
          <w:b/>
          <w:sz w:val="28"/>
          <w:szCs w:val="28"/>
          <w:highlight w:val="none"/>
        </w:rPr>
      </w:pPr>
      <w:r>
        <w:rPr>
          <w:rFonts w:hint="eastAsia" w:ascii="黑体" w:eastAsia="黑体"/>
          <w:b/>
          <w:sz w:val="28"/>
          <w:szCs w:val="28"/>
          <w:highlight w:val="none"/>
        </w:rPr>
        <w:t>三</w:t>
      </w:r>
      <w:r>
        <w:rPr>
          <w:rFonts w:ascii="黑体" w:eastAsia="黑体"/>
          <w:b/>
          <w:sz w:val="28"/>
          <w:szCs w:val="28"/>
          <w:highlight w:val="none"/>
        </w:rPr>
        <w:t>、财政拨款</w:t>
      </w:r>
      <w:r>
        <w:rPr>
          <w:rFonts w:hint="eastAsia" w:ascii="黑体" w:eastAsia="黑体"/>
          <w:b/>
          <w:sz w:val="28"/>
          <w:szCs w:val="28"/>
          <w:highlight w:val="none"/>
        </w:rPr>
        <w:t>收入支出决算</w:t>
      </w:r>
      <w:r>
        <w:rPr>
          <w:rFonts w:ascii="黑体" w:eastAsia="黑体"/>
          <w:b/>
          <w:sz w:val="28"/>
          <w:szCs w:val="28"/>
          <w:highlight w:val="none"/>
        </w:rPr>
        <w:t>总体情况说明</w:t>
      </w:r>
    </w:p>
    <w:p>
      <w:pPr>
        <w:tabs>
          <w:tab w:val="center" w:pos="6979"/>
        </w:tabs>
        <w:spacing w:line="580" w:lineRule="exact"/>
        <w:ind w:firstLine="570"/>
        <w:rPr>
          <w:rFonts w:ascii="仿宋_GB2312" w:eastAsia="仿宋_GB2312"/>
          <w:sz w:val="28"/>
          <w:szCs w:val="28"/>
          <w:highlight w:val="none"/>
        </w:rPr>
      </w:pPr>
      <w:r>
        <w:rPr>
          <w:rFonts w:hint="eastAsia" w:ascii="仿宋_GB2312" w:eastAsia="仿宋_GB2312"/>
          <w:sz w:val="28"/>
          <w:szCs w:val="28"/>
          <w:highlight w:val="none"/>
        </w:rPr>
        <w:t>2025年度财政拨款收、</w:t>
      </w:r>
      <w:r>
        <w:rPr>
          <w:rFonts w:ascii="仿宋_GB2312" w:eastAsia="仿宋_GB2312"/>
          <w:sz w:val="28"/>
          <w:szCs w:val="28"/>
          <w:highlight w:val="none"/>
        </w:rPr>
        <w:t>支</w:t>
      </w:r>
      <w:r>
        <w:rPr>
          <w:rFonts w:hint="eastAsia" w:ascii="仿宋_GB2312" w:eastAsia="仿宋_GB2312"/>
          <w:sz w:val="28"/>
          <w:szCs w:val="28"/>
          <w:highlight w:val="none"/>
        </w:rPr>
        <w:t>总计</w:t>
      </w:r>
      <w:r>
        <w:rPr>
          <w:rFonts w:ascii="仿宋_GB2312" w:eastAsia="仿宋_GB2312"/>
          <w:sz w:val="28"/>
          <w:szCs w:val="28"/>
          <w:highlight w:val="none"/>
        </w:rPr>
        <w:t>187</w:t>
      </w:r>
      <w:r>
        <w:rPr>
          <w:rFonts w:hint="eastAsia" w:ascii="仿宋_GB2312" w:eastAsia="仿宋_GB2312"/>
          <w:sz w:val="28"/>
          <w:szCs w:val="28"/>
          <w:highlight w:val="none"/>
          <w:lang w:val="en-US" w:eastAsia="zh-CN"/>
        </w:rPr>
        <w:t>,</w:t>
      </w:r>
      <w:r>
        <w:rPr>
          <w:rFonts w:ascii="仿宋_GB2312" w:eastAsia="仿宋_GB2312"/>
          <w:sz w:val="28"/>
          <w:szCs w:val="28"/>
          <w:highlight w:val="none"/>
        </w:rPr>
        <w:t>699</w:t>
      </w:r>
      <w:r>
        <w:rPr>
          <w:rFonts w:hint="eastAsia" w:ascii="仿宋_GB2312" w:eastAsia="仿宋_GB2312"/>
          <w:sz w:val="28"/>
          <w:szCs w:val="28"/>
          <w:highlight w:val="none"/>
          <w:lang w:val="en-US" w:eastAsia="zh-CN"/>
        </w:rPr>
        <w:t>,</w:t>
      </w:r>
      <w:r>
        <w:rPr>
          <w:rFonts w:ascii="仿宋_GB2312" w:eastAsia="仿宋_GB2312"/>
          <w:sz w:val="28"/>
          <w:szCs w:val="28"/>
          <w:highlight w:val="none"/>
        </w:rPr>
        <w:t>462.49</w:t>
      </w:r>
      <w:r>
        <w:rPr>
          <w:rFonts w:hint="eastAsia" w:ascii="仿宋_GB2312" w:eastAsia="仿宋_GB2312"/>
          <w:sz w:val="28"/>
          <w:szCs w:val="28"/>
          <w:highlight w:val="none"/>
        </w:rPr>
        <w:t>元，比上年</w:t>
      </w:r>
      <w:r>
        <w:rPr>
          <w:rFonts w:ascii="仿宋_GB2312" w:eastAsia="仿宋_GB2312"/>
          <w:sz w:val="28"/>
          <w:szCs w:val="28"/>
          <w:highlight w:val="none"/>
        </w:rPr>
        <w:t>增加</w:t>
      </w:r>
      <w:r>
        <w:rPr>
          <w:rFonts w:hint="eastAsia" w:ascii="仿宋_GB2312" w:eastAsia="仿宋_GB2312"/>
          <w:sz w:val="28"/>
          <w:szCs w:val="28"/>
          <w:highlight w:val="none"/>
        </w:rPr>
        <w:t>3</w:t>
      </w:r>
      <w:r>
        <w:rPr>
          <w:rFonts w:hint="eastAsia" w:ascii="仿宋_GB2312" w:eastAsia="仿宋_GB2312"/>
          <w:sz w:val="28"/>
          <w:szCs w:val="28"/>
          <w:highlight w:val="none"/>
          <w:lang w:val="en-US" w:eastAsia="zh-CN"/>
        </w:rPr>
        <w:t>,</w:t>
      </w:r>
      <w:r>
        <w:rPr>
          <w:rFonts w:hint="eastAsia" w:ascii="仿宋_GB2312" w:eastAsia="仿宋_GB2312"/>
          <w:sz w:val="28"/>
          <w:szCs w:val="28"/>
          <w:highlight w:val="none"/>
        </w:rPr>
        <w:t>253</w:t>
      </w:r>
      <w:r>
        <w:rPr>
          <w:rFonts w:hint="eastAsia" w:ascii="仿宋_GB2312" w:eastAsia="仿宋_GB2312"/>
          <w:sz w:val="28"/>
          <w:szCs w:val="28"/>
          <w:highlight w:val="none"/>
          <w:lang w:val="en-US" w:eastAsia="zh-CN"/>
        </w:rPr>
        <w:t>,</w:t>
      </w:r>
      <w:r>
        <w:rPr>
          <w:rFonts w:hint="eastAsia" w:ascii="仿宋_GB2312" w:eastAsia="仿宋_GB2312"/>
          <w:sz w:val="28"/>
          <w:szCs w:val="28"/>
          <w:highlight w:val="none"/>
        </w:rPr>
        <w:t>031.14元，增长</w:t>
      </w:r>
      <w:r>
        <w:rPr>
          <w:rFonts w:hint="eastAsia" w:ascii="仿宋_GB2312" w:eastAsia="仿宋_GB2312"/>
          <w:sz w:val="28"/>
          <w:szCs w:val="28"/>
          <w:highlight w:val="none"/>
          <w:lang w:val="en-US" w:eastAsia="zh-CN"/>
        </w:rPr>
        <w:t>1.8</w:t>
      </w:r>
      <w:r>
        <w:rPr>
          <w:rFonts w:hint="eastAsia" w:ascii="仿宋_GB2312" w:eastAsia="仿宋_GB2312"/>
          <w:sz w:val="28"/>
          <w:szCs w:val="28"/>
          <w:highlight w:val="none"/>
        </w:rPr>
        <w:t>%。主要原因：</w:t>
      </w:r>
      <w:r>
        <w:rPr>
          <w:rFonts w:hint="eastAsia" w:ascii="仿宋_GB2312" w:eastAsia="仿宋_GB2312"/>
          <w:color w:val="auto"/>
          <w:sz w:val="28"/>
          <w:szCs w:val="28"/>
          <w:highlight w:val="none"/>
          <w:lang w:eastAsia="zh-CN"/>
        </w:rPr>
        <w:t>项目支出筹资标准增加等。</w:t>
      </w:r>
    </w:p>
    <w:p>
      <w:pPr>
        <w:tabs>
          <w:tab w:val="center" w:pos="6979"/>
        </w:tabs>
        <w:spacing w:line="580" w:lineRule="exact"/>
        <w:ind w:firstLine="548" w:firstLineChars="196"/>
        <w:rPr>
          <w:rFonts w:ascii="黑体" w:eastAsia="黑体"/>
          <w:b/>
          <w:sz w:val="28"/>
          <w:szCs w:val="28"/>
          <w:highlight w:val="none"/>
        </w:rPr>
      </w:pPr>
      <w:r>
        <w:rPr>
          <w:rFonts w:hint="eastAsia" w:ascii="黑体" w:eastAsia="黑体"/>
          <w:b/>
          <w:sz w:val="28"/>
          <w:szCs w:val="28"/>
          <w:highlight w:val="none"/>
        </w:rPr>
        <w:t>四、一般公共预算财政拨款支出决算情况说明</w:t>
      </w:r>
    </w:p>
    <w:p>
      <w:pPr>
        <w:keepNext w:val="0"/>
        <w:keepLines w:val="0"/>
        <w:pageBreakBefore w:val="0"/>
        <w:tabs>
          <w:tab w:val="center" w:pos="6979"/>
        </w:tabs>
        <w:kinsoku/>
        <w:wordWrap/>
        <w:overflowPunct/>
        <w:topLinePunct w:val="0"/>
        <w:bidi w:val="0"/>
        <w:spacing w:line="560" w:lineRule="exact"/>
        <w:ind w:firstLine="560" w:firstLineChars="200"/>
        <w:jc w:val="both"/>
        <w:textAlignment w:val="auto"/>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（一）一般公共预算财政拨款支出决算总体情况</w:t>
      </w:r>
    </w:p>
    <w:p>
      <w:pPr>
        <w:keepNext w:val="0"/>
        <w:keepLines w:val="0"/>
        <w:pageBreakBefore w:val="0"/>
        <w:tabs>
          <w:tab w:val="center" w:pos="6979"/>
        </w:tabs>
        <w:kinsoku/>
        <w:wordWrap/>
        <w:overflowPunct/>
        <w:topLinePunct w:val="0"/>
        <w:bidi w:val="0"/>
        <w:spacing w:line="560" w:lineRule="exact"/>
        <w:ind w:firstLine="560" w:firstLineChars="200"/>
        <w:jc w:val="both"/>
        <w:textAlignment w:val="auto"/>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2025年度一般公共预算财政拨款支出187,699,462.49元，主要用于以下方面（按大类）：</w:t>
      </w:r>
    </w:p>
    <w:p>
      <w:pPr>
        <w:keepNext w:val="0"/>
        <w:keepLines w:val="0"/>
        <w:pageBreakBefore w:val="0"/>
        <w:tabs>
          <w:tab w:val="center" w:pos="6979"/>
        </w:tabs>
        <w:kinsoku/>
        <w:wordWrap/>
        <w:overflowPunct/>
        <w:topLinePunct w:val="0"/>
        <w:bidi w:val="0"/>
        <w:spacing w:line="560" w:lineRule="exact"/>
        <w:ind w:firstLine="560" w:firstLineChars="200"/>
        <w:jc w:val="both"/>
        <w:textAlignment w:val="auto"/>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社会保障和就业支出42,014.00元，占本年财政拨款支出0.02%；</w:t>
      </w:r>
    </w:p>
    <w:p>
      <w:pPr>
        <w:keepNext w:val="0"/>
        <w:keepLines w:val="0"/>
        <w:pageBreakBefore w:val="0"/>
        <w:tabs>
          <w:tab w:val="center" w:pos="6979"/>
        </w:tabs>
        <w:kinsoku/>
        <w:wordWrap/>
        <w:overflowPunct/>
        <w:topLinePunct w:val="0"/>
        <w:bidi w:val="0"/>
        <w:spacing w:line="560" w:lineRule="exact"/>
        <w:ind w:firstLine="560" w:firstLineChars="200"/>
        <w:jc w:val="both"/>
        <w:textAlignment w:val="auto"/>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卫生健康支出187,652,282.49元，占本年财政拨款支出99.97%；</w:t>
      </w:r>
    </w:p>
    <w:p>
      <w:pPr>
        <w:keepNext w:val="0"/>
        <w:keepLines w:val="0"/>
        <w:pageBreakBefore w:val="0"/>
        <w:tabs>
          <w:tab w:val="center" w:pos="6979"/>
        </w:tabs>
        <w:kinsoku/>
        <w:wordWrap/>
        <w:overflowPunct/>
        <w:topLinePunct w:val="0"/>
        <w:bidi w:val="0"/>
        <w:spacing w:line="560" w:lineRule="exact"/>
        <w:ind w:firstLine="560" w:firstLineChars="200"/>
        <w:jc w:val="both"/>
        <w:textAlignment w:val="auto"/>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资源勘探工业信息等支出5,166.00元，占本年财政拨款支出0.01%。</w:t>
      </w:r>
    </w:p>
    <w:p>
      <w:pPr>
        <w:keepNext w:val="0"/>
        <w:keepLines w:val="0"/>
        <w:pageBreakBefore w:val="0"/>
        <w:tabs>
          <w:tab w:val="center" w:pos="6979"/>
        </w:tabs>
        <w:kinsoku/>
        <w:wordWrap/>
        <w:overflowPunct/>
        <w:topLinePunct w:val="0"/>
        <w:bidi w:val="0"/>
        <w:spacing w:line="560" w:lineRule="exact"/>
        <w:ind w:firstLine="560" w:firstLineChars="200"/>
        <w:jc w:val="both"/>
        <w:textAlignment w:val="auto"/>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（二）一般公共预算财政拨款支出决算具体情况</w:t>
      </w:r>
    </w:p>
    <w:p>
      <w:pPr>
        <w:tabs>
          <w:tab w:val="center" w:pos="6979"/>
        </w:tabs>
        <w:spacing w:line="520" w:lineRule="exact"/>
        <w:ind w:firstLine="560" w:firstLineChars="200"/>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rPr>
        <w:t>1</w:t>
      </w:r>
      <w:r>
        <w:rPr>
          <w:rFonts w:hint="eastAsia" w:ascii="仿宋_GB2312" w:hAnsi="Times New Roman" w:eastAsia="仿宋_GB2312" w:cs="Times New Roman"/>
          <w:sz w:val="28"/>
          <w:szCs w:val="28"/>
          <w:highlight w:val="none"/>
          <w:lang w:val="en-US" w:eastAsia="zh-CN"/>
        </w:rPr>
        <w:t>.</w:t>
      </w:r>
      <w:r>
        <w:rPr>
          <w:rFonts w:hint="eastAsia" w:ascii="仿宋_GB2312" w:hAnsi="Times New Roman" w:eastAsia="仿宋_GB2312" w:cs="Times New Roman"/>
          <w:sz w:val="28"/>
          <w:szCs w:val="28"/>
          <w:highlight w:val="none"/>
        </w:rPr>
        <w:t>“社会保障和就业支出”（类）202</w:t>
      </w:r>
      <w:r>
        <w:rPr>
          <w:rFonts w:hint="eastAsia" w:ascii="仿宋_GB2312" w:hAnsi="Times New Roman" w:eastAsia="仿宋_GB2312" w:cs="Times New Roman"/>
          <w:sz w:val="28"/>
          <w:szCs w:val="28"/>
          <w:highlight w:val="none"/>
          <w:lang w:val="en-US" w:eastAsia="zh-CN"/>
        </w:rPr>
        <w:t>5年度年初预算40,682.00元，2025年度</w:t>
      </w:r>
      <w:r>
        <w:rPr>
          <w:rFonts w:hint="eastAsia" w:ascii="仿宋_GB2312" w:hAnsi="Times New Roman" w:eastAsia="仿宋_GB2312" w:cs="Times New Roman"/>
          <w:sz w:val="28"/>
          <w:szCs w:val="28"/>
          <w:highlight w:val="none"/>
        </w:rPr>
        <w:t>决算42,014.00</w:t>
      </w:r>
      <w:r>
        <w:rPr>
          <w:rFonts w:hint="eastAsia" w:ascii="仿宋_GB2312" w:eastAsia="仿宋_GB2312"/>
          <w:sz w:val="28"/>
          <w:szCs w:val="28"/>
          <w:highlight w:val="none"/>
        </w:rPr>
        <w:t>元</w:t>
      </w:r>
      <w:r>
        <w:rPr>
          <w:rFonts w:hint="eastAsia" w:ascii="仿宋_GB2312" w:hAnsi="Times New Roman" w:eastAsia="仿宋_GB2312" w:cs="Times New Roman"/>
          <w:sz w:val="28"/>
          <w:szCs w:val="28"/>
          <w:highlight w:val="none"/>
        </w:rPr>
        <w:t>，</w:t>
      </w:r>
      <w:r>
        <w:rPr>
          <w:rFonts w:hint="eastAsia" w:ascii="仿宋_GB2312" w:hAnsi="Times New Roman" w:eastAsia="仿宋_GB2312" w:cs="Times New Roman"/>
          <w:sz w:val="28"/>
          <w:szCs w:val="28"/>
          <w:highlight w:val="none"/>
          <w:lang w:eastAsia="zh-CN"/>
        </w:rPr>
        <w:t>完成年初预算的</w:t>
      </w:r>
      <w:r>
        <w:rPr>
          <w:rFonts w:hint="eastAsia" w:ascii="仿宋_GB2312" w:hAnsi="Times New Roman" w:eastAsia="仿宋_GB2312" w:cs="Times New Roman"/>
          <w:sz w:val="28"/>
          <w:szCs w:val="28"/>
          <w:highlight w:val="none"/>
          <w:lang w:val="en-US" w:eastAsia="zh-CN"/>
        </w:rPr>
        <w:t>103.2%。</w:t>
      </w:r>
    </w:p>
    <w:p>
      <w:pPr>
        <w:tabs>
          <w:tab w:val="center" w:pos="6979"/>
        </w:tabs>
        <w:spacing w:line="520" w:lineRule="exact"/>
        <w:ind w:firstLine="560" w:firstLineChars="200"/>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“行政事业单位养老支出”（款，下同）202</w:t>
      </w:r>
      <w:r>
        <w:rPr>
          <w:rFonts w:hint="eastAsia" w:ascii="仿宋_GB2312" w:hAnsi="Times New Roman" w:eastAsia="仿宋_GB2312" w:cs="Times New Roman"/>
          <w:sz w:val="28"/>
          <w:szCs w:val="28"/>
          <w:highlight w:val="none"/>
          <w:lang w:val="en-US" w:eastAsia="zh-CN"/>
        </w:rPr>
        <w:t>5年度年</w:t>
      </w:r>
      <w:r>
        <w:rPr>
          <w:rFonts w:hint="eastAsia" w:ascii="仿宋_GB2312" w:hAnsi="Times New Roman" w:eastAsia="仿宋_GB2312" w:cs="Times New Roman"/>
          <w:sz w:val="28"/>
          <w:szCs w:val="28"/>
          <w:highlight w:val="none"/>
          <w:lang w:val="en-US" w:eastAsia="zh-CN"/>
        </w:rPr>
        <w:t>初预算</w:t>
      </w:r>
      <w:r>
        <w:rPr>
          <w:rFonts w:hint="eastAsia" w:ascii="仿宋_GB2312" w:hAnsi="Times New Roman" w:eastAsia="仿宋_GB2312" w:cs="Times New Roman"/>
          <w:sz w:val="28"/>
          <w:szCs w:val="28"/>
          <w:highlight w:val="none"/>
          <w:lang w:val="en-US" w:eastAsia="zh-CN"/>
        </w:rPr>
        <w:t>40,682.00</w:t>
      </w:r>
      <w:r>
        <w:rPr>
          <w:rFonts w:hint="eastAsia" w:ascii="仿宋_GB2312" w:hAnsi="Times New Roman" w:eastAsia="仿宋_GB2312" w:cs="Times New Roman"/>
          <w:sz w:val="28"/>
          <w:szCs w:val="28"/>
          <w:highlight w:val="none"/>
          <w:lang w:val="en-US" w:eastAsia="zh-CN"/>
        </w:rPr>
        <w:t>万元，2025年度</w:t>
      </w:r>
      <w:r>
        <w:rPr>
          <w:rFonts w:hint="eastAsia" w:ascii="仿宋_GB2312" w:hAnsi="Times New Roman" w:eastAsia="仿宋_GB2312" w:cs="Times New Roman"/>
          <w:sz w:val="28"/>
          <w:szCs w:val="28"/>
          <w:highlight w:val="none"/>
        </w:rPr>
        <w:t>决算</w:t>
      </w:r>
      <w:r>
        <w:rPr>
          <w:rFonts w:hint="eastAsia" w:ascii="仿宋_GB2312" w:hAnsi="Times New Roman" w:eastAsia="仿宋_GB2312" w:cs="Times New Roman"/>
          <w:sz w:val="28"/>
          <w:szCs w:val="28"/>
          <w:highlight w:val="none"/>
        </w:rPr>
        <w:t>42,014.00</w:t>
      </w:r>
      <w:r>
        <w:rPr>
          <w:rFonts w:hint="eastAsia" w:ascii="仿宋_GB2312" w:eastAsia="仿宋_GB2312"/>
          <w:sz w:val="28"/>
          <w:szCs w:val="28"/>
          <w:highlight w:val="none"/>
        </w:rPr>
        <w:t>元</w:t>
      </w:r>
      <w:r>
        <w:rPr>
          <w:rFonts w:hint="eastAsia" w:ascii="仿宋_GB2312" w:hAnsi="Times New Roman" w:eastAsia="仿宋_GB2312" w:cs="Times New Roman"/>
          <w:sz w:val="28"/>
          <w:szCs w:val="28"/>
          <w:highlight w:val="none"/>
        </w:rPr>
        <w:t>，</w:t>
      </w:r>
      <w:r>
        <w:rPr>
          <w:rFonts w:hint="eastAsia" w:ascii="仿宋_GB2312" w:hAnsi="Times New Roman" w:eastAsia="仿宋_GB2312" w:cs="Times New Roman"/>
          <w:sz w:val="28"/>
          <w:szCs w:val="28"/>
          <w:highlight w:val="none"/>
          <w:lang w:eastAsia="zh-CN"/>
        </w:rPr>
        <w:t>完成年初预算的</w:t>
      </w:r>
      <w:r>
        <w:rPr>
          <w:rFonts w:hint="eastAsia" w:ascii="仿宋_GB2312" w:hAnsi="Times New Roman" w:eastAsia="仿宋_GB2312" w:cs="Times New Roman"/>
          <w:sz w:val="28"/>
          <w:szCs w:val="28"/>
          <w:highlight w:val="none"/>
          <w:lang w:val="en-US" w:eastAsia="zh-CN"/>
        </w:rPr>
        <w:t>103.2%。</w:t>
      </w:r>
      <w:r>
        <w:rPr>
          <w:rFonts w:hint="eastAsia" w:ascii="仿宋_GB2312" w:hAnsi="Times New Roman" w:eastAsia="仿宋_GB2312" w:cs="Times New Roman"/>
          <w:sz w:val="28"/>
          <w:szCs w:val="28"/>
          <w:highlight w:val="none"/>
        </w:rPr>
        <w:t>主要原因：</w:t>
      </w:r>
      <w:r>
        <w:rPr>
          <w:rFonts w:hint="eastAsia" w:ascii="仿宋_GB2312" w:hAnsi="Times New Roman" w:eastAsia="仿宋_GB2312" w:cs="Times New Roman"/>
          <w:sz w:val="28"/>
          <w:szCs w:val="28"/>
          <w:highlight w:val="none"/>
          <w:lang w:val="en-US" w:eastAsia="zh-CN"/>
        </w:rPr>
        <w:t>2025年发放2024年度</w:t>
      </w:r>
      <w:r>
        <w:rPr>
          <w:rFonts w:hint="eastAsia" w:ascii="仿宋_GB2312" w:hAnsi="Times New Roman" w:eastAsia="仿宋_GB2312" w:cs="Times New Roman"/>
          <w:sz w:val="28"/>
          <w:szCs w:val="28"/>
          <w:highlight w:val="none"/>
          <w:lang w:eastAsia="zh-CN"/>
        </w:rPr>
        <w:t>退休人员年度绩效。</w:t>
      </w:r>
    </w:p>
    <w:p>
      <w:pPr>
        <w:tabs>
          <w:tab w:val="center" w:pos="6979"/>
        </w:tabs>
        <w:spacing w:line="520" w:lineRule="exact"/>
        <w:ind w:firstLine="560" w:firstLineChars="200"/>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2.</w:t>
      </w:r>
      <w:r>
        <w:rPr>
          <w:rFonts w:hint="eastAsia" w:ascii="仿宋_GB2312" w:hAnsi="Times New Roman" w:eastAsia="仿宋_GB2312" w:cs="Times New Roman"/>
          <w:sz w:val="28"/>
          <w:szCs w:val="28"/>
          <w:highlight w:val="none"/>
        </w:rPr>
        <w:t>“卫生健康支出”(类)202</w:t>
      </w:r>
      <w:r>
        <w:rPr>
          <w:rFonts w:hint="eastAsia" w:ascii="仿宋_GB2312" w:hAnsi="Times New Roman" w:eastAsia="仿宋_GB2312" w:cs="Times New Roman"/>
          <w:sz w:val="28"/>
          <w:szCs w:val="28"/>
          <w:highlight w:val="none"/>
          <w:lang w:val="en-US" w:eastAsia="zh-CN"/>
        </w:rPr>
        <w:t>5年度年初预算191,113,785.10元，2025年度</w:t>
      </w:r>
      <w:r>
        <w:rPr>
          <w:rFonts w:hint="eastAsia" w:ascii="仿宋_GB2312" w:hAnsi="Times New Roman" w:eastAsia="仿宋_GB2312" w:cs="Times New Roman"/>
          <w:sz w:val="28"/>
          <w:szCs w:val="28"/>
          <w:highlight w:val="none"/>
        </w:rPr>
        <w:t>决算</w:t>
      </w:r>
      <w:r>
        <w:rPr>
          <w:rFonts w:hint="eastAsia" w:ascii="仿宋_GB2312" w:eastAsia="仿宋_GB2312"/>
          <w:sz w:val="28"/>
          <w:szCs w:val="28"/>
          <w:highlight w:val="none"/>
        </w:rPr>
        <w:t>187,652,282.49元</w:t>
      </w:r>
      <w:r>
        <w:rPr>
          <w:rFonts w:hint="eastAsia" w:ascii="仿宋_GB2312" w:hAnsi="Times New Roman" w:eastAsia="仿宋_GB2312" w:cs="Times New Roman"/>
          <w:sz w:val="28"/>
          <w:szCs w:val="28"/>
          <w:highlight w:val="none"/>
        </w:rPr>
        <w:t>，</w:t>
      </w:r>
      <w:r>
        <w:rPr>
          <w:rFonts w:hint="eastAsia" w:ascii="仿宋_GB2312" w:hAnsi="Times New Roman" w:eastAsia="仿宋_GB2312" w:cs="Times New Roman"/>
          <w:sz w:val="28"/>
          <w:szCs w:val="28"/>
          <w:highlight w:val="none"/>
          <w:lang w:eastAsia="zh-CN"/>
        </w:rPr>
        <w:t>完成年初预算的</w:t>
      </w:r>
      <w:r>
        <w:rPr>
          <w:rFonts w:hint="eastAsia" w:ascii="仿宋_GB2312" w:hAnsi="Times New Roman" w:eastAsia="仿宋_GB2312" w:cs="Times New Roman"/>
          <w:sz w:val="28"/>
          <w:szCs w:val="28"/>
          <w:highlight w:val="none"/>
          <w:lang w:val="en-US" w:eastAsia="zh-CN"/>
        </w:rPr>
        <w:t>98.</w:t>
      </w:r>
      <w:r>
        <w:rPr>
          <w:rFonts w:hint="eastAsia" w:ascii="仿宋_GB2312" w:eastAsia="仿宋_GB2312" w:cs="Times New Roman"/>
          <w:sz w:val="28"/>
          <w:szCs w:val="28"/>
          <w:highlight w:val="none"/>
          <w:lang w:val="en-US" w:eastAsia="zh-CN"/>
        </w:rPr>
        <w:t>2</w:t>
      </w:r>
      <w:r>
        <w:rPr>
          <w:rFonts w:hint="eastAsia" w:ascii="仿宋_GB2312" w:hAnsi="Times New Roman" w:eastAsia="仿宋_GB2312" w:cs="Times New Roman"/>
          <w:sz w:val="28"/>
          <w:szCs w:val="28"/>
          <w:highlight w:val="none"/>
          <w:lang w:val="en-US" w:eastAsia="zh-CN"/>
        </w:rPr>
        <w:t>%。</w:t>
      </w:r>
    </w:p>
    <w:p>
      <w:pPr>
        <w:tabs>
          <w:tab w:val="center" w:pos="6979"/>
        </w:tabs>
        <w:spacing w:line="520" w:lineRule="exact"/>
        <w:ind w:firstLine="560" w:firstLineChars="200"/>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“行政事业单位医疗”（款）202</w:t>
      </w:r>
      <w:r>
        <w:rPr>
          <w:rFonts w:hint="eastAsia" w:ascii="仿宋_GB2312" w:hAnsi="Times New Roman" w:eastAsia="仿宋_GB2312" w:cs="Times New Roman"/>
          <w:sz w:val="28"/>
          <w:szCs w:val="28"/>
          <w:highlight w:val="none"/>
          <w:lang w:val="en-US" w:eastAsia="zh-CN"/>
        </w:rPr>
        <w:t>5年度年</w:t>
      </w:r>
      <w:r>
        <w:rPr>
          <w:rFonts w:hint="eastAsia" w:ascii="仿宋_GB2312" w:hAnsi="Times New Roman" w:eastAsia="仿宋_GB2312" w:cs="Times New Roman"/>
          <w:sz w:val="28"/>
          <w:szCs w:val="28"/>
          <w:highlight w:val="none"/>
          <w:lang w:val="en-US" w:eastAsia="zh-CN"/>
        </w:rPr>
        <w:t>初预算640,000.00元，2025年度</w:t>
      </w:r>
      <w:r>
        <w:rPr>
          <w:rFonts w:hint="eastAsia" w:ascii="仿宋_GB2312" w:hAnsi="Times New Roman" w:eastAsia="仿宋_GB2312" w:cs="Times New Roman"/>
          <w:sz w:val="28"/>
          <w:szCs w:val="28"/>
          <w:highlight w:val="none"/>
        </w:rPr>
        <w:t>决算979,000.00</w:t>
      </w:r>
      <w:r>
        <w:rPr>
          <w:rFonts w:hint="eastAsia" w:ascii="仿宋_GB2312" w:eastAsia="仿宋_GB2312"/>
          <w:sz w:val="28"/>
          <w:szCs w:val="28"/>
          <w:highlight w:val="none"/>
        </w:rPr>
        <w:t>元</w:t>
      </w:r>
      <w:r>
        <w:rPr>
          <w:rFonts w:hint="eastAsia" w:ascii="仿宋_GB2312" w:hAnsi="Times New Roman" w:eastAsia="仿宋_GB2312" w:cs="Times New Roman"/>
          <w:sz w:val="28"/>
          <w:szCs w:val="28"/>
          <w:highlight w:val="none"/>
        </w:rPr>
        <w:t>，</w:t>
      </w:r>
      <w:r>
        <w:rPr>
          <w:rFonts w:hint="eastAsia" w:ascii="仿宋_GB2312" w:hAnsi="Times New Roman" w:eastAsia="仿宋_GB2312" w:cs="Times New Roman"/>
          <w:sz w:val="28"/>
          <w:szCs w:val="28"/>
          <w:highlight w:val="none"/>
          <w:lang w:eastAsia="zh-CN"/>
        </w:rPr>
        <w:t>完成年初预算的</w:t>
      </w:r>
      <w:r>
        <w:rPr>
          <w:rFonts w:hint="eastAsia" w:ascii="仿宋_GB2312" w:eastAsia="仿宋_GB2312" w:cs="Times New Roman"/>
          <w:sz w:val="28"/>
          <w:szCs w:val="28"/>
          <w:highlight w:val="none"/>
          <w:lang w:val="en-US" w:eastAsia="zh-CN"/>
        </w:rPr>
        <w:t>153</w:t>
      </w:r>
      <w:r>
        <w:rPr>
          <w:rFonts w:hint="eastAsia" w:ascii="仿宋_GB2312" w:hAnsi="Times New Roman" w:eastAsia="仿宋_GB2312" w:cs="Times New Roman"/>
          <w:sz w:val="28"/>
          <w:szCs w:val="28"/>
          <w:highlight w:val="none"/>
          <w:lang w:val="en-US" w:eastAsia="zh-CN"/>
        </w:rPr>
        <w:t>%</w:t>
      </w:r>
      <w:r>
        <w:rPr>
          <w:rFonts w:hint="eastAsia" w:ascii="仿宋_GB2312" w:hAnsi="Times New Roman" w:eastAsia="仿宋_GB2312" w:cs="Times New Roman"/>
          <w:sz w:val="28"/>
          <w:szCs w:val="28"/>
          <w:highlight w:val="none"/>
          <w:lang w:val="en-US" w:eastAsia="zh-CN"/>
        </w:rPr>
        <w:t>。</w:t>
      </w:r>
      <w:r>
        <w:rPr>
          <w:rFonts w:hint="eastAsia" w:ascii="仿宋_GB2312" w:hAnsi="Times New Roman" w:eastAsia="仿宋_GB2312" w:cs="Times New Roman"/>
          <w:sz w:val="28"/>
          <w:szCs w:val="28"/>
          <w:highlight w:val="none"/>
        </w:rPr>
        <w:t>主要原因：</w:t>
      </w:r>
      <w:r>
        <w:rPr>
          <w:rFonts w:hint="eastAsia" w:ascii="仿宋_GB2312" w:hAnsi="Times New Roman" w:eastAsia="仿宋_GB2312" w:cs="Times New Roman"/>
          <w:sz w:val="28"/>
          <w:szCs w:val="28"/>
          <w:highlight w:val="none"/>
          <w:lang w:val="en-US" w:eastAsia="zh-CN"/>
        </w:rPr>
        <w:t>下达中央行政事业单位公费医疗补助339,000.00元。</w:t>
      </w:r>
    </w:p>
    <w:p>
      <w:pPr>
        <w:tabs>
          <w:tab w:val="center" w:pos="6979"/>
        </w:tabs>
        <w:spacing w:line="520" w:lineRule="exact"/>
        <w:ind w:firstLine="560" w:firstLineChars="200"/>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“财政对基本医疗保险基金的补助”（款）202</w:t>
      </w:r>
      <w:r>
        <w:rPr>
          <w:rFonts w:hint="eastAsia" w:ascii="仿宋_GB2312" w:hAnsi="Times New Roman" w:eastAsia="仿宋_GB2312" w:cs="Times New Roman"/>
          <w:sz w:val="28"/>
          <w:szCs w:val="28"/>
          <w:highlight w:val="none"/>
          <w:lang w:val="en-US" w:eastAsia="zh-CN"/>
        </w:rPr>
        <w:t>5年度年</w:t>
      </w:r>
      <w:r>
        <w:rPr>
          <w:rFonts w:hint="eastAsia" w:ascii="仿宋_GB2312" w:hAnsi="Times New Roman" w:eastAsia="仿宋_GB2312" w:cs="Times New Roman"/>
          <w:sz w:val="28"/>
          <w:szCs w:val="28"/>
          <w:highlight w:val="none"/>
          <w:lang w:val="en-US" w:eastAsia="zh-CN"/>
        </w:rPr>
        <w:t>初预算140,696,000.00元，2025年度</w:t>
      </w:r>
      <w:r>
        <w:rPr>
          <w:rFonts w:hint="eastAsia" w:ascii="仿宋_GB2312" w:hAnsi="Times New Roman" w:eastAsia="仿宋_GB2312" w:cs="Times New Roman"/>
          <w:sz w:val="28"/>
          <w:szCs w:val="28"/>
          <w:highlight w:val="none"/>
        </w:rPr>
        <w:t>决算134,669,113.00</w:t>
      </w:r>
      <w:r>
        <w:rPr>
          <w:rFonts w:hint="eastAsia" w:ascii="仿宋_GB2312" w:eastAsia="仿宋_GB2312"/>
          <w:sz w:val="28"/>
          <w:szCs w:val="28"/>
          <w:highlight w:val="none"/>
        </w:rPr>
        <w:t>元</w:t>
      </w:r>
      <w:r>
        <w:rPr>
          <w:rFonts w:hint="eastAsia" w:ascii="仿宋_GB2312" w:hAnsi="Times New Roman" w:eastAsia="仿宋_GB2312" w:cs="Times New Roman"/>
          <w:sz w:val="28"/>
          <w:szCs w:val="28"/>
          <w:highlight w:val="none"/>
        </w:rPr>
        <w:t>，</w:t>
      </w:r>
      <w:r>
        <w:rPr>
          <w:rFonts w:hint="eastAsia" w:ascii="仿宋_GB2312" w:hAnsi="Times New Roman" w:eastAsia="仿宋_GB2312" w:cs="Times New Roman"/>
          <w:sz w:val="28"/>
          <w:szCs w:val="28"/>
          <w:highlight w:val="none"/>
          <w:lang w:eastAsia="zh-CN"/>
        </w:rPr>
        <w:t>完成年初预算的</w:t>
      </w:r>
      <w:r>
        <w:rPr>
          <w:rFonts w:hint="eastAsia" w:ascii="仿宋_GB2312" w:hAnsi="Times New Roman" w:eastAsia="仿宋_GB2312" w:cs="Times New Roman"/>
          <w:sz w:val="28"/>
          <w:szCs w:val="28"/>
          <w:highlight w:val="none"/>
          <w:lang w:val="en-US" w:eastAsia="zh-CN"/>
        </w:rPr>
        <w:t>95.7%</w:t>
      </w:r>
      <w:r>
        <w:rPr>
          <w:rFonts w:hint="eastAsia" w:ascii="仿宋_GB2312" w:hAnsi="Times New Roman" w:eastAsia="仿宋_GB2312" w:cs="Times New Roman"/>
          <w:sz w:val="28"/>
          <w:szCs w:val="28"/>
          <w:highlight w:val="none"/>
          <w:lang w:val="en-US" w:eastAsia="zh-CN"/>
        </w:rPr>
        <w:t>。</w:t>
      </w:r>
      <w:r>
        <w:rPr>
          <w:rFonts w:hint="eastAsia" w:ascii="仿宋_GB2312" w:hAnsi="Times New Roman" w:eastAsia="仿宋_GB2312" w:cs="Times New Roman"/>
          <w:sz w:val="28"/>
          <w:szCs w:val="28"/>
          <w:highlight w:val="none"/>
        </w:rPr>
        <w:t>主要原因：</w:t>
      </w:r>
      <w:r>
        <w:rPr>
          <w:rFonts w:hint="eastAsia" w:ascii="仿宋_GB2312" w:hAnsi="Times New Roman" w:eastAsia="仿宋_GB2312" w:cs="Times New Roman"/>
          <w:sz w:val="28"/>
          <w:szCs w:val="28"/>
          <w:highlight w:val="none"/>
          <w:lang w:eastAsia="zh-CN"/>
        </w:rPr>
        <w:t>城</w:t>
      </w:r>
      <w:r>
        <w:rPr>
          <w:rFonts w:hint="eastAsia" w:ascii="仿宋_GB2312" w:hAnsi="Times New Roman" w:eastAsia="仿宋_GB2312" w:cs="Times New Roman"/>
          <w:sz w:val="28"/>
          <w:szCs w:val="28"/>
          <w:highlight w:val="none"/>
        </w:rPr>
        <w:t>乡居民基本医疗保险财政补助资金</w:t>
      </w:r>
      <w:r>
        <w:rPr>
          <w:rFonts w:hint="eastAsia" w:ascii="仿宋_GB2312" w:hAnsi="Times New Roman" w:eastAsia="仿宋_GB2312" w:cs="Times New Roman"/>
          <w:sz w:val="28"/>
          <w:szCs w:val="28"/>
          <w:highlight w:val="none"/>
          <w:lang w:eastAsia="zh-CN"/>
        </w:rPr>
        <w:t>减少</w:t>
      </w:r>
      <w:r>
        <w:rPr>
          <w:rFonts w:hint="eastAsia" w:ascii="仿宋_GB2312" w:hAnsi="Times New Roman" w:eastAsia="仿宋_GB2312" w:cs="Times New Roman"/>
          <w:sz w:val="28"/>
          <w:szCs w:val="28"/>
          <w:highlight w:val="none"/>
        </w:rPr>
        <w:t>。</w:t>
      </w:r>
    </w:p>
    <w:p>
      <w:pPr>
        <w:tabs>
          <w:tab w:val="center" w:pos="6979"/>
        </w:tabs>
        <w:spacing w:line="520" w:lineRule="exact"/>
        <w:ind w:firstLine="560" w:firstLineChars="200"/>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“医疗救助”（款）202</w:t>
      </w:r>
      <w:r>
        <w:rPr>
          <w:rFonts w:hint="eastAsia" w:ascii="仿宋_GB2312" w:hAnsi="Times New Roman" w:eastAsia="仿宋_GB2312" w:cs="Times New Roman"/>
          <w:sz w:val="28"/>
          <w:szCs w:val="28"/>
          <w:highlight w:val="none"/>
          <w:lang w:val="en-US" w:eastAsia="zh-CN"/>
        </w:rPr>
        <w:t>5</w:t>
      </w:r>
      <w:r>
        <w:rPr>
          <w:rFonts w:hint="eastAsia" w:ascii="仿宋_GB2312" w:hAnsi="Times New Roman" w:eastAsia="仿宋_GB2312" w:cs="Times New Roman"/>
          <w:sz w:val="28"/>
          <w:szCs w:val="28"/>
          <w:highlight w:val="none"/>
        </w:rPr>
        <w:t>年度</w:t>
      </w:r>
      <w:r>
        <w:rPr>
          <w:rFonts w:hint="eastAsia" w:ascii="仿宋_GB2312" w:hAnsi="Times New Roman" w:eastAsia="仿宋_GB2312" w:cs="Times New Roman"/>
          <w:sz w:val="28"/>
          <w:szCs w:val="28"/>
          <w:highlight w:val="none"/>
          <w:lang w:val="en-US" w:eastAsia="zh-CN"/>
        </w:rPr>
        <w:t>年</w:t>
      </w:r>
      <w:r>
        <w:rPr>
          <w:rFonts w:hint="eastAsia" w:ascii="仿宋_GB2312" w:hAnsi="Times New Roman" w:eastAsia="仿宋_GB2312" w:cs="Times New Roman"/>
          <w:sz w:val="28"/>
          <w:szCs w:val="28"/>
          <w:highlight w:val="none"/>
          <w:lang w:val="en-US" w:eastAsia="zh-CN"/>
        </w:rPr>
        <w:t>初预算32,550,000.00元，2025年度</w:t>
      </w:r>
      <w:r>
        <w:rPr>
          <w:rFonts w:hint="eastAsia" w:ascii="仿宋_GB2312" w:hAnsi="Times New Roman" w:eastAsia="仿宋_GB2312" w:cs="Times New Roman"/>
          <w:sz w:val="28"/>
          <w:szCs w:val="28"/>
          <w:highlight w:val="none"/>
        </w:rPr>
        <w:t>决算32,087,181.12</w:t>
      </w:r>
      <w:r>
        <w:rPr>
          <w:rFonts w:hint="eastAsia" w:ascii="仿宋_GB2312" w:eastAsia="仿宋_GB2312"/>
          <w:sz w:val="28"/>
          <w:szCs w:val="28"/>
          <w:highlight w:val="none"/>
        </w:rPr>
        <w:t>元</w:t>
      </w:r>
      <w:r>
        <w:rPr>
          <w:rFonts w:hint="eastAsia" w:ascii="仿宋_GB2312" w:hAnsi="Times New Roman" w:eastAsia="仿宋_GB2312" w:cs="Times New Roman"/>
          <w:sz w:val="28"/>
          <w:szCs w:val="28"/>
          <w:highlight w:val="none"/>
        </w:rPr>
        <w:t>，</w:t>
      </w:r>
      <w:r>
        <w:rPr>
          <w:rFonts w:hint="eastAsia" w:ascii="仿宋_GB2312" w:hAnsi="Times New Roman" w:eastAsia="仿宋_GB2312" w:cs="Times New Roman"/>
          <w:sz w:val="28"/>
          <w:szCs w:val="28"/>
          <w:highlight w:val="none"/>
          <w:lang w:eastAsia="zh-CN"/>
        </w:rPr>
        <w:t>完成年初预算的</w:t>
      </w:r>
      <w:r>
        <w:rPr>
          <w:rFonts w:hint="eastAsia" w:ascii="仿宋_GB2312" w:hAnsi="Times New Roman" w:eastAsia="仿宋_GB2312" w:cs="Times New Roman"/>
          <w:sz w:val="28"/>
          <w:szCs w:val="28"/>
          <w:highlight w:val="none"/>
          <w:lang w:val="en-US" w:eastAsia="zh-CN"/>
        </w:rPr>
        <w:t>98.</w:t>
      </w:r>
      <w:r>
        <w:rPr>
          <w:rFonts w:hint="eastAsia" w:ascii="仿宋_GB2312" w:eastAsia="仿宋_GB2312" w:cs="Times New Roman"/>
          <w:sz w:val="28"/>
          <w:szCs w:val="28"/>
          <w:highlight w:val="none"/>
          <w:lang w:val="en-US" w:eastAsia="zh-CN"/>
        </w:rPr>
        <w:t>6</w:t>
      </w:r>
      <w:r>
        <w:rPr>
          <w:rFonts w:hint="eastAsia" w:ascii="仿宋_GB2312" w:hAnsi="Times New Roman" w:eastAsia="仿宋_GB2312" w:cs="Times New Roman"/>
          <w:sz w:val="28"/>
          <w:szCs w:val="28"/>
          <w:highlight w:val="none"/>
          <w:lang w:val="en-US" w:eastAsia="zh-CN"/>
        </w:rPr>
        <w:t>%。</w:t>
      </w:r>
      <w:r>
        <w:rPr>
          <w:rFonts w:hint="eastAsia" w:ascii="仿宋_GB2312" w:hAnsi="Times New Roman" w:eastAsia="仿宋_GB2312" w:cs="Times New Roman"/>
          <w:sz w:val="28"/>
          <w:szCs w:val="28"/>
          <w:highlight w:val="none"/>
        </w:rPr>
        <w:t>主要原因：</w:t>
      </w:r>
      <w:r>
        <w:rPr>
          <w:rFonts w:hint="eastAsia" w:ascii="仿宋_GB2312" w:hAnsi="Times New Roman" w:eastAsia="仿宋_GB2312" w:cs="Times New Roman"/>
          <w:sz w:val="28"/>
          <w:szCs w:val="28"/>
          <w:highlight w:val="none"/>
          <w:lang w:eastAsia="zh-CN"/>
        </w:rPr>
        <w:t>上缴</w:t>
      </w:r>
      <w:r>
        <w:rPr>
          <w:rFonts w:hint="eastAsia" w:ascii="仿宋_GB2312" w:hAnsi="Times New Roman" w:eastAsia="仿宋_GB2312" w:cs="Times New Roman"/>
          <w:sz w:val="28"/>
          <w:szCs w:val="28"/>
          <w:highlight w:val="none"/>
        </w:rPr>
        <w:t>城乡社会救助对象医疗救助</w:t>
      </w:r>
      <w:r>
        <w:rPr>
          <w:rFonts w:hint="eastAsia" w:ascii="仿宋_GB2312" w:hAnsi="Times New Roman" w:eastAsia="仿宋_GB2312" w:cs="Times New Roman"/>
          <w:sz w:val="28"/>
          <w:szCs w:val="28"/>
          <w:highlight w:val="none"/>
          <w:lang w:eastAsia="zh-CN"/>
        </w:rPr>
        <w:t>资金减少。</w:t>
      </w:r>
    </w:p>
    <w:p>
      <w:pPr>
        <w:tabs>
          <w:tab w:val="center" w:pos="6979"/>
        </w:tabs>
        <w:spacing w:line="520" w:lineRule="exact"/>
        <w:ind w:firstLine="560" w:firstLineChars="200"/>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“医疗保障管理事务”（款）202</w:t>
      </w:r>
      <w:r>
        <w:rPr>
          <w:rFonts w:hint="eastAsia" w:ascii="仿宋_GB2312" w:hAnsi="Times New Roman" w:eastAsia="仿宋_GB2312" w:cs="Times New Roman"/>
          <w:sz w:val="28"/>
          <w:szCs w:val="28"/>
          <w:highlight w:val="none"/>
          <w:lang w:val="en-US" w:eastAsia="zh-CN"/>
        </w:rPr>
        <w:t>5</w:t>
      </w:r>
      <w:r>
        <w:rPr>
          <w:rFonts w:hint="eastAsia" w:ascii="仿宋_GB2312" w:hAnsi="Times New Roman" w:eastAsia="仿宋_GB2312" w:cs="Times New Roman"/>
          <w:sz w:val="28"/>
          <w:szCs w:val="28"/>
          <w:highlight w:val="none"/>
        </w:rPr>
        <w:t>年度</w:t>
      </w:r>
      <w:r>
        <w:rPr>
          <w:rFonts w:hint="eastAsia" w:ascii="仿宋_GB2312" w:hAnsi="Times New Roman" w:eastAsia="仿宋_GB2312" w:cs="Times New Roman"/>
          <w:sz w:val="28"/>
          <w:szCs w:val="28"/>
          <w:highlight w:val="none"/>
          <w:lang w:val="en-US" w:eastAsia="zh-CN"/>
        </w:rPr>
        <w:t>年初预算17,227,785.09元，2025年度</w:t>
      </w:r>
      <w:r>
        <w:rPr>
          <w:rFonts w:hint="eastAsia" w:ascii="仿宋_GB2312" w:hAnsi="Times New Roman" w:eastAsia="仿宋_GB2312" w:cs="Times New Roman"/>
          <w:sz w:val="28"/>
          <w:szCs w:val="28"/>
          <w:highlight w:val="none"/>
        </w:rPr>
        <w:t>决算19,916,988.37</w:t>
      </w:r>
      <w:r>
        <w:rPr>
          <w:rFonts w:hint="eastAsia" w:ascii="仿宋_GB2312" w:eastAsia="仿宋_GB2312"/>
          <w:sz w:val="28"/>
          <w:szCs w:val="28"/>
          <w:highlight w:val="none"/>
        </w:rPr>
        <w:t>元</w:t>
      </w:r>
      <w:r>
        <w:rPr>
          <w:rFonts w:hint="eastAsia" w:ascii="仿宋_GB2312" w:hAnsi="Times New Roman" w:eastAsia="仿宋_GB2312" w:cs="Times New Roman"/>
          <w:sz w:val="28"/>
          <w:szCs w:val="28"/>
          <w:highlight w:val="none"/>
        </w:rPr>
        <w:t>，</w:t>
      </w:r>
      <w:r>
        <w:rPr>
          <w:rFonts w:hint="eastAsia" w:ascii="仿宋_GB2312" w:hAnsi="Times New Roman" w:eastAsia="仿宋_GB2312" w:cs="Times New Roman"/>
          <w:sz w:val="28"/>
          <w:szCs w:val="28"/>
          <w:highlight w:val="none"/>
          <w:lang w:eastAsia="zh-CN"/>
        </w:rPr>
        <w:t>完成年初预算的</w:t>
      </w:r>
      <w:r>
        <w:rPr>
          <w:rFonts w:hint="eastAsia" w:ascii="仿宋_GB2312" w:hAnsi="Times New Roman" w:eastAsia="仿宋_GB2312" w:cs="Times New Roman"/>
          <w:sz w:val="28"/>
          <w:szCs w:val="28"/>
          <w:highlight w:val="none"/>
          <w:lang w:val="en-US" w:eastAsia="zh-CN"/>
        </w:rPr>
        <w:t>115.</w:t>
      </w:r>
      <w:r>
        <w:rPr>
          <w:rFonts w:hint="eastAsia" w:ascii="仿宋_GB2312" w:eastAsia="仿宋_GB2312" w:cs="Times New Roman"/>
          <w:sz w:val="28"/>
          <w:szCs w:val="28"/>
          <w:highlight w:val="none"/>
          <w:lang w:val="en-US" w:eastAsia="zh-CN"/>
        </w:rPr>
        <w:t>6</w:t>
      </w:r>
      <w:r>
        <w:rPr>
          <w:rFonts w:hint="eastAsia" w:ascii="仿宋_GB2312" w:hAnsi="Times New Roman" w:eastAsia="仿宋_GB2312" w:cs="Times New Roman"/>
          <w:sz w:val="28"/>
          <w:szCs w:val="28"/>
          <w:highlight w:val="none"/>
          <w:lang w:val="en-US" w:eastAsia="zh-CN"/>
        </w:rPr>
        <w:t>%。</w:t>
      </w:r>
      <w:r>
        <w:rPr>
          <w:rFonts w:hint="eastAsia" w:ascii="仿宋_GB2312" w:hAnsi="Times New Roman" w:eastAsia="仿宋_GB2312" w:cs="Times New Roman"/>
          <w:sz w:val="28"/>
          <w:szCs w:val="28"/>
          <w:highlight w:val="none"/>
        </w:rPr>
        <w:t>主要原因：资助困难群众购买“北京普惠健康保”项目</w:t>
      </w:r>
      <w:r>
        <w:rPr>
          <w:rFonts w:hint="eastAsia" w:ascii="仿宋_GB2312" w:hAnsi="Times New Roman" w:eastAsia="仿宋_GB2312" w:cs="Times New Roman"/>
          <w:sz w:val="28"/>
          <w:szCs w:val="28"/>
          <w:highlight w:val="none"/>
          <w:lang w:eastAsia="zh-CN"/>
        </w:rPr>
        <w:t>资金增加、在职人员工资涨级涨档、追加经办业务辅助服务项目资金等</w:t>
      </w:r>
      <w:r>
        <w:rPr>
          <w:rFonts w:hint="eastAsia" w:ascii="仿宋_GB2312" w:hAnsi="Times New Roman" w:eastAsia="仿宋_GB2312" w:cs="Times New Roman"/>
          <w:sz w:val="28"/>
          <w:szCs w:val="28"/>
          <w:highlight w:val="none"/>
        </w:rPr>
        <w:t>。</w:t>
      </w:r>
    </w:p>
    <w:p>
      <w:pPr>
        <w:numPr>
          <w:ilvl w:val="0"/>
          <w:numId w:val="1"/>
        </w:numPr>
        <w:tabs>
          <w:tab w:val="center" w:pos="6979"/>
        </w:tabs>
        <w:spacing w:line="520" w:lineRule="exact"/>
        <w:ind w:firstLine="560" w:firstLineChars="200"/>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rPr>
        <w:t>“资源勘探工业信息等支出”（类）202</w:t>
      </w:r>
      <w:r>
        <w:rPr>
          <w:rFonts w:hint="eastAsia" w:ascii="仿宋_GB2312" w:hAnsi="Times New Roman" w:eastAsia="仿宋_GB2312" w:cs="Times New Roman"/>
          <w:sz w:val="28"/>
          <w:szCs w:val="28"/>
          <w:highlight w:val="none"/>
          <w:lang w:val="en-US" w:eastAsia="zh-CN"/>
        </w:rPr>
        <w:t>5</w:t>
      </w:r>
      <w:r>
        <w:rPr>
          <w:rFonts w:hint="eastAsia" w:ascii="仿宋_GB2312" w:hAnsi="Times New Roman" w:eastAsia="仿宋_GB2312" w:cs="Times New Roman"/>
          <w:sz w:val="28"/>
          <w:szCs w:val="28"/>
          <w:highlight w:val="none"/>
        </w:rPr>
        <w:t>年度</w:t>
      </w:r>
      <w:r>
        <w:rPr>
          <w:rFonts w:hint="eastAsia" w:ascii="仿宋_GB2312" w:hAnsi="Times New Roman" w:eastAsia="仿宋_GB2312" w:cs="Times New Roman"/>
          <w:sz w:val="28"/>
          <w:szCs w:val="28"/>
          <w:highlight w:val="none"/>
          <w:lang w:val="en-US" w:eastAsia="zh-CN"/>
        </w:rPr>
        <w:t>年初预算0万元，2025年度</w:t>
      </w:r>
      <w:r>
        <w:rPr>
          <w:rFonts w:hint="eastAsia" w:ascii="仿宋_GB2312" w:hAnsi="Times New Roman" w:eastAsia="仿宋_GB2312" w:cs="Times New Roman"/>
          <w:sz w:val="28"/>
          <w:szCs w:val="28"/>
          <w:highlight w:val="none"/>
        </w:rPr>
        <w:t>决算5,166.00</w:t>
      </w:r>
      <w:r>
        <w:rPr>
          <w:rFonts w:hint="eastAsia" w:ascii="仿宋_GB2312" w:eastAsia="仿宋_GB2312"/>
          <w:sz w:val="28"/>
          <w:szCs w:val="28"/>
          <w:highlight w:val="none"/>
        </w:rPr>
        <w:t>元</w:t>
      </w:r>
      <w:r>
        <w:rPr>
          <w:rFonts w:hint="eastAsia" w:ascii="仿宋_GB2312" w:hAnsi="Times New Roman" w:eastAsia="仿宋_GB2312" w:cs="Times New Roman"/>
          <w:sz w:val="28"/>
          <w:szCs w:val="28"/>
          <w:highlight w:val="none"/>
        </w:rPr>
        <w:t>，</w:t>
      </w:r>
      <w:r>
        <w:rPr>
          <w:rFonts w:hint="eastAsia" w:ascii="仿宋_GB2312" w:hAnsi="Times New Roman" w:eastAsia="仿宋_GB2312" w:cs="Times New Roman"/>
          <w:sz w:val="28"/>
          <w:szCs w:val="28"/>
          <w:highlight w:val="none"/>
          <w:lang w:eastAsia="zh-CN"/>
        </w:rPr>
        <w:t>完成年初预算的</w:t>
      </w:r>
      <w:r>
        <w:rPr>
          <w:rFonts w:hint="eastAsia" w:ascii="仿宋_GB2312" w:hAnsi="Times New Roman" w:eastAsia="仿宋_GB2312" w:cs="Times New Roman"/>
          <w:sz w:val="28"/>
          <w:szCs w:val="28"/>
          <w:highlight w:val="none"/>
          <w:lang w:val="en-US" w:eastAsia="zh-CN"/>
        </w:rPr>
        <w:t>0%。</w:t>
      </w:r>
    </w:p>
    <w:p>
      <w:pPr>
        <w:tabs>
          <w:tab w:val="center" w:pos="6979"/>
        </w:tabs>
        <w:spacing w:line="520" w:lineRule="exact"/>
        <w:ind w:firstLine="560" w:firstLineChars="200"/>
        <w:rPr>
          <w:rFonts w:hint="eastAsia"/>
          <w:highlight w:val="none"/>
        </w:rPr>
      </w:pPr>
      <w:r>
        <w:rPr>
          <w:rFonts w:hint="eastAsia" w:ascii="仿宋_GB2312" w:hAnsi="Times New Roman" w:eastAsia="仿宋_GB2312" w:cs="Times New Roman"/>
          <w:sz w:val="28"/>
          <w:szCs w:val="28"/>
          <w:highlight w:val="none"/>
        </w:rPr>
        <w:t>“</w:t>
      </w:r>
      <w:r>
        <w:rPr>
          <w:rFonts w:hint="eastAsia" w:ascii="仿宋_GB2312" w:hAnsi="Times New Roman" w:eastAsia="仿宋_GB2312" w:cs="Times New Roman"/>
          <w:sz w:val="28"/>
          <w:szCs w:val="28"/>
          <w:highlight w:val="none"/>
          <w:lang w:val="en-US" w:eastAsia="zh-CN"/>
        </w:rPr>
        <w:t>制造业</w:t>
      </w:r>
      <w:r>
        <w:rPr>
          <w:rFonts w:hint="eastAsia" w:ascii="仿宋_GB2312" w:hAnsi="Times New Roman" w:eastAsia="仿宋_GB2312" w:cs="Times New Roman"/>
          <w:sz w:val="28"/>
          <w:szCs w:val="28"/>
          <w:highlight w:val="none"/>
        </w:rPr>
        <w:t>”（款）202</w:t>
      </w:r>
      <w:r>
        <w:rPr>
          <w:rFonts w:hint="eastAsia" w:ascii="仿宋_GB2312" w:hAnsi="Times New Roman" w:eastAsia="仿宋_GB2312" w:cs="Times New Roman"/>
          <w:sz w:val="28"/>
          <w:szCs w:val="28"/>
          <w:highlight w:val="none"/>
          <w:lang w:val="en-US" w:eastAsia="zh-CN"/>
        </w:rPr>
        <w:t>5</w:t>
      </w:r>
      <w:r>
        <w:rPr>
          <w:rFonts w:hint="eastAsia" w:ascii="仿宋_GB2312" w:hAnsi="Times New Roman" w:eastAsia="仿宋_GB2312" w:cs="Times New Roman"/>
          <w:sz w:val="28"/>
          <w:szCs w:val="28"/>
          <w:highlight w:val="none"/>
        </w:rPr>
        <w:t>年度决算</w:t>
      </w:r>
      <w:r>
        <w:rPr>
          <w:rFonts w:hint="eastAsia" w:ascii="仿宋_GB2312" w:hAnsi="Times New Roman" w:eastAsia="仿宋_GB2312" w:cs="Times New Roman"/>
          <w:sz w:val="28"/>
          <w:szCs w:val="28"/>
          <w:highlight w:val="none"/>
        </w:rPr>
        <w:t>5,166.00</w:t>
      </w:r>
      <w:r>
        <w:rPr>
          <w:rFonts w:hint="eastAsia" w:ascii="仿宋_GB2312" w:hAnsi="Times New Roman" w:eastAsia="仿宋_GB2312" w:cs="Times New Roman"/>
          <w:sz w:val="28"/>
          <w:szCs w:val="28"/>
          <w:highlight w:val="none"/>
        </w:rPr>
        <w:t>元，比202</w:t>
      </w:r>
      <w:r>
        <w:rPr>
          <w:rFonts w:hint="eastAsia" w:ascii="仿宋_GB2312" w:hAnsi="Times New Roman" w:eastAsia="仿宋_GB2312" w:cs="Times New Roman"/>
          <w:sz w:val="28"/>
          <w:szCs w:val="28"/>
          <w:highlight w:val="none"/>
          <w:lang w:val="en-US" w:eastAsia="zh-CN"/>
        </w:rPr>
        <w:t>5</w:t>
      </w:r>
      <w:r>
        <w:rPr>
          <w:rFonts w:hint="eastAsia" w:ascii="仿宋_GB2312" w:hAnsi="Times New Roman" w:eastAsia="仿宋_GB2312" w:cs="Times New Roman"/>
          <w:sz w:val="28"/>
          <w:szCs w:val="28"/>
          <w:highlight w:val="none"/>
        </w:rPr>
        <w:t>年年初预算增加</w:t>
      </w:r>
      <w:r>
        <w:rPr>
          <w:rFonts w:hint="eastAsia" w:ascii="仿宋_GB2312" w:hAnsi="Times New Roman" w:eastAsia="仿宋_GB2312" w:cs="Times New Roman"/>
          <w:sz w:val="28"/>
          <w:szCs w:val="28"/>
          <w:highlight w:val="none"/>
        </w:rPr>
        <w:t>5,166.00</w:t>
      </w:r>
      <w:r>
        <w:rPr>
          <w:rFonts w:hint="eastAsia" w:ascii="仿宋_GB2312" w:hAnsi="Times New Roman" w:eastAsia="仿宋_GB2312" w:cs="Times New Roman"/>
          <w:sz w:val="28"/>
          <w:szCs w:val="28"/>
          <w:highlight w:val="none"/>
        </w:rPr>
        <w:t>元，增长</w:t>
      </w:r>
      <w:r>
        <w:rPr>
          <w:rFonts w:hint="eastAsia" w:ascii="仿宋_GB2312" w:hAnsi="Times New Roman" w:eastAsia="仿宋_GB2312" w:cs="Times New Roman"/>
          <w:sz w:val="28"/>
          <w:szCs w:val="28"/>
          <w:highlight w:val="none"/>
          <w:lang w:val="en-US" w:eastAsia="zh-CN"/>
        </w:rPr>
        <w:t>100</w:t>
      </w:r>
      <w:r>
        <w:rPr>
          <w:rFonts w:hint="eastAsia" w:ascii="仿宋_GB2312" w:hAnsi="Times New Roman" w:eastAsia="仿宋_GB2312" w:cs="Times New Roman"/>
          <w:sz w:val="28"/>
          <w:szCs w:val="28"/>
          <w:highlight w:val="none"/>
        </w:rPr>
        <w:t>%。</w:t>
      </w:r>
      <w:r>
        <w:rPr>
          <w:rFonts w:hint="eastAsia" w:ascii="仿宋_GB2312" w:hAnsi="Times New Roman" w:eastAsia="仿宋_GB2312" w:cs="Times New Roman"/>
          <w:sz w:val="28"/>
          <w:szCs w:val="28"/>
          <w:highlight w:val="none"/>
        </w:rPr>
        <w:t>主要原因：</w:t>
      </w:r>
      <w:r>
        <w:rPr>
          <w:rFonts w:hint="eastAsia" w:ascii="仿宋_GB2312" w:hAnsi="Times New Roman" w:eastAsia="仿宋_GB2312" w:cs="Times New Roman"/>
          <w:sz w:val="28"/>
          <w:szCs w:val="28"/>
          <w:highlight w:val="none"/>
          <w:lang w:eastAsia="zh-CN"/>
        </w:rPr>
        <w:t>增加</w:t>
      </w:r>
      <w:r>
        <w:rPr>
          <w:rFonts w:hint="eastAsia" w:ascii="仿宋_GB2312" w:hAnsi="Times New Roman" w:eastAsia="仿宋_GB2312" w:cs="Times New Roman"/>
          <w:sz w:val="28"/>
          <w:szCs w:val="28"/>
          <w:highlight w:val="none"/>
        </w:rPr>
        <w:t>能力提升设备采购项目</w:t>
      </w:r>
      <w:r>
        <w:rPr>
          <w:rFonts w:hint="eastAsia" w:ascii="仿宋_GB2312" w:hAnsi="Times New Roman" w:eastAsia="仿宋_GB2312" w:cs="Times New Roman"/>
          <w:sz w:val="28"/>
          <w:szCs w:val="28"/>
          <w:highlight w:val="none"/>
          <w:lang w:eastAsia="zh-CN"/>
        </w:rPr>
        <w:t>。</w:t>
      </w:r>
    </w:p>
    <w:p>
      <w:pPr>
        <w:spacing w:line="580" w:lineRule="exact"/>
        <w:ind w:firstLine="560" w:firstLineChars="200"/>
        <w:rPr>
          <w:rFonts w:ascii="仿宋_GB2312" w:eastAsia="仿宋_GB2312"/>
          <w:sz w:val="28"/>
          <w:szCs w:val="28"/>
          <w:highlight w:val="none"/>
        </w:rPr>
      </w:pPr>
      <w:r>
        <w:rPr>
          <w:rFonts w:hint="eastAsia" w:ascii="黑体" w:eastAsia="黑体"/>
          <w:b/>
          <w:sz w:val="28"/>
          <w:szCs w:val="28"/>
          <w:highlight w:val="none"/>
        </w:rPr>
        <w:t>五、政府性基金预算财政拨款支出决算情况说明</w:t>
      </w:r>
    </w:p>
    <w:p>
      <w:pPr>
        <w:spacing w:line="580" w:lineRule="exact"/>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rPr>
        <w:t>本部门2025年无</w:t>
      </w:r>
      <w:r>
        <w:rPr>
          <w:rFonts w:hint="eastAsia" w:ascii="仿宋_GB2312" w:eastAsia="仿宋_GB2312"/>
          <w:sz w:val="28"/>
          <w:szCs w:val="28"/>
          <w:highlight w:val="none"/>
          <w:lang w:eastAsia="zh-CN"/>
        </w:rPr>
        <w:t>此项</w:t>
      </w:r>
      <w:r>
        <w:rPr>
          <w:rFonts w:hint="eastAsia" w:ascii="仿宋_GB2312" w:eastAsia="仿宋_GB2312"/>
          <w:sz w:val="28"/>
          <w:szCs w:val="28"/>
          <w:highlight w:val="none"/>
        </w:rPr>
        <w:t>支出</w:t>
      </w:r>
      <w:r>
        <w:rPr>
          <w:rFonts w:hint="eastAsia" w:ascii="仿宋_GB2312" w:eastAsia="仿宋_GB2312"/>
          <w:sz w:val="28"/>
          <w:szCs w:val="28"/>
          <w:highlight w:val="none"/>
          <w:lang w:eastAsia="zh-CN"/>
        </w:rPr>
        <w:t>。</w:t>
      </w:r>
    </w:p>
    <w:p>
      <w:pPr>
        <w:spacing w:line="580" w:lineRule="exact"/>
        <w:ind w:firstLine="560" w:firstLineChars="200"/>
        <w:rPr>
          <w:rFonts w:ascii="黑体" w:eastAsia="黑体"/>
          <w:b/>
          <w:sz w:val="28"/>
          <w:szCs w:val="28"/>
          <w:highlight w:val="none"/>
        </w:rPr>
      </w:pPr>
      <w:r>
        <w:rPr>
          <w:rFonts w:hint="eastAsia" w:ascii="黑体" w:eastAsia="黑体"/>
          <w:b/>
          <w:sz w:val="28"/>
          <w:szCs w:val="28"/>
          <w:highlight w:val="none"/>
        </w:rPr>
        <w:t>六、国有资本经营预算财</w:t>
      </w:r>
      <w:r>
        <w:rPr>
          <w:rFonts w:ascii="黑体" w:eastAsia="黑体"/>
          <w:b/>
          <w:sz w:val="28"/>
          <w:szCs w:val="28"/>
          <w:highlight w:val="none"/>
        </w:rPr>
        <w:t>政拨款</w:t>
      </w:r>
      <w:r>
        <w:rPr>
          <w:rFonts w:hint="eastAsia" w:ascii="黑体" w:eastAsia="黑体"/>
          <w:b/>
          <w:sz w:val="28"/>
          <w:szCs w:val="28"/>
          <w:highlight w:val="none"/>
        </w:rPr>
        <w:t>收支情况</w:t>
      </w:r>
    </w:p>
    <w:p>
      <w:pPr>
        <w:spacing w:line="580" w:lineRule="exact"/>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rPr>
        <w:t>本部门2025年无</w:t>
      </w:r>
      <w:r>
        <w:rPr>
          <w:rFonts w:hint="eastAsia" w:ascii="仿宋_GB2312" w:eastAsia="仿宋_GB2312"/>
          <w:sz w:val="28"/>
          <w:szCs w:val="28"/>
          <w:highlight w:val="none"/>
          <w:lang w:eastAsia="zh-CN"/>
        </w:rPr>
        <w:t>此项</w:t>
      </w:r>
      <w:r>
        <w:rPr>
          <w:rFonts w:hint="eastAsia" w:ascii="仿宋_GB2312" w:eastAsia="仿宋_GB2312"/>
          <w:sz w:val="28"/>
          <w:szCs w:val="28"/>
          <w:highlight w:val="none"/>
        </w:rPr>
        <w:t>支出</w:t>
      </w:r>
      <w:r>
        <w:rPr>
          <w:rFonts w:hint="eastAsia" w:ascii="仿宋_GB2312" w:eastAsia="仿宋_GB2312"/>
          <w:sz w:val="28"/>
          <w:szCs w:val="28"/>
          <w:highlight w:val="none"/>
          <w:lang w:eastAsia="zh-CN"/>
        </w:rPr>
        <w:t>。</w:t>
      </w:r>
    </w:p>
    <w:p>
      <w:pPr>
        <w:spacing w:line="580" w:lineRule="exact"/>
        <w:ind w:firstLine="548" w:firstLineChars="196"/>
        <w:rPr>
          <w:rFonts w:ascii="黑体" w:eastAsia="黑体"/>
          <w:sz w:val="28"/>
          <w:szCs w:val="28"/>
          <w:highlight w:val="none"/>
        </w:rPr>
      </w:pPr>
      <w:r>
        <w:rPr>
          <w:rFonts w:hint="eastAsia" w:ascii="黑体" w:eastAsia="黑体"/>
          <w:b/>
          <w:sz w:val="28"/>
          <w:szCs w:val="28"/>
          <w:highlight w:val="none"/>
        </w:rPr>
        <w:t>七、财政拨款基本支出决算情况说明</w:t>
      </w:r>
    </w:p>
    <w:p>
      <w:pPr>
        <w:tabs>
          <w:tab w:val="center" w:pos="6979"/>
        </w:tabs>
        <w:spacing w:line="580" w:lineRule="exact"/>
        <w:ind w:firstLine="548" w:firstLineChars="196"/>
        <w:rPr>
          <w:rFonts w:ascii="黑体" w:eastAsia="黑体"/>
          <w:b/>
          <w:sz w:val="28"/>
          <w:szCs w:val="28"/>
          <w:highlight w:val="none"/>
        </w:rPr>
      </w:pPr>
      <w:r>
        <w:rPr>
          <w:rFonts w:hint="eastAsia" w:ascii="仿宋_GB2312" w:eastAsia="仿宋_GB2312"/>
          <w:sz w:val="28"/>
          <w:szCs w:val="28"/>
          <w:highlight w:val="none"/>
        </w:rPr>
        <w:t>2025年度使用一般公共预算财政拨款安排基本支出</w:t>
      </w:r>
      <w:r>
        <w:rPr>
          <w:rFonts w:ascii="仿宋_GB2312" w:eastAsia="仿宋_GB2312"/>
          <w:sz w:val="28"/>
          <w:szCs w:val="28"/>
          <w:highlight w:val="none"/>
        </w:rPr>
        <w:t>15</w:t>
      </w:r>
      <w:r>
        <w:rPr>
          <w:rFonts w:hint="eastAsia" w:ascii="仿宋_GB2312" w:eastAsia="仿宋_GB2312"/>
          <w:sz w:val="28"/>
          <w:szCs w:val="28"/>
          <w:highlight w:val="none"/>
          <w:lang w:val="en-US" w:eastAsia="zh-CN"/>
        </w:rPr>
        <w:t>,</w:t>
      </w:r>
      <w:r>
        <w:rPr>
          <w:rFonts w:ascii="仿宋_GB2312" w:eastAsia="仿宋_GB2312"/>
          <w:sz w:val="28"/>
          <w:szCs w:val="28"/>
          <w:highlight w:val="none"/>
        </w:rPr>
        <w:t>655</w:t>
      </w:r>
      <w:r>
        <w:rPr>
          <w:rFonts w:hint="eastAsia" w:ascii="仿宋_GB2312" w:eastAsia="仿宋_GB2312"/>
          <w:sz w:val="28"/>
          <w:szCs w:val="28"/>
          <w:highlight w:val="none"/>
          <w:lang w:val="en-US" w:eastAsia="zh-CN"/>
        </w:rPr>
        <w:t>,</w:t>
      </w:r>
      <w:r>
        <w:rPr>
          <w:rFonts w:ascii="仿宋_GB2312" w:eastAsia="仿宋_GB2312"/>
          <w:sz w:val="28"/>
          <w:szCs w:val="28"/>
          <w:highlight w:val="none"/>
        </w:rPr>
        <w:t>511.17</w:t>
      </w:r>
      <w:r>
        <w:rPr>
          <w:rFonts w:hint="eastAsia" w:ascii="仿宋_GB2312" w:eastAsia="仿宋_GB2312"/>
          <w:sz w:val="28"/>
          <w:szCs w:val="28"/>
          <w:highlight w:val="none"/>
        </w:rPr>
        <w:t>元，使用政府性基金财政拨款安排基本支出</w:t>
      </w:r>
      <w:r>
        <w:rPr>
          <w:rFonts w:ascii="仿宋_GB2312" w:eastAsia="仿宋_GB2312"/>
          <w:sz w:val="28"/>
          <w:szCs w:val="28"/>
          <w:highlight w:val="none"/>
        </w:rPr>
        <w:t>0</w:t>
      </w:r>
      <w:r>
        <w:rPr>
          <w:rFonts w:hint="eastAsia" w:ascii="仿宋_GB2312" w:eastAsia="仿宋_GB2312"/>
          <w:sz w:val="28"/>
          <w:szCs w:val="28"/>
          <w:highlight w:val="none"/>
        </w:rPr>
        <w:t>元，（1）工资福利支出包括基本工资</w:t>
      </w:r>
      <w:r>
        <w:rPr>
          <w:rFonts w:ascii="仿宋_GB2312" w:eastAsia="仿宋_GB2312"/>
          <w:sz w:val="28"/>
          <w:szCs w:val="28"/>
          <w:highlight w:val="none"/>
        </w:rPr>
        <w:t>、津贴补贴、奖金、伙食补助费、绩效工资、</w:t>
      </w:r>
      <w:r>
        <w:rPr>
          <w:rFonts w:hint="eastAsia" w:ascii="仿宋_GB2312" w:eastAsia="仿宋_GB2312"/>
          <w:sz w:val="28"/>
          <w:szCs w:val="28"/>
          <w:highlight w:val="none"/>
        </w:rPr>
        <w:t>其他</w:t>
      </w:r>
      <w:r>
        <w:rPr>
          <w:rFonts w:ascii="仿宋_GB2312" w:eastAsia="仿宋_GB2312"/>
          <w:sz w:val="28"/>
          <w:szCs w:val="28"/>
          <w:highlight w:val="none"/>
        </w:rPr>
        <w:t>社会保障缴费、其他工资福利</w:t>
      </w:r>
      <w:r>
        <w:rPr>
          <w:rFonts w:hint="eastAsia" w:ascii="仿宋_GB2312" w:eastAsia="仿宋_GB2312"/>
          <w:sz w:val="28"/>
          <w:szCs w:val="28"/>
          <w:highlight w:val="none"/>
        </w:rPr>
        <w:t>等</w:t>
      </w:r>
      <w:r>
        <w:rPr>
          <w:rFonts w:ascii="仿宋_GB2312" w:eastAsia="仿宋_GB2312"/>
          <w:sz w:val="28"/>
          <w:szCs w:val="28"/>
          <w:highlight w:val="none"/>
        </w:rPr>
        <w:t>支出</w:t>
      </w:r>
      <w:r>
        <w:rPr>
          <w:rFonts w:hint="eastAsia" w:ascii="仿宋_GB2312" w:eastAsia="仿宋_GB2312"/>
          <w:sz w:val="28"/>
          <w:szCs w:val="28"/>
          <w:highlight w:val="none"/>
        </w:rPr>
        <w:t>；（2）商品和服务支出包括</w:t>
      </w:r>
      <w:r>
        <w:rPr>
          <w:rFonts w:ascii="仿宋_GB2312" w:eastAsia="仿宋_GB2312"/>
          <w:sz w:val="28"/>
          <w:szCs w:val="28"/>
          <w:highlight w:val="none"/>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highlight w:val="none"/>
        </w:rPr>
        <w:t>用</w:t>
      </w:r>
      <w:r>
        <w:rPr>
          <w:rFonts w:ascii="仿宋_GB2312" w:eastAsia="仿宋_GB2312"/>
          <w:sz w:val="28"/>
          <w:szCs w:val="28"/>
          <w:highlight w:val="none"/>
        </w:rPr>
        <w:t>、其他商品和服务</w:t>
      </w:r>
      <w:r>
        <w:rPr>
          <w:rFonts w:hint="eastAsia" w:ascii="仿宋_GB2312" w:eastAsia="仿宋_GB2312"/>
          <w:sz w:val="28"/>
          <w:szCs w:val="28"/>
          <w:highlight w:val="none"/>
        </w:rPr>
        <w:t>等</w:t>
      </w:r>
      <w:r>
        <w:rPr>
          <w:rFonts w:ascii="仿宋_GB2312" w:eastAsia="仿宋_GB2312"/>
          <w:sz w:val="28"/>
          <w:szCs w:val="28"/>
          <w:highlight w:val="none"/>
        </w:rPr>
        <w:t>支出</w:t>
      </w:r>
      <w:r>
        <w:rPr>
          <w:rFonts w:hint="eastAsia" w:ascii="仿宋_GB2312" w:eastAsia="仿宋_GB2312"/>
          <w:sz w:val="28"/>
          <w:szCs w:val="28"/>
          <w:highlight w:val="none"/>
        </w:rPr>
        <w:t>；（3）对个人和家庭补助支出包括</w:t>
      </w:r>
      <w:r>
        <w:rPr>
          <w:rFonts w:ascii="仿宋_GB2312" w:eastAsia="仿宋_GB2312"/>
          <w:sz w:val="28"/>
          <w:szCs w:val="28"/>
          <w:highlight w:val="none"/>
        </w:rPr>
        <w:t>离休费、退休费、抚恤金、生活补助、</w:t>
      </w:r>
      <w:r>
        <w:rPr>
          <w:rFonts w:hint="eastAsia" w:ascii="仿宋_GB2312" w:eastAsia="仿宋_GB2312"/>
          <w:sz w:val="28"/>
          <w:szCs w:val="28"/>
          <w:highlight w:val="none"/>
        </w:rPr>
        <w:t>救济费</w:t>
      </w:r>
      <w:r>
        <w:rPr>
          <w:rFonts w:ascii="仿宋_GB2312" w:eastAsia="仿宋_GB2312"/>
          <w:sz w:val="28"/>
          <w:szCs w:val="28"/>
          <w:highlight w:val="none"/>
        </w:rPr>
        <w:t>、医疗费</w:t>
      </w:r>
      <w:r>
        <w:rPr>
          <w:rFonts w:hint="eastAsia" w:ascii="仿宋_GB2312" w:eastAsia="仿宋_GB2312"/>
          <w:sz w:val="28"/>
          <w:szCs w:val="28"/>
          <w:highlight w:val="none"/>
        </w:rPr>
        <w:t>补助</w:t>
      </w:r>
      <w:r>
        <w:rPr>
          <w:rFonts w:ascii="仿宋_GB2312" w:eastAsia="仿宋_GB2312"/>
          <w:sz w:val="28"/>
          <w:szCs w:val="28"/>
          <w:highlight w:val="none"/>
        </w:rPr>
        <w:t>、助学金、奖励金</w:t>
      </w:r>
      <w:r>
        <w:rPr>
          <w:rFonts w:hint="eastAsia" w:ascii="仿宋_GB2312" w:eastAsia="仿宋_GB2312"/>
          <w:sz w:val="28"/>
          <w:szCs w:val="28"/>
          <w:highlight w:val="none"/>
        </w:rPr>
        <w:t>、</w:t>
      </w:r>
      <w:r>
        <w:rPr>
          <w:rFonts w:ascii="仿宋_GB2312" w:eastAsia="仿宋_GB2312"/>
          <w:sz w:val="28"/>
          <w:szCs w:val="28"/>
          <w:highlight w:val="none"/>
        </w:rPr>
        <w:t>其他对个人和家庭的补助</w:t>
      </w:r>
      <w:r>
        <w:rPr>
          <w:rFonts w:hint="eastAsia" w:ascii="仿宋_GB2312" w:eastAsia="仿宋_GB2312"/>
          <w:sz w:val="28"/>
          <w:szCs w:val="28"/>
          <w:highlight w:val="none"/>
        </w:rPr>
        <w:t>等</w:t>
      </w:r>
      <w:r>
        <w:rPr>
          <w:rFonts w:ascii="仿宋_GB2312" w:eastAsia="仿宋_GB2312"/>
          <w:sz w:val="28"/>
          <w:szCs w:val="28"/>
          <w:highlight w:val="none"/>
        </w:rPr>
        <w:t>支出</w:t>
      </w:r>
      <w:r>
        <w:rPr>
          <w:rFonts w:hint="eastAsia" w:ascii="仿宋_GB2312" w:eastAsia="仿宋_GB2312"/>
          <w:sz w:val="28"/>
          <w:szCs w:val="28"/>
          <w:highlight w:val="none"/>
        </w:rPr>
        <w:t>。（4）其他资本性支出包括</w:t>
      </w:r>
      <w:r>
        <w:rPr>
          <w:rFonts w:ascii="仿宋_GB2312" w:eastAsia="仿宋_GB2312"/>
          <w:sz w:val="28"/>
          <w:szCs w:val="28"/>
          <w:highlight w:val="none"/>
        </w:rPr>
        <w:t>办公设备购置、专用设备购置</w:t>
      </w:r>
      <w:r>
        <w:rPr>
          <w:rFonts w:hint="eastAsia" w:ascii="仿宋_GB2312" w:eastAsia="仿宋_GB2312"/>
          <w:sz w:val="28"/>
          <w:szCs w:val="28"/>
          <w:highlight w:val="none"/>
        </w:rPr>
        <w:t>等</w:t>
      </w:r>
      <w:r>
        <w:rPr>
          <w:rFonts w:ascii="仿宋_GB2312" w:eastAsia="仿宋_GB2312"/>
          <w:sz w:val="28"/>
          <w:szCs w:val="28"/>
          <w:highlight w:val="none"/>
        </w:rPr>
        <w:t>。</w:t>
      </w:r>
    </w:p>
    <w:p>
      <w:pPr>
        <w:autoSpaceDE w:val="0"/>
        <w:autoSpaceDN w:val="0"/>
        <w:adjustRightInd w:val="0"/>
        <w:spacing w:line="580" w:lineRule="exact"/>
        <w:rPr>
          <w:rFonts w:ascii="宋体" w:hAnsi="宋体"/>
          <w:b/>
          <w:spacing w:val="40"/>
          <w:sz w:val="32"/>
          <w:szCs w:val="32"/>
          <w:highlight w:val="none"/>
        </w:rPr>
      </w:pPr>
      <w:r>
        <w:rPr>
          <w:rFonts w:ascii="仿宋_GB2312" w:eastAsia="仿宋_GB2312"/>
          <w:b/>
          <w:sz w:val="32"/>
          <w:szCs w:val="32"/>
          <w:highlight w:val="none"/>
        </w:rPr>
        <w:tab/>
      </w:r>
    </w:p>
    <w:p>
      <w:pPr>
        <w:tabs>
          <w:tab w:val="center" w:pos="6979"/>
        </w:tabs>
        <w:jc w:val="center"/>
        <w:rPr>
          <w:rFonts w:ascii="宋体" w:hAnsi="宋体" w:cs="宋体"/>
          <w:b/>
          <w:spacing w:val="40"/>
          <w:kern w:val="0"/>
          <w:sz w:val="44"/>
          <w:szCs w:val="44"/>
          <w:highlight w:val="none"/>
        </w:rPr>
      </w:pPr>
      <w:r>
        <w:rPr>
          <w:rFonts w:hint="eastAsia" w:ascii="宋体" w:hAnsi="宋体" w:cs="宋体"/>
          <w:b/>
          <w:bCs/>
          <w:spacing w:val="40"/>
          <w:kern w:val="0"/>
          <w:sz w:val="44"/>
          <w:szCs w:val="44"/>
          <w:highlight w:val="none"/>
        </w:rPr>
        <w:t>第三部分</w:t>
      </w:r>
      <w:r>
        <w:rPr>
          <w:rFonts w:hint="eastAsia" w:ascii="宋体" w:hAnsi="宋体"/>
          <w:b/>
          <w:spacing w:val="40"/>
          <w:sz w:val="44"/>
          <w:szCs w:val="44"/>
          <w:highlight w:val="none"/>
        </w:rPr>
        <w:t>2025年度</w:t>
      </w:r>
      <w:r>
        <w:rPr>
          <w:rFonts w:hint="eastAsia" w:ascii="宋体" w:hAnsi="宋体" w:cs="宋体"/>
          <w:b/>
          <w:spacing w:val="40"/>
          <w:kern w:val="0"/>
          <w:sz w:val="44"/>
          <w:szCs w:val="44"/>
          <w:highlight w:val="none"/>
        </w:rPr>
        <w:t>其他重要事项的情况说明</w:t>
      </w:r>
    </w:p>
    <w:p>
      <w:pPr>
        <w:tabs>
          <w:tab w:val="center" w:pos="6979"/>
        </w:tabs>
        <w:spacing w:line="580" w:lineRule="exact"/>
        <w:ind w:firstLine="548" w:firstLineChars="196"/>
        <w:rPr>
          <w:rFonts w:hint="eastAsia" w:ascii="黑体" w:hAnsi="Times New Roman" w:eastAsia="黑体" w:cs="Times New Roman"/>
          <w:b/>
          <w:sz w:val="28"/>
          <w:szCs w:val="28"/>
          <w:highlight w:val="none"/>
        </w:rPr>
      </w:pPr>
      <w:r>
        <w:rPr>
          <w:rFonts w:hint="eastAsia" w:ascii="黑体" w:hAnsi="Times New Roman" w:eastAsia="黑体" w:cs="Times New Roman"/>
          <w:b/>
          <w:sz w:val="28"/>
          <w:szCs w:val="28"/>
          <w:highlight w:val="none"/>
        </w:rPr>
        <w:t>一、“三公”经费财政拨款决算情况</w:t>
      </w:r>
    </w:p>
    <w:p>
      <w:pPr>
        <w:spacing w:line="560" w:lineRule="exact"/>
        <w:ind w:firstLine="600"/>
        <w:rPr>
          <w:rFonts w:ascii="仿宋_GB2312" w:eastAsia="仿宋_GB2312"/>
          <w:sz w:val="28"/>
          <w:szCs w:val="28"/>
          <w:highlight w:val="none"/>
        </w:rPr>
      </w:pPr>
      <w:r>
        <w:rPr>
          <w:rFonts w:hint="eastAsia" w:ascii="仿宋_GB2312" w:eastAsia="仿宋_GB2312"/>
          <w:sz w:val="28"/>
          <w:szCs w:val="28"/>
          <w:highlight w:val="none"/>
        </w:rPr>
        <w:t>2025年度“三公”经费财政拨款决算数</w:t>
      </w:r>
      <w:r>
        <w:rPr>
          <w:rFonts w:ascii="仿宋_GB2312" w:eastAsia="仿宋_GB2312"/>
          <w:sz w:val="28"/>
          <w:szCs w:val="28"/>
          <w:highlight w:val="none"/>
        </w:rPr>
        <w:t>11</w:t>
      </w:r>
      <w:r>
        <w:rPr>
          <w:rFonts w:hint="eastAsia" w:ascii="仿宋_GB2312" w:eastAsia="仿宋_GB2312"/>
          <w:sz w:val="28"/>
          <w:szCs w:val="28"/>
          <w:highlight w:val="none"/>
          <w:lang w:val="en-US" w:eastAsia="zh-CN"/>
        </w:rPr>
        <w:t>,</w:t>
      </w:r>
      <w:r>
        <w:rPr>
          <w:rFonts w:ascii="仿宋_GB2312" w:eastAsia="仿宋_GB2312"/>
          <w:sz w:val="28"/>
          <w:szCs w:val="28"/>
          <w:highlight w:val="none"/>
        </w:rPr>
        <w:t>302.37</w:t>
      </w:r>
      <w:r>
        <w:rPr>
          <w:rFonts w:hint="eastAsia" w:ascii="仿宋_GB2312" w:eastAsia="仿宋_GB2312"/>
          <w:sz w:val="28"/>
          <w:szCs w:val="28"/>
          <w:highlight w:val="none"/>
        </w:rPr>
        <w:t>元，比2025年度“三公”经费财政拨款年初预算</w:t>
      </w:r>
      <w:r>
        <w:rPr>
          <w:rFonts w:ascii="仿宋_GB2312" w:eastAsia="仿宋_GB2312"/>
          <w:sz w:val="28"/>
          <w:szCs w:val="28"/>
          <w:highlight w:val="none"/>
        </w:rPr>
        <w:t>25</w:t>
      </w:r>
      <w:r>
        <w:rPr>
          <w:rFonts w:hint="eastAsia" w:ascii="仿宋_GB2312" w:eastAsia="仿宋_GB2312"/>
          <w:sz w:val="28"/>
          <w:szCs w:val="28"/>
          <w:highlight w:val="none"/>
          <w:lang w:val="en-US" w:eastAsia="zh-CN"/>
        </w:rPr>
        <w:t>,</w:t>
      </w:r>
      <w:r>
        <w:rPr>
          <w:rFonts w:ascii="仿宋_GB2312" w:eastAsia="仿宋_GB2312"/>
          <w:sz w:val="28"/>
          <w:szCs w:val="28"/>
          <w:highlight w:val="none"/>
        </w:rPr>
        <w:t>937</w:t>
      </w:r>
      <w:r>
        <w:rPr>
          <w:rFonts w:hint="eastAsia" w:ascii="仿宋_GB2312" w:eastAsia="仿宋_GB2312"/>
          <w:sz w:val="28"/>
          <w:szCs w:val="28"/>
          <w:highlight w:val="none"/>
        </w:rPr>
        <w:t>元减</w:t>
      </w:r>
      <w:r>
        <w:rPr>
          <w:rFonts w:hint="eastAsia" w:ascii="仿宋_GB2312" w:eastAsia="仿宋_GB2312"/>
          <w:sz w:val="28"/>
          <w:szCs w:val="28"/>
          <w:highlight w:val="none"/>
        </w:rPr>
        <w:t>少</w:t>
      </w:r>
      <w:r>
        <w:rPr>
          <w:rFonts w:ascii="仿宋_GB2312" w:eastAsia="仿宋_GB2312"/>
          <w:sz w:val="28"/>
          <w:szCs w:val="28"/>
          <w:highlight w:val="none"/>
        </w:rPr>
        <w:t>14</w:t>
      </w:r>
      <w:r>
        <w:rPr>
          <w:rFonts w:hint="eastAsia" w:ascii="仿宋_GB2312" w:eastAsia="仿宋_GB2312"/>
          <w:sz w:val="28"/>
          <w:szCs w:val="28"/>
          <w:highlight w:val="none"/>
          <w:lang w:val="en-US" w:eastAsia="zh-CN"/>
        </w:rPr>
        <w:t>,</w:t>
      </w:r>
      <w:r>
        <w:rPr>
          <w:rFonts w:ascii="仿宋_GB2312" w:eastAsia="仿宋_GB2312"/>
          <w:sz w:val="28"/>
          <w:szCs w:val="28"/>
          <w:highlight w:val="none"/>
        </w:rPr>
        <w:t>634.63</w:t>
      </w:r>
      <w:r>
        <w:rPr>
          <w:rFonts w:hint="eastAsia" w:ascii="仿宋_GB2312" w:eastAsia="仿宋_GB2312"/>
          <w:sz w:val="28"/>
          <w:szCs w:val="28"/>
          <w:highlight w:val="none"/>
        </w:rPr>
        <w:t>元。其中：</w:t>
      </w:r>
    </w:p>
    <w:p>
      <w:pPr>
        <w:spacing w:line="560" w:lineRule="exact"/>
        <w:ind w:firstLine="600"/>
        <w:rPr>
          <w:rFonts w:ascii="仿宋_GB2312" w:eastAsia="仿宋_GB2312"/>
          <w:sz w:val="28"/>
          <w:szCs w:val="28"/>
          <w:highlight w:val="none"/>
        </w:rPr>
      </w:pPr>
      <w:r>
        <w:rPr>
          <w:rFonts w:hint="eastAsia" w:ascii="仿宋_GB2312" w:eastAsia="仿宋_GB2312"/>
          <w:sz w:val="28"/>
          <w:szCs w:val="28"/>
          <w:highlight w:val="none"/>
        </w:rPr>
        <w:t>1.因公出国（境）费用。2025年度决算数</w:t>
      </w:r>
      <w:r>
        <w:rPr>
          <w:rFonts w:ascii="仿宋_GB2312" w:eastAsia="仿宋_GB2312"/>
          <w:sz w:val="28"/>
          <w:szCs w:val="28"/>
          <w:highlight w:val="none"/>
        </w:rPr>
        <w:t>0</w:t>
      </w:r>
      <w:r>
        <w:rPr>
          <w:rFonts w:hint="eastAsia" w:ascii="仿宋_GB2312" w:eastAsia="仿宋_GB2312"/>
          <w:sz w:val="28"/>
          <w:szCs w:val="28"/>
          <w:highlight w:val="none"/>
        </w:rPr>
        <w:t>元，比2025年度年初预算数</w:t>
      </w:r>
      <w:r>
        <w:rPr>
          <w:rFonts w:ascii="仿宋_GB2312" w:eastAsia="仿宋_GB2312"/>
          <w:sz w:val="28"/>
          <w:szCs w:val="28"/>
          <w:highlight w:val="none"/>
        </w:rPr>
        <w:t>0</w:t>
      </w:r>
      <w:r>
        <w:rPr>
          <w:rFonts w:hint="eastAsia" w:ascii="仿宋_GB2312" w:eastAsia="仿宋_GB2312"/>
          <w:sz w:val="28"/>
          <w:szCs w:val="28"/>
          <w:highlight w:val="none"/>
        </w:rPr>
        <w:t>元增加（减少）</w:t>
      </w:r>
      <w:r>
        <w:rPr>
          <w:rFonts w:ascii="仿宋_GB2312" w:eastAsia="仿宋_GB2312"/>
          <w:sz w:val="28"/>
          <w:szCs w:val="28"/>
          <w:highlight w:val="none"/>
        </w:rPr>
        <w:t>0</w:t>
      </w:r>
      <w:r>
        <w:rPr>
          <w:rFonts w:hint="eastAsia" w:ascii="仿宋_GB2312" w:eastAsia="仿宋_GB2312"/>
          <w:sz w:val="28"/>
          <w:szCs w:val="28"/>
          <w:highlight w:val="none"/>
        </w:rPr>
        <w:t>元。</w:t>
      </w:r>
    </w:p>
    <w:p>
      <w:pPr>
        <w:spacing w:line="560" w:lineRule="exact"/>
        <w:ind w:firstLine="600"/>
        <w:rPr>
          <w:rFonts w:ascii="仿宋_GB2312" w:eastAsia="仿宋_GB2312"/>
          <w:sz w:val="28"/>
          <w:szCs w:val="28"/>
          <w:highlight w:val="none"/>
        </w:rPr>
      </w:pPr>
      <w:r>
        <w:rPr>
          <w:rFonts w:hint="eastAsia" w:ascii="仿宋_GB2312" w:eastAsia="仿宋_GB2312"/>
          <w:sz w:val="28"/>
          <w:szCs w:val="28"/>
          <w:highlight w:val="none"/>
        </w:rPr>
        <w:t>2.公务接待费。2025年度决算数</w:t>
      </w:r>
      <w:r>
        <w:rPr>
          <w:rFonts w:ascii="仿宋_GB2312" w:eastAsia="仿宋_GB2312"/>
          <w:sz w:val="28"/>
          <w:szCs w:val="28"/>
          <w:highlight w:val="none"/>
        </w:rPr>
        <w:t>0</w:t>
      </w:r>
      <w:r>
        <w:rPr>
          <w:rFonts w:hint="eastAsia" w:ascii="仿宋_GB2312" w:eastAsia="仿宋_GB2312"/>
          <w:sz w:val="28"/>
          <w:szCs w:val="28"/>
          <w:highlight w:val="none"/>
        </w:rPr>
        <w:t>元，比2025年度年初预算数</w:t>
      </w:r>
      <w:r>
        <w:rPr>
          <w:rFonts w:ascii="仿宋_GB2312" w:eastAsia="仿宋_GB2312"/>
          <w:sz w:val="28"/>
          <w:szCs w:val="28"/>
          <w:highlight w:val="none"/>
        </w:rPr>
        <w:t>7</w:t>
      </w:r>
      <w:r>
        <w:rPr>
          <w:rFonts w:hint="eastAsia" w:ascii="仿宋_GB2312" w:eastAsia="仿宋_GB2312"/>
          <w:sz w:val="28"/>
          <w:szCs w:val="28"/>
          <w:highlight w:val="none"/>
          <w:lang w:val="en-US" w:eastAsia="zh-CN"/>
        </w:rPr>
        <w:t>,</w:t>
      </w:r>
      <w:r>
        <w:rPr>
          <w:rFonts w:ascii="仿宋_GB2312" w:eastAsia="仿宋_GB2312"/>
          <w:sz w:val="28"/>
          <w:szCs w:val="28"/>
          <w:highlight w:val="none"/>
        </w:rPr>
        <w:t>937</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元减少</w:t>
      </w:r>
      <w:r>
        <w:rPr>
          <w:rFonts w:ascii="仿宋_GB2312" w:eastAsia="仿宋_GB2312"/>
          <w:sz w:val="28"/>
          <w:szCs w:val="28"/>
          <w:highlight w:val="none"/>
        </w:rPr>
        <w:t>7</w:t>
      </w:r>
      <w:r>
        <w:rPr>
          <w:rFonts w:hint="eastAsia" w:ascii="仿宋_GB2312" w:eastAsia="仿宋_GB2312"/>
          <w:sz w:val="28"/>
          <w:szCs w:val="28"/>
          <w:highlight w:val="none"/>
          <w:lang w:val="en-US" w:eastAsia="zh-CN"/>
        </w:rPr>
        <w:t>,</w:t>
      </w:r>
      <w:r>
        <w:rPr>
          <w:rFonts w:ascii="仿宋_GB2312" w:eastAsia="仿宋_GB2312"/>
          <w:sz w:val="28"/>
          <w:szCs w:val="28"/>
          <w:highlight w:val="none"/>
        </w:rPr>
        <w:t>937</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元。主要原因：</w:t>
      </w:r>
      <w:r>
        <w:rPr>
          <w:rFonts w:hint="eastAsia" w:ascii="仿宋_GB2312" w:eastAsia="仿宋_GB2312"/>
          <w:sz w:val="28"/>
          <w:szCs w:val="28"/>
          <w:highlight w:val="none"/>
          <w:lang w:val="en-US" w:eastAsia="zh-CN"/>
        </w:rPr>
        <w:t>无此项支出。</w:t>
      </w:r>
    </w:p>
    <w:p>
      <w:pPr>
        <w:spacing w:line="56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3.公务用车购置及运行维护费。2025年度决算数</w:t>
      </w:r>
      <w:r>
        <w:rPr>
          <w:rFonts w:ascii="仿宋_GB2312" w:eastAsia="仿宋_GB2312"/>
          <w:sz w:val="28"/>
          <w:szCs w:val="28"/>
          <w:highlight w:val="none"/>
        </w:rPr>
        <w:t>11</w:t>
      </w:r>
      <w:r>
        <w:rPr>
          <w:rFonts w:hint="eastAsia" w:ascii="仿宋_GB2312" w:eastAsia="仿宋_GB2312"/>
          <w:sz w:val="28"/>
          <w:szCs w:val="28"/>
          <w:highlight w:val="none"/>
          <w:lang w:val="en-US" w:eastAsia="zh-CN"/>
        </w:rPr>
        <w:t>,</w:t>
      </w:r>
      <w:r>
        <w:rPr>
          <w:rFonts w:ascii="仿宋_GB2312" w:eastAsia="仿宋_GB2312"/>
          <w:sz w:val="28"/>
          <w:szCs w:val="28"/>
          <w:highlight w:val="none"/>
        </w:rPr>
        <w:t>302.37</w:t>
      </w:r>
      <w:r>
        <w:rPr>
          <w:rFonts w:hint="eastAsia" w:ascii="仿宋_GB2312" w:eastAsia="仿宋_GB2312"/>
          <w:sz w:val="28"/>
          <w:szCs w:val="28"/>
          <w:highlight w:val="none"/>
        </w:rPr>
        <w:t>元，比2025年度年初预算数</w:t>
      </w:r>
      <w:r>
        <w:rPr>
          <w:rFonts w:ascii="仿宋_GB2312" w:eastAsia="仿宋_GB2312"/>
          <w:sz w:val="28"/>
          <w:szCs w:val="28"/>
          <w:highlight w:val="none"/>
        </w:rPr>
        <w:t>18</w:t>
      </w:r>
      <w:r>
        <w:rPr>
          <w:rFonts w:hint="eastAsia" w:ascii="仿宋_GB2312" w:eastAsia="仿宋_GB2312"/>
          <w:sz w:val="28"/>
          <w:szCs w:val="28"/>
          <w:highlight w:val="none"/>
          <w:lang w:val="en-US" w:eastAsia="zh-CN"/>
        </w:rPr>
        <w:t>,</w:t>
      </w:r>
      <w:r>
        <w:rPr>
          <w:rFonts w:ascii="仿宋_GB2312" w:eastAsia="仿宋_GB2312"/>
          <w:sz w:val="28"/>
          <w:szCs w:val="28"/>
          <w:highlight w:val="none"/>
        </w:rPr>
        <w:t>000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元减少</w:t>
      </w:r>
      <w:r>
        <w:rPr>
          <w:rFonts w:ascii="仿宋_GB2312" w:eastAsia="仿宋_GB2312"/>
          <w:sz w:val="28"/>
          <w:szCs w:val="28"/>
          <w:highlight w:val="none"/>
        </w:rPr>
        <w:t>6</w:t>
      </w:r>
      <w:r>
        <w:rPr>
          <w:rFonts w:hint="eastAsia" w:ascii="仿宋_GB2312" w:eastAsia="仿宋_GB2312"/>
          <w:sz w:val="28"/>
          <w:szCs w:val="28"/>
          <w:highlight w:val="none"/>
          <w:lang w:val="en-US" w:eastAsia="zh-CN"/>
        </w:rPr>
        <w:t>,</w:t>
      </w:r>
      <w:r>
        <w:rPr>
          <w:rFonts w:ascii="仿宋_GB2312" w:eastAsia="仿宋_GB2312"/>
          <w:sz w:val="28"/>
          <w:szCs w:val="28"/>
          <w:highlight w:val="none"/>
        </w:rPr>
        <w:t>697.63</w:t>
      </w:r>
      <w:r>
        <w:rPr>
          <w:rFonts w:hint="eastAsia" w:ascii="仿宋_GB2312" w:eastAsia="仿宋_GB2312"/>
          <w:sz w:val="28"/>
          <w:szCs w:val="28"/>
          <w:highlight w:val="none"/>
        </w:rPr>
        <w:t>元。其中，公务用车购置费2025年度决算数0元，主要原因：</w:t>
      </w:r>
      <w:r>
        <w:rPr>
          <w:rFonts w:hint="eastAsia" w:ascii="仿宋_GB2312" w:eastAsia="仿宋_GB2312"/>
          <w:sz w:val="28"/>
          <w:szCs w:val="28"/>
          <w:highlight w:val="none"/>
          <w:lang w:val="en-US" w:eastAsia="zh-CN"/>
        </w:rPr>
        <w:t>无此项支出</w:t>
      </w:r>
      <w:r>
        <w:rPr>
          <w:rFonts w:hint="eastAsia" w:ascii="仿宋_GB2312" w:eastAsia="仿宋_GB2312"/>
          <w:sz w:val="28"/>
          <w:szCs w:val="28"/>
          <w:highlight w:val="none"/>
        </w:rPr>
        <w:t>，2025年度购置（更新）0辆。公务用车运行维护费2025年度决算数11</w:t>
      </w:r>
      <w:r>
        <w:rPr>
          <w:rFonts w:hint="eastAsia" w:ascii="仿宋_GB2312" w:eastAsia="仿宋_GB2312"/>
          <w:sz w:val="28"/>
          <w:szCs w:val="28"/>
          <w:highlight w:val="none"/>
          <w:lang w:val="en-US" w:eastAsia="zh-CN"/>
        </w:rPr>
        <w:t>,</w:t>
      </w:r>
      <w:r>
        <w:rPr>
          <w:rFonts w:hint="eastAsia" w:ascii="仿宋_GB2312" w:eastAsia="仿宋_GB2312"/>
          <w:sz w:val="28"/>
          <w:szCs w:val="28"/>
          <w:highlight w:val="none"/>
        </w:rPr>
        <w:t>302.37元，主要原因：</w:t>
      </w:r>
      <w:r>
        <w:rPr>
          <w:rFonts w:hint="eastAsia" w:ascii="仿宋_GB2312" w:eastAsia="仿宋_GB2312"/>
          <w:sz w:val="28"/>
          <w:szCs w:val="28"/>
          <w:highlight w:val="none"/>
          <w:lang w:val="en-US" w:eastAsia="zh-CN"/>
        </w:rPr>
        <w:t>公务用车按需进行维护保养</w:t>
      </w:r>
      <w:r>
        <w:rPr>
          <w:rFonts w:hint="eastAsia" w:ascii="仿宋_GB2312" w:eastAsia="仿宋_GB2312"/>
          <w:sz w:val="28"/>
          <w:szCs w:val="28"/>
          <w:highlight w:val="none"/>
        </w:rPr>
        <w:t>。2025年度公务用车保有量</w:t>
      </w:r>
      <w:r>
        <w:rPr>
          <w:rFonts w:ascii="仿宋_GB2312" w:eastAsia="仿宋_GB2312"/>
          <w:sz w:val="28"/>
          <w:szCs w:val="28"/>
          <w:highlight w:val="none"/>
        </w:rPr>
        <w:t>1</w:t>
      </w:r>
      <w:r>
        <w:rPr>
          <w:rFonts w:hint="eastAsia" w:ascii="仿宋_GB2312" w:eastAsia="仿宋_GB2312"/>
          <w:sz w:val="28"/>
          <w:szCs w:val="28"/>
          <w:highlight w:val="none"/>
        </w:rPr>
        <w:t>辆。</w:t>
      </w:r>
    </w:p>
    <w:p>
      <w:pPr>
        <w:tabs>
          <w:tab w:val="center" w:pos="6979"/>
        </w:tabs>
        <w:spacing w:line="580" w:lineRule="exact"/>
        <w:ind w:firstLine="548" w:firstLineChars="196"/>
        <w:rPr>
          <w:rFonts w:hint="eastAsia" w:ascii="黑体" w:hAnsi="Times New Roman" w:eastAsia="黑体" w:cs="Times New Roman"/>
          <w:b/>
          <w:sz w:val="28"/>
          <w:szCs w:val="28"/>
          <w:highlight w:val="none"/>
        </w:rPr>
      </w:pPr>
      <w:r>
        <w:rPr>
          <w:rFonts w:hint="eastAsia" w:ascii="黑体" w:hAnsi="Times New Roman" w:eastAsia="黑体" w:cs="Times New Roman"/>
          <w:b/>
          <w:sz w:val="28"/>
          <w:szCs w:val="28"/>
          <w:highlight w:val="none"/>
        </w:rPr>
        <w:t>二、机关运行经费支出情况</w:t>
      </w:r>
    </w:p>
    <w:p>
      <w:pPr>
        <w:ind w:firstLine="537" w:firstLineChars="192"/>
        <w:rPr>
          <w:rFonts w:ascii="仿宋_GB2312" w:eastAsia="仿宋_GB2312"/>
          <w:sz w:val="28"/>
          <w:szCs w:val="28"/>
          <w:highlight w:val="none"/>
        </w:rPr>
      </w:pPr>
      <w:r>
        <w:rPr>
          <w:rFonts w:hint="eastAsia" w:ascii="仿宋_GB2312" w:eastAsia="仿宋_GB2312"/>
          <w:sz w:val="28"/>
          <w:szCs w:val="28"/>
          <w:highlight w:val="none"/>
        </w:rPr>
        <w:t>2025年度机关运行经费支出合计593</w:t>
      </w:r>
      <w:r>
        <w:rPr>
          <w:rFonts w:hint="eastAsia" w:ascii="仿宋_GB2312" w:eastAsia="仿宋_GB2312"/>
          <w:sz w:val="28"/>
          <w:szCs w:val="28"/>
          <w:highlight w:val="none"/>
          <w:lang w:val="en-US" w:eastAsia="zh-CN"/>
        </w:rPr>
        <w:t>,</w:t>
      </w:r>
      <w:r>
        <w:rPr>
          <w:rFonts w:hint="eastAsia" w:ascii="仿宋_GB2312" w:eastAsia="仿宋_GB2312"/>
          <w:sz w:val="28"/>
          <w:szCs w:val="28"/>
          <w:highlight w:val="none"/>
        </w:rPr>
        <w:t>388.74元，比上年减少8</w:t>
      </w:r>
      <w:r>
        <w:rPr>
          <w:rFonts w:hint="eastAsia" w:ascii="仿宋_GB2312" w:eastAsia="仿宋_GB2312"/>
          <w:sz w:val="28"/>
          <w:szCs w:val="28"/>
          <w:highlight w:val="none"/>
          <w:lang w:val="en-US" w:eastAsia="zh-CN"/>
        </w:rPr>
        <w:t>,</w:t>
      </w:r>
      <w:r>
        <w:rPr>
          <w:rFonts w:hint="eastAsia" w:ascii="仿宋_GB2312" w:eastAsia="仿宋_GB2312"/>
          <w:sz w:val="28"/>
          <w:szCs w:val="28"/>
          <w:highlight w:val="none"/>
        </w:rPr>
        <w:t>483.93元，减少原因：</w:t>
      </w:r>
      <w:r>
        <w:rPr>
          <w:rFonts w:hint="eastAsia" w:ascii="仿宋_GB2312" w:eastAsia="仿宋_GB2312"/>
          <w:sz w:val="28"/>
          <w:szCs w:val="28"/>
          <w:highlight w:val="none"/>
          <w:lang w:eastAsia="zh-CN"/>
        </w:rPr>
        <w:t>部分公用经费年末收回统筹</w:t>
      </w:r>
      <w:r>
        <w:rPr>
          <w:rFonts w:hint="eastAsia" w:ascii="仿宋_GB2312" w:eastAsia="仿宋_GB2312"/>
          <w:sz w:val="28"/>
          <w:szCs w:val="28"/>
          <w:highlight w:val="none"/>
        </w:rPr>
        <w:t>。</w:t>
      </w:r>
    </w:p>
    <w:p>
      <w:pPr>
        <w:tabs>
          <w:tab w:val="center" w:pos="6979"/>
        </w:tabs>
        <w:spacing w:line="580" w:lineRule="exact"/>
        <w:ind w:firstLine="548" w:firstLineChars="196"/>
        <w:rPr>
          <w:rFonts w:hint="eastAsia" w:ascii="黑体" w:hAnsi="Times New Roman" w:eastAsia="黑体" w:cs="Times New Roman"/>
          <w:b/>
          <w:sz w:val="28"/>
          <w:szCs w:val="28"/>
          <w:highlight w:val="none"/>
        </w:rPr>
      </w:pPr>
      <w:r>
        <w:rPr>
          <w:rFonts w:hint="eastAsia" w:ascii="黑体" w:hAnsi="Times New Roman" w:eastAsia="黑体" w:cs="Times New Roman"/>
          <w:b/>
          <w:sz w:val="28"/>
          <w:szCs w:val="28"/>
          <w:highlight w:val="none"/>
        </w:rPr>
        <w:t>三、政府采购支出情况</w:t>
      </w:r>
    </w:p>
    <w:p>
      <w:pPr>
        <w:ind w:firstLine="537" w:firstLineChars="192"/>
        <w:rPr>
          <w:rFonts w:ascii="仿宋_GB2312" w:eastAsia="仿宋_GB2312"/>
          <w:sz w:val="28"/>
          <w:szCs w:val="28"/>
          <w:highlight w:val="none"/>
        </w:rPr>
      </w:pPr>
      <w:r>
        <w:rPr>
          <w:rFonts w:hint="eastAsia" w:ascii="仿宋_GB2312" w:eastAsia="仿宋_GB2312"/>
          <w:sz w:val="28"/>
          <w:szCs w:val="28"/>
          <w:highlight w:val="none"/>
        </w:rPr>
        <w:t>2025年度政府采购支出总额</w:t>
      </w:r>
      <w:r>
        <w:rPr>
          <w:rFonts w:ascii="仿宋_GB2312" w:eastAsia="仿宋_GB2312"/>
          <w:sz w:val="28"/>
          <w:szCs w:val="28"/>
          <w:highlight w:val="none"/>
        </w:rPr>
        <w:t>1</w:t>
      </w:r>
      <w:r>
        <w:rPr>
          <w:rFonts w:hint="eastAsia" w:ascii="仿宋_GB2312" w:eastAsia="仿宋_GB2312"/>
          <w:sz w:val="28"/>
          <w:szCs w:val="28"/>
          <w:highlight w:val="none"/>
          <w:lang w:val="en-US" w:eastAsia="zh-CN"/>
        </w:rPr>
        <w:t>,</w:t>
      </w:r>
      <w:r>
        <w:rPr>
          <w:rFonts w:ascii="仿宋_GB2312" w:eastAsia="仿宋_GB2312"/>
          <w:sz w:val="28"/>
          <w:szCs w:val="28"/>
          <w:highlight w:val="none"/>
        </w:rPr>
        <w:t>896</w:t>
      </w:r>
      <w:r>
        <w:rPr>
          <w:rFonts w:hint="eastAsia" w:ascii="仿宋_GB2312" w:eastAsia="仿宋_GB2312"/>
          <w:sz w:val="28"/>
          <w:szCs w:val="28"/>
          <w:highlight w:val="none"/>
          <w:lang w:val="en-US" w:eastAsia="zh-CN"/>
        </w:rPr>
        <w:t>,</w:t>
      </w:r>
      <w:r>
        <w:rPr>
          <w:rFonts w:ascii="仿宋_GB2312" w:eastAsia="仿宋_GB2312"/>
          <w:sz w:val="28"/>
          <w:szCs w:val="28"/>
          <w:highlight w:val="none"/>
        </w:rPr>
        <w:t>891.28</w:t>
      </w:r>
      <w:r>
        <w:rPr>
          <w:rFonts w:hint="eastAsia" w:ascii="仿宋_GB2312" w:eastAsia="仿宋_GB2312"/>
          <w:sz w:val="28"/>
          <w:szCs w:val="28"/>
          <w:highlight w:val="none"/>
        </w:rPr>
        <w:t>元，其中：政府采购货物支出</w:t>
      </w:r>
      <w:r>
        <w:rPr>
          <w:rFonts w:ascii="仿宋_GB2312" w:eastAsia="仿宋_GB2312"/>
          <w:sz w:val="28"/>
          <w:szCs w:val="28"/>
          <w:highlight w:val="none"/>
        </w:rPr>
        <w:t>96</w:t>
      </w:r>
      <w:r>
        <w:rPr>
          <w:rFonts w:hint="eastAsia" w:ascii="仿宋_GB2312" w:eastAsia="仿宋_GB2312"/>
          <w:sz w:val="28"/>
          <w:szCs w:val="28"/>
          <w:highlight w:val="none"/>
          <w:lang w:val="en-US" w:eastAsia="zh-CN"/>
        </w:rPr>
        <w:t>,</w:t>
      </w:r>
      <w:r>
        <w:rPr>
          <w:rFonts w:ascii="仿宋_GB2312" w:eastAsia="仿宋_GB2312"/>
          <w:sz w:val="28"/>
          <w:szCs w:val="28"/>
          <w:highlight w:val="none"/>
        </w:rPr>
        <w:t>465</w:t>
      </w:r>
      <w:r>
        <w:rPr>
          <w:rFonts w:hint="eastAsia" w:ascii="仿宋_GB2312" w:eastAsia="仿宋_GB2312"/>
          <w:sz w:val="28"/>
          <w:szCs w:val="28"/>
          <w:highlight w:val="none"/>
        </w:rPr>
        <w:t>元，政府采购工程支出</w:t>
      </w:r>
      <w:r>
        <w:rPr>
          <w:rFonts w:ascii="仿宋_GB2312" w:eastAsia="仿宋_GB2312"/>
          <w:sz w:val="28"/>
          <w:szCs w:val="28"/>
          <w:highlight w:val="none"/>
        </w:rPr>
        <w:t>0</w:t>
      </w:r>
      <w:r>
        <w:rPr>
          <w:rFonts w:hint="eastAsia" w:ascii="仿宋_GB2312" w:eastAsia="仿宋_GB2312"/>
          <w:sz w:val="28"/>
          <w:szCs w:val="28"/>
          <w:highlight w:val="none"/>
        </w:rPr>
        <w:t>元，政府采购服务支出</w:t>
      </w:r>
      <w:r>
        <w:rPr>
          <w:rFonts w:ascii="仿宋_GB2312" w:eastAsia="仿宋_GB2312"/>
          <w:sz w:val="28"/>
          <w:szCs w:val="28"/>
          <w:highlight w:val="none"/>
        </w:rPr>
        <w:t>1</w:t>
      </w:r>
      <w:r>
        <w:rPr>
          <w:rFonts w:hint="eastAsia" w:ascii="仿宋_GB2312" w:eastAsia="仿宋_GB2312"/>
          <w:sz w:val="28"/>
          <w:szCs w:val="28"/>
          <w:highlight w:val="none"/>
          <w:lang w:val="en-US" w:eastAsia="zh-CN"/>
        </w:rPr>
        <w:t>,</w:t>
      </w:r>
      <w:r>
        <w:rPr>
          <w:rFonts w:ascii="仿宋_GB2312" w:eastAsia="仿宋_GB2312"/>
          <w:sz w:val="28"/>
          <w:szCs w:val="28"/>
          <w:highlight w:val="none"/>
        </w:rPr>
        <w:t>800</w:t>
      </w:r>
      <w:r>
        <w:rPr>
          <w:rFonts w:hint="eastAsia" w:ascii="仿宋_GB2312" w:eastAsia="仿宋_GB2312"/>
          <w:sz w:val="28"/>
          <w:szCs w:val="28"/>
          <w:highlight w:val="none"/>
          <w:lang w:val="en-US" w:eastAsia="zh-CN"/>
        </w:rPr>
        <w:t>,</w:t>
      </w:r>
      <w:r>
        <w:rPr>
          <w:rFonts w:ascii="仿宋_GB2312" w:eastAsia="仿宋_GB2312"/>
          <w:sz w:val="28"/>
          <w:szCs w:val="28"/>
          <w:highlight w:val="none"/>
        </w:rPr>
        <w:t>426.28</w:t>
      </w:r>
      <w:r>
        <w:rPr>
          <w:rFonts w:hint="eastAsia" w:ascii="仿宋_GB2312" w:eastAsia="仿宋_GB2312"/>
          <w:sz w:val="28"/>
          <w:szCs w:val="28"/>
          <w:highlight w:val="none"/>
        </w:rPr>
        <w:t>元。授予中小企业合同金额</w:t>
      </w:r>
      <w:r>
        <w:rPr>
          <w:rFonts w:ascii="仿宋_GB2312" w:eastAsia="仿宋_GB2312"/>
          <w:sz w:val="28"/>
          <w:szCs w:val="28"/>
          <w:highlight w:val="none"/>
        </w:rPr>
        <w:t>214</w:t>
      </w:r>
      <w:r>
        <w:rPr>
          <w:rFonts w:hint="eastAsia" w:ascii="仿宋_GB2312" w:eastAsia="仿宋_GB2312"/>
          <w:sz w:val="28"/>
          <w:szCs w:val="28"/>
          <w:highlight w:val="none"/>
          <w:lang w:val="en-US" w:eastAsia="zh-CN"/>
        </w:rPr>
        <w:t>,</w:t>
      </w:r>
      <w:r>
        <w:rPr>
          <w:rFonts w:ascii="仿宋_GB2312" w:eastAsia="仿宋_GB2312"/>
          <w:sz w:val="28"/>
          <w:szCs w:val="28"/>
          <w:highlight w:val="none"/>
        </w:rPr>
        <w:t>094.75</w:t>
      </w:r>
      <w:r>
        <w:rPr>
          <w:rFonts w:hint="eastAsia" w:ascii="仿宋_GB2312" w:eastAsia="仿宋_GB2312"/>
          <w:sz w:val="28"/>
          <w:szCs w:val="28"/>
          <w:highlight w:val="none"/>
        </w:rPr>
        <w:t>元，占政府采购支出总额的</w:t>
      </w:r>
      <w:r>
        <w:rPr>
          <w:rFonts w:hint="eastAsia" w:ascii="仿宋_GB2312" w:eastAsia="仿宋_GB2312"/>
          <w:sz w:val="28"/>
          <w:szCs w:val="28"/>
          <w:highlight w:val="none"/>
        </w:rPr>
        <w:t>11.</w:t>
      </w:r>
      <w:r>
        <w:rPr>
          <w:rFonts w:hint="eastAsia" w:ascii="仿宋_GB2312" w:eastAsia="仿宋_GB2312"/>
          <w:sz w:val="28"/>
          <w:szCs w:val="28"/>
          <w:highlight w:val="none"/>
          <w:lang w:val="en-US" w:eastAsia="zh-CN"/>
        </w:rPr>
        <w:t>3</w:t>
      </w:r>
      <w:r>
        <w:rPr>
          <w:rFonts w:hint="eastAsia" w:ascii="仿宋_GB2312" w:eastAsia="仿宋_GB2312"/>
          <w:sz w:val="28"/>
          <w:szCs w:val="28"/>
          <w:highlight w:val="none"/>
        </w:rPr>
        <w:t>%</w:t>
      </w:r>
      <w:r>
        <w:rPr>
          <w:rFonts w:hint="eastAsia" w:ascii="仿宋_GB2312" w:eastAsia="仿宋_GB2312"/>
          <w:sz w:val="28"/>
          <w:szCs w:val="28"/>
          <w:highlight w:val="none"/>
        </w:rPr>
        <w:t>，其中：授予小微企业合同金额</w:t>
      </w:r>
      <w:r>
        <w:rPr>
          <w:rFonts w:ascii="仿宋_GB2312" w:eastAsia="仿宋_GB2312"/>
          <w:sz w:val="28"/>
          <w:szCs w:val="28"/>
          <w:highlight w:val="none"/>
        </w:rPr>
        <w:t>214</w:t>
      </w:r>
      <w:r>
        <w:rPr>
          <w:rFonts w:hint="eastAsia" w:ascii="仿宋_GB2312" w:eastAsia="仿宋_GB2312"/>
          <w:sz w:val="28"/>
          <w:szCs w:val="28"/>
          <w:highlight w:val="none"/>
          <w:lang w:val="en-US" w:eastAsia="zh-CN"/>
        </w:rPr>
        <w:t>,</w:t>
      </w:r>
      <w:r>
        <w:rPr>
          <w:rFonts w:ascii="仿宋_GB2312" w:eastAsia="仿宋_GB2312"/>
          <w:sz w:val="28"/>
          <w:szCs w:val="28"/>
          <w:highlight w:val="none"/>
        </w:rPr>
        <w:t>094.75</w:t>
      </w:r>
      <w:r>
        <w:rPr>
          <w:rFonts w:hint="eastAsia" w:ascii="仿宋_GB2312" w:eastAsia="仿宋_GB2312"/>
          <w:sz w:val="28"/>
          <w:szCs w:val="28"/>
          <w:highlight w:val="none"/>
        </w:rPr>
        <w:t>元，占政府采购支出总额的</w:t>
      </w:r>
      <w:r>
        <w:rPr>
          <w:rFonts w:ascii="仿宋_GB2312" w:eastAsia="仿宋_GB2312"/>
          <w:sz w:val="28"/>
          <w:szCs w:val="28"/>
          <w:highlight w:val="none"/>
        </w:rPr>
        <w:t>11.</w:t>
      </w:r>
      <w:r>
        <w:rPr>
          <w:rFonts w:hint="eastAsia" w:ascii="仿宋_GB2312" w:eastAsia="仿宋_GB2312"/>
          <w:sz w:val="28"/>
          <w:szCs w:val="28"/>
          <w:highlight w:val="none"/>
          <w:lang w:val="en-US" w:eastAsia="zh-CN"/>
        </w:rPr>
        <w:t>3</w:t>
      </w:r>
      <w:r>
        <w:rPr>
          <w:rFonts w:hint="eastAsia" w:ascii="仿宋_GB2312" w:eastAsia="仿宋_GB2312"/>
          <w:sz w:val="28"/>
          <w:szCs w:val="28"/>
          <w:highlight w:val="none"/>
        </w:rPr>
        <w:t>%。</w:t>
      </w:r>
    </w:p>
    <w:p>
      <w:pPr>
        <w:tabs>
          <w:tab w:val="center" w:pos="6979"/>
        </w:tabs>
        <w:spacing w:line="580" w:lineRule="exact"/>
        <w:ind w:firstLine="548" w:firstLineChars="196"/>
        <w:rPr>
          <w:rFonts w:hint="eastAsia" w:ascii="黑体" w:hAnsi="Times New Roman" w:eastAsia="黑体" w:cs="Times New Roman"/>
          <w:b/>
          <w:sz w:val="28"/>
          <w:szCs w:val="28"/>
          <w:highlight w:val="none"/>
        </w:rPr>
      </w:pPr>
      <w:r>
        <w:rPr>
          <w:rFonts w:hint="eastAsia" w:ascii="黑体" w:hAnsi="Times New Roman" w:eastAsia="黑体" w:cs="Times New Roman"/>
          <w:b/>
          <w:sz w:val="28"/>
          <w:szCs w:val="28"/>
          <w:highlight w:val="none"/>
        </w:rPr>
        <w:t>四、国有资产占用情况</w:t>
      </w:r>
    </w:p>
    <w:p>
      <w:pPr>
        <w:ind w:firstLine="560" w:firstLineChars="200"/>
        <w:rPr>
          <w:rFonts w:ascii="仿宋_GB2312" w:eastAsia="仿宋_GB2312"/>
          <w:sz w:val="32"/>
          <w:szCs w:val="32"/>
          <w:highlight w:val="none"/>
        </w:rPr>
      </w:pPr>
      <w:r>
        <w:rPr>
          <w:rFonts w:hint="eastAsia" w:ascii="仿宋_GB2312" w:eastAsia="仿宋_GB2312"/>
          <w:sz w:val="28"/>
          <w:szCs w:val="28"/>
          <w:highlight w:val="none"/>
        </w:rPr>
        <w:t>截至12月31日，北京市门头沟区医疗保障局共有车辆1台；单位价值100</w:t>
      </w:r>
      <w:r>
        <w:rPr>
          <w:rFonts w:hint="eastAsia" w:ascii="仿宋_GB2312" w:eastAsia="仿宋_GB2312"/>
          <w:sz w:val="28"/>
          <w:szCs w:val="28"/>
          <w:highlight w:val="none"/>
          <w:lang w:val="en-US" w:eastAsia="zh-CN"/>
        </w:rPr>
        <w:t>万</w:t>
      </w:r>
      <w:r>
        <w:rPr>
          <w:rFonts w:hint="eastAsia" w:ascii="仿宋_GB2312" w:eastAsia="仿宋_GB2312"/>
          <w:sz w:val="28"/>
          <w:szCs w:val="28"/>
          <w:highlight w:val="none"/>
        </w:rPr>
        <w:t>元（含）以上的设备0台（套）。</w:t>
      </w:r>
    </w:p>
    <w:p>
      <w:pPr>
        <w:tabs>
          <w:tab w:val="center" w:pos="6979"/>
        </w:tabs>
        <w:spacing w:line="580" w:lineRule="exact"/>
        <w:ind w:firstLine="548" w:firstLineChars="196"/>
        <w:rPr>
          <w:rFonts w:hint="eastAsia" w:ascii="黑体" w:hAnsi="Times New Roman" w:eastAsia="黑体" w:cs="Times New Roman"/>
          <w:b/>
          <w:sz w:val="28"/>
          <w:szCs w:val="28"/>
          <w:highlight w:val="none"/>
        </w:rPr>
      </w:pPr>
      <w:r>
        <w:rPr>
          <w:rFonts w:hint="eastAsia" w:ascii="黑体" w:hAnsi="Times New Roman" w:eastAsia="黑体" w:cs="Times New Roman"/>
          <w:b/>
          <w:sz w:val="28"/>
          <w:szCs w:val="28"/>
          <w:highlight w:val="none"/>
        </w:rPr>
        <w:t>五、专业名词解释</w:t>
      </w:r>
    </w:p>
    <w:p>
      <w:pPr>
        <w:ind w:firstLine="560" w:firstLineChars="200"/>
        <w:rPr>
          <w:rFonts w:ascii="仿宋_GB2312" w:eastAsia="仿宋_GB2312"/>
          <w:sz w:val="28"/>
          <w:szCs w:val="28"/>
          <w:highlight w:val="none"/>
        </w:rPr>
      </w:pPr>
      <w:r>
        <w:rPr>
          <w:rFonts w:hint="eastAsia" w:ascii="仿宋_GB2312" w:eastAsia="仿宋_GB2312"/>
          <w:sz w:val="28"/>
          <w:szCs w:val="28"/>
          <w:highlight w:val="none"/>
        </w:rPr>
        <w:t>1.基本支出：指为保障机构正常运转、完成日常工作任务而发生的人员支出和公用支出。</w:t>
      </w:r>
    </w:p>
    <w:p>
      <w:pPr>
        <w:ind w:firstLine="560" w:firstLineChars="200"/>
        <w:rPr>
          <w:rFonts w:ascii="仿宋_GB2312" w:eastAsia="仿宋_GB2312"/>
          <w:sz w:val="28"/>
          <w:szCs w:val="28"/>
          <w:highlight w:val="none"/>
        </w:rPr>
      </w:pPr>
      <w:r>
        <w:rPr>
          <w:rFonts w:hint="eastAsia" w:ascii="仿宋_GB2312" w:eastAsia="仿宋_GB2312"/>
          <w:sz w:val="28"/>
          <w:szCs w:val="28"/>
          <w:highlight w:val="none"/>
        </w:rPr>
        <w:t>2.项目支出：指在基本支出之外为完成特定行政任务或事业发展目标所发生的支出。</w:t>
      </w:r>
    </w:p>
    <w:p>
      <w:pPr>
        <w:ind w:firstLine="560" w:firstLineChars="200"/>
        <w:rPr>
          <w:rFonts w:ascii="仿宋_GB2312" w:eastAsia="仿宋_GB2312"/>
          <w:sz w:val="28"/>
          <w:szCs w:val="28"/>
          <w:highlight w:val="none"/>
        </w:rPr>
      </w:pPr>
      <w:r>
        <w:rPr>
          <w:rFonts w:hint="eastAsia" w:ascii="仿宋_GB2312" w:eastAsia="仿宋_GB2312"/>
          <w:sz w:val="28"/>
          <w:szCs w:val="28"/>
          <w:highlight w:val="none"/>
        </w:rPr>
        <w:t>3.“三公”经费：是指单位通过财政拨款资金安排的因公出国（境）费、公务用车购置及运行费和公务接待费。</w:t>
      </w:r>
    </w:p>
    <w:p>
      <w:pPr>
        <w:ind w:firstLine="560" w:firstLineChars="200"/>
        <w:rPr>
          <w:highlight w:val="none"/>
        </w:rPr>
      </w:pPr>
      <w:r>
        <w:rPr>
          <w:rFonts w:hint="eastAsia" w:ascii="仿宋_GB2312" w:eastAsia="仿宋_GB2312"/>
          <w:sz w:val="28"/>
          <w:szCs w:val="28"/>
          <w:highlight w:val="none"/>
        </w:rPr>
        <w:t>4.机关运行经费：反映为保障行政单位（包括参照公务员法管理的事业单位）运行用于购买货物和服务的各项资金，包括办公费、会议费、培训费、委托业务费、公务接待费、公务用车运行维护费、维修（护）费及其他费用。</w:t>
      </w:r>
    </w:p>
    <w:p>
      <w:pPr>
        <w:ind w:firstLine="560" w:firstLineChars="200"/>
        <w:rPr>
          <w:rFonts w:ascii="仿宋_GB2312" w:eastAsia="仿宋_GB2312"/>
          <w:sz w:val="28"/>
          <w:szCs w:val="28"/>
          <w:highlight w:val="none"/>
        </w:rPr>
      </w:pPr>
      <w:r>
        <w:rPr>
          <w:rFonts w:hint="eastAsia" w:ascii="仿宋_GB2312" w:eastAsia="仿宋_GB2312"/>
          <w:sz w:val="28"/>
          <w:szCs w:val="28"/>
          <w:highlight w:val="none"/>
        </w:rPr>
        <w:t>5.政府采购：指各级国家机关、事业单位和团体组织，使用财政性资金采购依法制定的集中目录以内的或者采购限额标准以上的货物、工程和服务的行为，是规范财政支出管理和强化预算约束的有效措施。</w:t>
      </w:r>
    </w:p>
    <w:p>
      <w:pPr>
        <w:ind w:firstLine="560" w:firstLineChars="200"/>
        <w:rPr>
          <w:rFonts w:ascii="仿宋_GB2312" w:eastAsia="仿宋_GB2312"/>
          <w:sz w:val="28"/>
          <w:szCs w:val="28"/>
          <w:highlight w:val="none"/>
        </w:rPr>
      </w:pPr>
      <w:r>
        <w:rPr>
          <w:rFonts w:hint="eastAsia" w:ascii="仿宋_GB2312" w:eastAsia="仿宋_GB2312"/>
          <w:sz w:val="28"/>
          <w:szCs w:val="28"/>
          <w:highlight w:val="none"/>
        </w:rPr>
        <w:t>6.各单位需根据自身业务职能，补充当年使用的所有支出功能分类项级科目名词解释，例如：</w:t>
      </w:r>
    </w:p>
    <w:p>
      <w:pPr>
        <w:ind w:firstLine="560" w:firstLineChars="200"/>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7.医疗救助：门头沟区医疗保障局按照市级主管部门要求，开展城乡社会救助对象医疗救助工作，对特困供养人员、享受城乡居民最低生活保障和生活困难补助人员、享受城乡低收入救助人员以及因病致贫家庭进行医疗救助。</w:t>
      </w:r>
    </w:p>
    <w:p>
      <w:pPr>
        <w:ind w:firstLine="640" w:firstLineChars="200"/>
        <w:jc w:val="center"/>
        <w:rPr>
          <w:rFonts w:ascii="黑体" w:eastAsia="黑体"/>
          <w:sz w:val="32"/>
          <w:szCs w:val="32"/>
          <w:highlight w:val="none"/>
        </w:rPr>
      </w:pPr>
    </w:p>
    <w:p>
      <w:pPr>
        <w:rPr>
          <w:rFonts w:hint="eastAsia" w:asciiTheme="minorEastAsia" w:hAnsiTheme="minorEastAsia" w:eastAsiaTheme="minorEastAsia"/>
          <w:b/>
          <w:sz w:val="36"/>
          <w:szCs w:val="36"/>
          <w:highlight w:val="none"/>
        </w:rPr>
      </w:pPr>
      <w:r>
        <w:rPr>
          <w:rFonts w:hint="eastAsia" w:asciiTheme="minorEastAsia" w:hAnsiTheme="minorEastAsia" w:eastAsiaTheme="minorEastAsia"/>
          <w:b/>
          <w:sz w:val="36"/>
          <w:szCs w:val="36"/>
          <w:highlight w:val="none"/>
        </w:rPr>
        <w:br w:type="page"/>
      </w:r>
    </w:p>
    <w:p>
      <w:pPr>
        <w:tabs>
          <w:tab w:val="center" w:pos="6979"/>
        </w:tabs>
        <w:jc w:val="center"/>
        <w:rPr>
          <w:rFonts w:hint="eastAsia" w:ascii="宋体" w:hAnsi="宋体" w:eastAsia="宋体" w:cs="Times New Roman"/>
          <w:b/>
          <w:spacing w:val="40"/>
          <w:sz w:val="44"/>
          <w:szCs w:val="44"/>
          <w:highlight w:val="none"/>
        </w:rPr>
      </w:pPr>
      <w:r>
        <w:rPr>
          <w:rFonts w:hint="eastAsia" w:ascii="宋体" w:hAnsi="宋体" w:eastAsia="宋体" w:cs="Times New Roman"/>
          <w:b/>
          <w:spacing w:val="40"/>
          <w:sz w:val="44"/>
          <w:szCs w:val="44"/>
          <w:highlight w:val="none"/>
        </w:rPr>
        <w:t>第四部分2025年度部门绩效评价情况</w:t>
      </w:r>
    </w:p>
    <w:p>
      <w:pPr>
        <w:tabs>
          <w:tab w:val="center" w:pos="6979"/>
        </w:tabs>
        <w:spacing w:line="580" w:lineRule="exact"/>
        <w:ind w:firstLine="560" w:firstLineChars="200"/>
        <w:jc w:val="center"/>
        <w:rPr>
          <w:rFonts w:hint="eastAsia" w:ascii="华文中宋" w:hAnsi="华文中宋" w:eastAsia="华文中宋"/>
          <w:sz w:val="28"/>
          <w:szCs w:val="28"/>
          <w:highlight w:val="none"/>
        </w:rPr>
      </w:pPr>
    </w:p>
    <w:p>
      <w:pPr>
        <w:spacing w:line="580" w:lineRule="exact"/>
        <w:ind w:firstLine="560" w:firstLineChars="200"/>
        <w:rPr>
          <w:rFonts w:hint="eastAsia" w:ascii="黑体" w:hAnsi="黑体" w:eastAsia="黑体"/>
          <w:b/>
          <w:bCs/>
          <w:sz w:val="28"/>
          <w:szCs w:val="28"/>
          <w:highlight w:val="none"/>
        </w:rPr>
      </w:pPr>
      <w:r>
        <w:rPr>
          <w:rFonts w:hint="eastAsia" w:ascii="黑体" w:eastAsia="黑体"/>
          <w:b/>
          <w:bCs/>
          <w:sz w:val="28"/>
          <w:szCs w:val="28"/>
          <w:highlight w:val="none"/>
        </w:rPr>
        <w:t xml:space="preserve"> </w:t>
      </w:r>
      <w:r>
        <w:rPr>
          <w:rFonts w:hint="eastAsia" w:ascii="黑体" w:hAnsi="黑体" w:eastAsia="黑体"/>
          <w:b/>
          <w:bCs/>
          <w:sz w:val="28"/>
          <w:szCs w:val="28"/>
          <w:highlight w:val="none"/>
        </w:rPr>
        <w:t>一、部门整体绩效评价报告</w:t>
      </w:r>
    </w:p>
    <w:p>
      <w:pPr>
        <w:spacing w:line="580" w:lineRule="exact"/>
        <w:ind w:firstLine="640"/>
        <w:rPr>
          <w:rFonts w:hint="eastAsia" w:ascii="楷体_GB2312" w:hAnsi="Calibri" w:eastAsia="楷体_GB2312"/>
          <w:b/>
          <w:sz w:val="28"/>
          <w:szCs w:val="28"/>
          <w:highlight w:val="none"/>
        </w:rPr>
      </w:pPr>
      <w:r>
        <w:rPr>
          <w:rFonts w:hint="eastAsia" w:ascii="楷体_GB2312" w:eastAsia="楷体_GB2312"/>
          <w:b/>
          <w:sz w:val="28"/>
          <w:szCs w:val="28"/>
          <w:highlight w:val="none"/>
        </w:rPr>
        <w:t>（一）部门概况</w:t>
      </w:r>
    </w:p>
    <w:p>
      <w:pPr>
        <w:spacing w:line="580" w:lineRule="exact"/>
        <w:ind w:firstLine="640"/>
        <w:rPr>
          <w:rFonts w:hint="eastAsia" w:ascii="仿宋_GB2312" w:eastAsia="仿宋_GB2312"/>
          <w:sz w:val="28"/>
          <w:szCs w:val="28"/>
          <w:highlight w:val="none"/>
        </w:rPr>
      </w:pPr>
      <w:bookmarkStart w:id="0" w:name="_Toc268005755"/>
      <w:r>
        <w:rPr>
          <w:rFonts w:hint="eastAsia" w:ascii="仿宋_GB2312" w:eastAsia="仿宋_GB2312"/>
          <w:sz w:val="28"/>
          <w:szCs w:val="28"/>
          <w:highlight w:val="none"/>
        </w:rPr>
        <w:t>1.部门职责情况</w:t>
      </w:r>
    </w:p>
    <w:p>
      <w:pPr>
        <w:spacing w:line="580" w:lineRule="exact"/>
        <w:ind w:firstLine="640"/>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（1）贯彻执行国家有关医疗保险、生育保险、医疗救助等医疗保障的法律法规和政策规定，拟订本区医疗保障相关政策、规划、标准、办法并组织实施；</w:t>
      </w:r>
    </w:p>
    <w:p>
      <w:pPr>
        <w:spacing w:line="580" w:lineRule="exact"/>
        <w:ind w:firstLine="640"/>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（2）负责本区医疗保障基金征缴（拨付）、支付和管理，做好医疗保障基金管理工作；</w:t>
      </w:r>
    </w:p>
    <w:p>
      <w:pPr>
        <w:spacing w:line="580" w:lineRule="exact"/>
        <w:ind w:firstLine="640"/>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（3）贯彻执行本市医疗保障筹资和待遇政策。落实本市公费医疗政策。负责本区离休干部医疗费用统筹工作。落实好长期护理保险制度改革方案；</w:t>
      </w:r>
    </w:p>
    <w:p>
      <w:pPr>
        <w:spacing w:line="580" w:lineRule="exact"/>
        <w:ind w:firstLine="640"/>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（4）贯彻执行好本市药品、医用耗材、医疗服务项目、医疗服务设施等医保目录和支付标准等政策。贯彻执行好本市药品、医用耗材、医疗服务项目、医疗服务设施收费等政策；</w:t>
      </w:r>
    </w:p>
    <w:p>
      <w:pPr>
        <w:spacing w:line="580" w:lineRule="exact"/>
        <w:ind w:firstLine="640"/>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（5）协助市医疗保障局开展本区医疗机构药品、医疗器械及非械医用耗材集中采购的实施工作，并配合做好辖区内药品、医疗器械及非械医用耗材集中采购监督管理工作；</w:t>
      </w:r>
    </w:p>
    <w:p>
      <w:pPr>
        <w:spacing w:line="580" w:lineRule="exact"/>
        <w:ind w:firstLine="640"/>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（6）负责本区医疗保障定点医疗机构协议管理等工作，落实信用评价体系和信息披露制度，监督管理纳入医保范围的医疗服务行为和医疗费用，依法查处医疗保障领域违法违规行为；</w:t>
      </w:r>
    </w:p>
    <w:p>
      <w:pPr>
        <w:spacing w:line="580" w:lineRule="exact"/>
        <w:ind w:firstLine="640"/>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（7）负责本区医疗保障经办管理、公共服务体系和信息化建设。贯彻执行异地就医管理、费用结算政策。落实医疗保障关系转移接续制度；</w:t>
      </w:r>
    </w:p>
    <w:p>
      <w:pPr>
        <w:spacing w:line="580" w:lineRule="exact"/>
        <w:ind w:firstLine="640"/>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val="en-US" w:eastAsia="zh-CN"/>
        </w:rPr>
        <w:t>（8）完成区委、区政府交办的其他任务。</w:t>
      </w:r>
    </w:p>
    <w:p>
      <w:pPr>
        <w:spacing w:line="580" w:lineRule="exact"/>
        <w:ind w:firstLine="640"/>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2.部门机构设置情况</w:t>
      </w:r>
    </w:p>
    <w:p>
      <w:pPr>
        <w:spacing w:line="580" w:lineRule="exact"/>
        <w:ind w:firstLine="640"/>
        <w:rPr>
          <w:rFonts w:hint="default"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门头沟区医疗保障局共设3个岗位，分别是综合管理岗、价格管理岗、基金管理岗；下设1家参照公务员法管理事业单位，为北京市门头沟区医疗保险事务管理中心。</w:t>
      </w:r>
    </w:p>
    <w:p>
      <w:pPr>
        <w:spacing w:line="580" w:lineRule="exact"/>
        <w:ind w:firstLine="640"/>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3.2025年主要工作任务</w:t>
      </w:r>
    </w:p>
    <w:p>
      <w:pPr>
        <w:spacing w:line="580" w:lineRule="exact"/>
        <w:ind w:firstLine="640"/>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1）深入开展医保基金管理突出问题专项整治，成立由区政府分管领导任组长，医保、卫健、市场监管、公检法等多部门组成的专项整治领导小组，制定专项方案，召开部署推进会、专题调度会20余次，形成齐抓共管格局。全年累计拒付追回定点医药机构和个人违规使用的医保基金2,621.00万元，同比增长187%，监管成效显著。</w:t>
      </w:r>
    </w:p>
    <w:p>
      <w:pPr>
        <w:spacing w:line="580" w:lineRule="exact"/>
        <w:ind w:firstLine="640"/>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2）建成“门头沟区医保基金大数据监测分析系统”，对海量医保数据进行深度剖析，对潜在的医保欺诈行为和不合理使用医保资金的情况进行识别。在京煤集团总医院、北京同仁医院门头沟医院、门头沟区中医医院、北京同仁堂善和药店共4家定点医药机构推进医保智能监管改革试点。</w:t>
      </w:r>
    </w:p>
    <w:p>
      <w:pPr>
        <w:spacing w:line="580" w:lineRule="exact"/>
        <w:ind w:firstLine="640"/>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3）围绕执法理论开展系统培训，举办行政执法业务技能培训34期，夯实专业基础；聚焦实战能力创新培养模式，开设“青年干部学堂”，进行情景模拟、现场检查、笔录规范等实战演练，全面提升执法水平。组织开展“医保基金安全靠大家”宣传月活动，围绕药品追溯“码上监管”、医疗机构自主管理、支付资格“管到个人”等重点多维度宣传；组织青年讲师团进社区、进农村、进企业、进医院、进部队宣讲5次。辖区内87家村卫生室已全部纳入医保定点管理并实现医保实时结算，覆盖率达100%，彻底打通了农村医保服务“最后一公里”。</w:t>
      </w:r>
    </w:p>
    <w:bookmarkEnd w:id="0"/>
    <w:p>
      <w:pPr>
        <w:spacing w:line="580" w:lineRule="exact"/>
        <w:ind w:firstLine="640"/>
        <w:rPr>
          <w:rFonts w:hint="eastAsia" w:ascii="仿宋_GB2312" w:eastAsia="仿宋_GB2312"/>
          <w:sz w:val="28"/>
          <w:szCs w:val="28"/>
          <w:highlight w:val="none"/>
        </w:rPr>
      </w:pPr>
      <w:bookmarkStart w:id="1" w:name="_Toc268005759"/>
      <w:bookmarkStart w:id="2" w:name="_Toc263686375"/>
      <w:r>
        <w:rPr>
          <w:rFonts w:hint="eastAsia" w:ascii="仿宋_GB2312" w:eastAsia="仿宋_GB2312"/>
          <w:sz w:val="28"/>
          <w:szCs w:val="28"/>
          <w:highlight w:val="none"/>
        </w:rPr>
        <w:t>4.部门</w:t>
      </w:r>
      <w:bookmarkEnd w:id="1"/>
      <w:r>
        <w:rPr>
          <w:rFonts w:hint="eastAsia" w:ascii="仿宋_GB2312" w:eastAsia="仿宋_GB2312"/>
          <w:sz w:val="28"/>
          <w:szCs w:val="28"/>
          <w:highlight w:val="none"/>
        </w:rPr>
        <w:t>整体绩效目标设立情况</w:t>
      </w:r>
    </w:p>
    <w:tbl>
      <w:tblPr>
        <w:tblStyle w:val="11"/>
        <w:tblW w:w="12355" w:type="dxa"/>
        <w:jc w:val="center"/>
        <w:tblLayout w:type="fixed"/>
        <w:tblCellMar>
          <w:top w:w="0" w:type="dxa"/>
          <w:left w:w="108" w:type="dxa"/>
          <w:bottom w:w="0" w:type="dxa"/>
          <w:right w:w="108" w:type="dxa"/>
        </w:tblCellMar>
      </w:tblPr>
      <w:tblGrid>
        <w:gridCol w:w="1191"/>
        <w:gridCol w:w="5520"/>
        <w:gridCol w:w="1374"/>
        <w:gridCol w:w="1465"/>
        <w:gridCol w:w="1374"/>
        <w:gridCol w:w="1431"/>
      </w:tblGrid>
      <w:tr>
        <w:tblPrEx>
          <w:tblCellMar>
            <w:top w:w="0" w:type="dxa"/>
            <w:left w:w="108" w:type="dxa"/>
            <w:bottom w:w="0" w:type="dxa"/>
            <w:right w:w="108" w:type="dxa"/>
          </w:tblCellMar>
        </w:tblPrEx>
        <w:trPr>
          <w:trHeight w:val="984" w:hRule="atLeast"/>
          <w:jc w:val="center"/>
        </w:trPr>
        <w:tc>
          <w:tcPr>
            <w:tcW w:w="119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8"/>
                <w:szCs w:val="28"/>
                <w:highlight w:val="none"/>
              </w:rPr>
            </w:pPr>
            <w:bookmarkStart w:id="3" w:name="_Toc268005761"/>
            <w:r>
              <w:rPr>
                <w:rFonts w:hint="eastAsia" w:ascii="仿宋_GB2312" w:hAnsi="仿宋_GB2312" w:eastAsia="仿宋_GB2312" w:cs="仿宋_GB2312"/>
                <w:sz w:val="28"/>
                <w:szCs w:val="28"/>
                <w:highlight w:val="none"/>
              </w:rPr>
              <w:t>序号</w:t>
            </w:r>
          </w:p>
        </w:tc>
        <w:tc>
          <w:tcPr>
            <w:tcW w:w="5520"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8"/>
                <w:szCs w:val="28"/>
                <w:highlight w:val="none"/>
              </w:rPr>
            </w:pPr>
            <w:r>
              <w:rPr>
                <w:rFonts w:hint="eastAsia" w:ascii="仿宋_GB2312" w:hAnsi="Times New Roman" w:eastAsia="仿宋_GB2312" w:cs="Times New Roman"/>
                <w:sz w:val="28"/>
                <w:szCs w:val="28"/>
                <w:highlight w:val="none"/>
                <w:lang w:val="en-US" w:eastAsia="zh-CN"/>
              </w:rPr>
              <w:t>三级指标</w:t>
            </w:r>
          </w:p>
        </w:tc>
        <w:tc>
          <w:tcPr>
            <w:tcW w:w="1374"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指标性质</w:t>
            </w:r>
          </w:p>
        </w:tc>
        <w:tc>
          <w:tcPr>
            <w:tcW w:w="1465"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指标值</w:t>
            </w:r>
          </w:p>
        </w:tc>
        <w:tc>
          <w:tcPr>
            <w:tcW w:w="1374"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度量单位</w:t>
            </w:r>
          </w:p>
        </w:tc>
        <w:tc>
          <w:tcPr>
            <w:tcW w:w="1431"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指标权重</w:t>
            </w:r>
          </w:p>
        </w:tc>
      </w:tr>
      <w:tr>
        <w:tblPrEx>
          <w:tblCellMar>
            <w:top w:w="0" w:type="dxa"/>
            <w:left w:w="108" w:type="dxa"/>
            <w:bottom w:w="0" w:type="dxa"/>
            <w:right w:w="108" w:type="dxa"/>
          </w:tblCellMar>
        </w:tblPrEx>
        <w:trPr>
          <w:trHeight w:val="900" w:hRule="atLeast"/>
          <w:jc w:val="center"/>
        </w:trPr>
        <w:tc>
          <w:tcPr>
            <w:tcW w:w="1191" w:type="dxa"/>
            <w:tcBorders>
              <w:top w:val="nil"/>
              <w:left w:val="single" w:color="auto" w:sz="4" w:space="0"/>
              <w:bottom w:val="single" w:color="auto" w:sz="4" w:space="0"/>
              <w:right w:val="single" w:color="auto" w:sz="4" w:space="0"/>
            </w:tcBorders>
            <w:vAlign w:val="bottom"/>
          </w:tcPr>
          <w:p>
            <w:pPr>
              <w:widowControl/>
              <w:jc w:val="center"/>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val="en-US" w:eastAsia="zh-CN"/>
              </w:rPr>
              <w:t>1</w:t>
            </w:r>
          </w:p>
        </w:tc>
        <w:tc>
          <w:tcPr>
            <w:tcW w:w="5520"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根据全区发展</w:t>
            </w:r>
            <w:bookmarkStart w:id="4" w:name="_GoBack"/>
            <w:bookmarkEnd w:id="4"/>
            <w:r>
              <w:rPr>
                <w:rFonts w:hint="eastAsia" w:ascii="仿宋_GB2312" w:hAnsi="仿宋_GB2312" w:eastAsia="仿宋_GB2312" w:cs="仿宋_GB2312"/>
                <w:i w:val="0"/>
                <w:iCs w:val="0"/>
                <w:color w:val="000000"/>
                <w:kern w:val="0"/>
                <w:sz w:val="28"/>
                <w:szCs w:val="28"/>
                <w:highlight w:val="none"/>
                <w:u w:val="none"/>
                <w:lang w:val="en-US" w:eastAsia="zh-CN" w:bidi="ar"/>
              </w:rPr>
              <w:t>的政策和规划要求，制定门头沟区医疗保障事业发展规划，并组织实施。</w:t>
            </w:r>
          </w:p>
        </w:tc>
        <w:tc>
          <w:tcPr>
            <w:tcW w:w="1374"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定性</w:t>
            </w:r>
          </w:p>
        </w:tc>
        <w:tc>
          <w:tcPr>
            <w:tcW w:w="146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高中低</w:t>
            </w:r>
          </w:p>
        </w:tc>
        <w:tc>
          <w:tcPr>
            <w:tcW w:w="1374"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sz w:val="28"/>
                <w:szCs w:val="28"/>
                <w:highlight w:val="none"/>
              </w:rPr>
            </w:pPr>
          </w:p>
        </w:tc>
        <w:tc>
          <w:tcPr>
            <w:tcW w:w="1431"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20</w:t>
            </w:r>
          </w:p>
        </w:tc>
      </w:tr>
      <w:tr>
        <w:tblPrEx>
          <w:tblCellMar>
            <w:top w:w="0" w:type="dxa"/>
            <w:left w:w="108" w:type="dxa"/>
            <w:bottom w:w="0" w:type="dxa"/>
            <w:right w:w="108" w:type="dxa"/>
          </w:tblCellMar>
        </w:tblPrEx>
        <w:trPr>
          <w:trHeight w:val="278" w:hRule="atLeast"/>
          <w:jc w:val="center"/>
        </w:trPr>
        <w:tc>
          <w:tcPr>
            <w:tcW w:w="1191" w:type="dxa"/>
            <w:tcBorders>
              <w:top w:val="nil"/>
              <w:left w:val="single" w:color="auto" w:sz="4" w:space="0"/>
              <w:bottom w:val="single" w:color="auto" w:sz="4" w:space="0"/>
              <w:right w:val="single" w:color="auto" w:sz="4" w:space="0"/>
            </w:tcBorders>
            <w:vAlign w:val="bottom"/>
          </w:tcPr>
          <w:p>
            <w:pPr>
              <w:widowControl/>
              <w:jc w:val="cente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w:t>
            </w:r>
          </w:p>
        </w:tc>
        <w:tc>
          <w:tcPr>
            <w:tcW w:w="5520"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项目按期完成率</w:t>
            </w:r>
          </w:p>
        </w:tc>
        <w:tc>
          <w:tcPr>
            <w:tcW w:w="1374"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w:t>
            </w:r>
          </w:p>
        </w:tc>
        <w:tc>
          <w:tcPr>
            <w:tcW w:w="146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90</w:t>
            </w:r>
          </w:p>
        </w:tc>
        <w:tc>
          <w:tcPr>
            <w:tcW w:w="1374"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w:t>
            </w:r>
          </w:p>
        </w:tc>
        <w:tc>
          <w:tcPr>
            <w:tcW w:w="1431"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10</w:t>
            </w:r>
          </w:p>
        </w:tc>
      </w:tr>
      <w:tr>
        <w:tblPrEx>
          <w:tblCellMar>
            <w:top w:w="0" w:type="dxa"/>
            <w:left w:w="108" w:type="dxa"/>
            <w:bottom w:w="0" w:type="dxa"/>
            <w:right w:w="108" w:type="dxa"/>
          </w:tblCellMar>
        </w:tblPrEx>
        <w:trPr>
          <w:trHeight w:val="278" w:hRule="atLeast"/>
          <w:jc w:val="center"/>
        </w:trPr>
        <w:tc>
          <w:tcPr>
            <w:tcW w:w="1191" w:type="dxa"/>
            <w:tcBorders>
              <w:top w:val="nil"/>
              <w:left w:val="single" w:color="auto" w:sz="4" w:space="0"/>
              <w:bottom w:val="single" w:color="auto" w:sz="4" w:space="0"/>
              <w:right w:val="single" w:color="auto" w:sz="4" w:space="0"/>
            </w:tcBorders>
            <w:vAlign w:val="bottom"/>
          </w:tcPr>
          <w:p>
            <w:pPr>
              <w:widowControl/>
              <w:jc w:val="cente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w:t>
            </w:r>
          </w:p>
        </w:tc>
        <w:tc>
          <w:tcPr>
            <w:tcW w:w="5520"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预算控制金额</w:t>
            </w:r>
          </w:p>
        </w:tc>
        <w:tc>
          <w:tcPr>
            <w:tcW w:w="1374"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w:t>
            </w:r>
          </w:p>
        </w:tc>
        <w:tc>
          <w:tcPr>
            <w:tcW w:w="146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预算金额</w:t>
            </w:r>
          </w:p>
        </w:tc>
        <w:tc>
          <w:tcPr>
            <w:tcW w:w="1374"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万元</w:t>
            </w:r>
          </w:p>
        </w:tc>
        <w:tc>
          <w:tcPr>
            <w:tcW w:w="1431"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10</w:t>
            </w:r>
          </w:p>
        </w:tc>
      </w:tr>
      <w:tr>
        <w:tblPrEx>
          <w:tblCellMar>
            <w:top w:w="0" w:type="dxa"/>
            <w:left w:w="108" w:type="dxa"/>
            <w:bottom w:w="0" w:type="dxa"/>
            <w:right w:w="108" w:type="dxa"/>
          </w:tblCellMar>
        </w:tblPrEx>
        <w:trPr>
          <w:trHeight w:val="278" w:hRule="atLeast"/>
          <w:jc w:val="center"/>
        </w:trPr>
        <w:tc>
          <w:tcPr>
            <w:tcW w:w="1191" w:type="dxa"/>
            <w:tcBorders>
              <w:top w:val="nil"/>
              <w:left w:val="single" w:color="auto" w:sz="4" w:space="0"/>
              <w:bottom w:val="single" w:color="auto" w:sz="4" w:space="0"/>
              <w:right w:val="single" w:color="auto" w:sz="4" w:space="0"/>
            </w:tcBorders>
            <w:vAlign w:val="bottom"/>
          </w:tcPr>
          <w:p>
            <w:pPr>
              <w:widowControl/>
              <w:jc w:val="center"/>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val="en-US" w:eastAsia="zh-CN"/>
              </w:rPr>
              <w:t>4</w:t>
            </w:r>
          </w:p>
        </w:tc>
        <w:tc>
          <w:tcPr>
            <w:tcW w:w="5520"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健全社会医疗保障体系，促进首都经济发展与和谐稳定。</w:t>
            </w:r>
          </w:p>
        </w:tc>
        <w:tc>
          <w:tcPr>
            <w:tcW w:w="1374"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定性</w:t>
            </w:r>
          </w:p>
        </w:tc>
        <w:tc>
          <w:tcPr>
            <w:tcW w:w="146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高中低</w:t>
            </w:r>
          </w:p>
        </w:tc>
        <w:tc>
          <w:tcPr>
            <w:tcW w:w="1374"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sz w:val="28"/>
                <w:szCs w:val="28"/>
                <w:highlight w:val="none"/>
              </w:rPr>
            </w:pPr>
          </w:p>
        </w:tc>
        <w:tc>
          <w:tcPr>
            <w:tcW w:w="1431"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30</w:t>
            </w:r>
          </w:p>
        </w:tc>
      </w:tr>
      <w:tr>
        <w:tblPrEx>
          <w:tblCellMar>
            <w:top w:w="0" w:type="dxa"/>
            <w:left w:w="108" w:type="dxa"/>
            <w:bottom w:w="0" w:type="dxa"/>
            <w:right w:w="108" w:type="dxa"/>
          </w:tblCellMar>
        </w:tblPrEx>
        <w:trPr>
          <w:trHeight w:val="278" w:hRule="atLeast"/>
          <w:jc w:val="center"/>
        </w:trPr>
        <w:tc>
          <w:tcPr>
            <w:tcW w:w="1191" w:type="dxa"/>
            <w:tcBorders>
              <w:top w:val="nil"/>
              <w:left w:val="single" w:color="auto" w:sz="4" w:space="0"/>
              <w:bottom w:val="single" w:color="auto" w:sz="4" w:space="0"/>
              <w:right w:val="single" w:color="auto" w:sz="4" w:space="0"/>
            </w:tcBorders>
            <w:vAlign w:val="bottom"/>
          </w:tcPr>
          <w:p>
            <w:pPr>
              <w:widowControl/>
              <w:jc w:val="center"/>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val="en-US" w:eastAsia="zh-CN"/>
              </w:rPr>
              <w:t>5</w:t>
            </w:r>
          </w:p>
        </w:tc>
        <w:tc>
          <w:tcPr>
            <w:tcW w:w="5520"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参保人员对医保服务的满意度</w:t>
            </w:r>
          </w:p>
        </w:tc>
        <w:tc>
          <w:tcPr>
            <w:tcW w:w="1374"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定性</w:t>
            </w:r>
          </w:p>
        </w:tc>
        <w:tc>
          <w:tcPr>
            <w:tcW w:w="146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高中低</w:t>
            </w:r>
          </w:p>
        </w:tc>
        <w:tc>
          <w:tcPr>
            <w:tcW w:w="1374"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sz w:val="28"/>
                <w:szCs w:val="28"/>
                <w:highlight w:val="none"/>
              </w:rPr>
            </w:pPr>
          </w:p>
        </w:tc>
        <w:tc>
          <w:tcPr>
            <w:tcW w:w="1431"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10</w:t>
            </w:r>
          </w:p>
        </w:tc>
      </w:tr>
      <w:tr>
        <w:tblPrEx>
          <w:tblCellMar>
            <w:top w:w="0" w:type="dxa"/>
            <w:left w:w="108" w:type="dxa"/>
            <w:bottom w:w="0" w:type="dxa"/>
            <w:right w:w="108" w:type="dxa"/>
          </w:tblCellMar>
        </w:tblPrEx>
        <w:trPr>
          <w:trHeight w:val="278" w:hRule="atLeast"/>
          <w:jc w:val="center"/>
        </w:trPr>
        <w:tc>
          <w:tcPr>
            <w:tcW w:w="1191" w:type="dxa"/>
            <w:tcBorders>
              <w:top w:val="nil"/>
              <w:left w:val="single" w:color="auto" w:sz="4" w:space="0"/>
              <w:bottom w:val="single" w:color="auto" w:sz="4" w:space="0"/>
              <w:right w:val="single" w:color="auto" w:sz="4" w:space="0"/>
            </w:tcBorders>
            <w:vAlign w:val="bottom"/>
          </w:tcPr>
          <w:p>
            <w:pPr>
              <w:widowControl/>
              <w:jc w:val="center"/>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val="en-US" w:eastAsia="zh-CN"/>
              </w:rPr>
              <w:t>6</w:t>
            </w:r>
          </w:p>
        </w:tc>
        <w:tc>
          <w:tcPr>
            <w:tcW w:w="5520"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确保基金收支安全，更好的为辖区群众百姓服务。</w:t>
            </w:r>
          </w:p>
        </w:tc>
        <w:tc>
          <w:tcPr>
            <w:tcW w:w="1374"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w:t>
            </w:r>
          </w:p>
        </w:tc>
        <w:tc>
          <w:tcPr>
            <w:tcW w:w="146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90</w:t>
            </w:r>
          </w:p>
        </w:tc>
        <w:tc>
          <w:tcPr>
            <w:tcW w:w="1374"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w:t>
            </w:r>
          </w:p>
        </w:tc>
        <w:tc>
          <w:tcPr>
            <w:tcW w:w="1431"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20</w:t>
            </w:r>
          </w:p>
        </w:tc>
      </w:tr>
    </w:tbl>
    <w:p>
      <w:pPr>
        <w:spacing w:line="580" w:lineRule="exact"/>
        <w:ind w:firstLine="641"/>
        <w:rPr>
          <w:rFonts w:hint="eastAsia" w:ascii="楷体_GB2312" w:hAnsi="Calibri" w:eastAsia="楷体_GB2312"/>
          <w:b/>
          <w:sz w:val="28"/>
          <w:szCs w:val="28"/>
          <w:highlight w:val="none"/>
        </w:rPr>
      </w:pPr>
      <w:r>
        <w:rPr>
          <w:rFonts w:hint="eastAsia" w:ascii="楷体_GB2312" w:eastAsia="楷体_GB2312"/>
          <w:b/>
          <w:sz w:val="28"/>
          <w:szCs w:val="28"/>
          <w:highlight w:val="none"/>
        </w:rPr>
        <w:t>(二)当年预算执行情况</w:t>
      </w:r>
      <w:bookmarkEnd w:id="3"/>
      <w:r>
        <w:rPr>
          <w:rFonts w:hint="eastAsia" w:ascii="仿宋_GB2312" w:eastAsia="仿宋_GB2312"/>
          <w:sz w:val="28"/>
          <w:szCs w:val="28"/>
          <w:highlight w:val="none"/>
        </w:rPr>
        <w:t xml:space="preserve">  </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2025年全年预算数187</w:t>
      </w:r>
      <w:r>
        <w:rPr>
          <w:rFonts w:hint="eastAsia" w:ascii="仿宋_GB2312" w:hAnsi="Times New Roman" w:eastAsia="仿宋_GB2312" w:cs="Times New Roman"/>
          <w:sz w:val="28"/>
          <w:szCs w:val="28"/>
          <w:highlight w:val="none"/>
          <w:lang w:val="en-US" w:eastAsia="zh-CN"/>
        </w:rPr>
        <w:t>,</w:t>
      </w:r>
      <w:r>
        <w:rPr>
          <w:rFonts w:hint="eastAsia" w:ascii="仿宋_GB2312" w:hAnsi="Times New Roman" w:eastAsia="仿宋_GB2312" w:cs="Times New Roman"/>
          <w:sz w:val="28"/>
          <w:szCs w:val="28"/>
          <w:highlight w:val="none"/>
        </w:rPr>
        <w:t>699</w:t>
      </w:r>
      <w:r>
        <w:rPr>
          <w:rFonts w:hint="eastAsia" w:ascii="仿宋_GB2312" w:hAnsi="Times New Roman" w:eastAsia="仿宋_GB2312" w:cs="Times New Roman"/>
          <w:sz w:val="28"/>
          <w:szCs w:val="28"/>
          <w:highlight w:val="none"/>
          <w:lang w:val="en-US" w:eastAsia="zh-CN"/>
        </w:rPr>
        <w:t>,</w:t>
      </w:r>
      <w:r>
        <w:rPr>
          <w:rFonts w:hint="eastAsia" w:ascii="仿宋_GB2312" w:hAnsi="Times New Roman" w:eastAsia="仿宋_GB2312" w:cs="Times New Roman"/>
          <w:sz w:val="28"/>
          <w:szCs w:val="28"/>
          <w:highlight w:val="none"/>
        </w:rPr>
        <w:t>462.49元，其中，基本支出预算数15</w:t>
      </w:r>
      <w:r>
        <w:rPr>
          <w:rFonts w:hint="eastAsia" w:ascii="仿宋_GB2312" w:hAnsi="Times New Roman" w:eastAsia="仿宋_GB2312" w:cs="Times New Roman"/>
          <w:sz w:val="28"/>
          <w:szCs w:val="28"/>
          <w:highlight w:val="none"/>
          <w:lang w:val="en-US" w:eastAsia="zh-CN"/>
        </w:rPr>
        <w:t>,</w:t>
      </w:r>
      <w:r>
        <w:rPr>
          <w:rFonts w:hint="eastAsia" w:ascii="仿宋_GB2312" w:hAnsi="Times New Roman" w:eastAsia="仿宋_GB2312" w:cs="Times New Roman"/>
          <w:sz w:val="28"/>
          <w:szCs w:val="28"/>
          <w:highlight w:val="none"/>
        </w:rPr>
        <w:t>655</w:t>
      </w:r>
      <w:r>
        <w:rPr>
          <w:rFonts w:hint="eastAsia" w:ascii="仿宋_GB2312" w:hAnsi="Times New Roman" w:eastAsia="仿宋_GB2312" w:cs="Times New Roman"/>
          <w:sz w:val="28"/>
          <w:szCs w:val="28"/>
          <w:highlight w:val="none"/>
          <w:lang w:val="en-US" w:eastAsia="zh-CN"/>
        </w:rPr>
        <w:t>,</w:t>
      </w:r>
      <w:r>
        <w:rPr>
          <w:rFonts w:hint="eastAsia" w:ascii="仿宋_GB2312" w:hAnsi="Times New Roman" w:eastAsia="仿宋_GB2312" w:cs="Times New Roman"/>
          <w:sz w:val="28"/>
          <w:szCs w:val="28"/>
          <w:highlight w:val="none"/>
        </w:rPr>
        <w:t>511.17元，项目支出预算数172</w:t>
      </w:r>
      <w:r>
        <w:rPr>
          <w:rFonts w:hint="eastAsia" w:ascii="仿宋_GB2312" w:hAnsi="Times New Roman" w:eastAsia="仿宋_GB2312" w:cs="Times New Roman"/>
          <w:sz w:val="28"/>
          <w:szCs w:val="28"/>
          <w:highlight w:val="none"/>
          <w:lang w:val="en-US" w:eastAsia="zh-CN"/>
        </w:rPr>
        <w:t>,</w:t>
      </w:r>
      <w:r>
        <w:rPr>
          <w:rFonts w:hint="eastAsia" w:ascii="仿宋_GB2312" w:hAnsi="Times New Roman" w:eastAsia="仿宋_GB2312" w:cs="Times New Roman"/>
          <w:sz w:val="28"/>
          <w:szCs w:val="28"/>
          <w:highlight w:val="none"/>
        </w:rPr>
        <w:t>043</w:t>
      </w:r>
      <w:r>
        <w:rPr>
          <w:rFonts w:hint="eastAsia" w:ascii="仿宋_GB2312" w:hAnsi="Times New Roman" w:eastAsia="仿宋_GB2312" w:cs="Times New Roman"/>
          <w:sz w:val="28"/>
          <w:szCs w:val="28"/>
          <w:highlight w:val="none"/>
          <w:lang w:val="en-US" w:eastAsia="zh-CN"/>
        </w:rPr>
        <w:t>,</w:t>
      </w:r>
      <w:r>
        <w:rPr>
          <w:rFonts w:hint="eastAsia" w:ascii="仿宋_GB2312" w:hAnsi="Times New Roman" w:eastAsia="仿宋_GB2312" w:cs="Times New Roman"/>
          <w:sz w:val="28"/>
          <w:szCs w:val="28"/>
          <w:highlight w:val="none"/>
        </w:rPr>
        <w:t>951.32元。全年支出187</w:t>
      </w:r>
      <w:r>
        <w:rPr>
          <w:rFonts w:hint="eastAsia" w:ascii="仿宋_GB2312" w:hAnsi="Times New Roman" w:eastAsia="仿宋_GB2312" w:cs="Times New Roman"/>
          <w:sz w:val="28"/>
          <w:szCs w:val="28"/>
          <w:highlight w:val="none"/>
          <w:lang w:val="en-US" w:eastAsia="zh-CN"/>
        </w:rPr>
        <w:t>,</w:t>
      </w:r>
      <w:r>
        <w:rPr>
          <w:rFonts w:hint="eastAsia" w:ascii="仿宋_GB2312" w:hAnsi="Times New Roman" w:eastAsia="仿宋_GB2312" w:cs="Times New Roman"/>
          <w:sz w:val="28"/>
          <w:szCs w:val="28"/>
          <w:highlight w:val="none"/>
        </w:rPr>
        <w:t>699</w:t>
      </w:r>
      <w:r>
        <w:rPr>
          <w:rFonts w:hint="eastAsia" w:ascii="仿宋_GB2312" w:hAnsi="Times New Roman" w:eastAsia="仿宋_GB2312" w:cs="Times New Roman"/>
          <w:sz w:val="28"/>
          <w:szCs w:val="28"/>
          <w:highlight w:val="none"/>
          <w:lang w:val="en-US" w:eastAsia="zh-CN"/>
        </w:rPr>
        <w:t>,</w:t>
      </w:r>
      <w:r>
        <w:rPr>
          <w:rFonts w:hint="eastAsia" w:ascii="仿宋_GB2312" w:hAnsi="Times New Roman" w:eastAsia="仿宋_GB2312" w:cs="Times New Roman"/>
          <w:sz w:val="28"/>
          <w:szCs w:val="28"/>
          <w:highlight w:val="none"/>
        </w:rPr>
        <w:t>462.49元，其中，基本支出15</w:t>
      </w:r>
      <w:r>
        <w:rPr>
          <w:rFonts w:hint="eastAsia" w:ascii="仿宋_GB2312" w:hAnsi="Times New Roman" w:eastAsia="仿宋_GB2312" w:cs="Times New Roman"/>
          <w:sz w:val="28"/>
          <w:szCs w:val="28"/>
          <w:highlight w:val="none"/>
          <w:lang w:val="en-US" w:eastAsia="zh-CN"/>
        </w:rPr>
        <w:t>,</w:t>
      </w:r>
      <w:r>
        <w:rPr>
          <w:rFonts w:hint="eastAsia" w:ascii="仿宋_GB2312" w:hAnsi="Times New Roman" w:eastAsia="仿宋_GB2312" w:cs="Times New Roman"/>
          <w:sz w:val="28"/>
          <w:szCs w:val="28"/>
          <w:highlight w:val="none"/>
        </w:rPr>
        <w:t>655</w:t>
      </w:r>
      <w:r>
        <w:rPr>
          <w:rFonts w:hint="eastAsia" w:ascii="仿宋_GB2312" w:hAnsi="Times New Roman" w:eastAsia="仿宋_GB2312" w:cs="Times New Roman"/>
          <w:sz w:val="28"/>
          <w:szCs w:val="28"/>
          <w:highlight w:val="none"/>
          <w:lang w:val="en-US" w:eastAsia="zh-CN"/>
        </w:rPr>
        <w:t>,</w:t>
      </w:r>
      <w:r>
        <w:rPr>
          <w:rFonts w:hint="eastAsia" w:ascii="仿宋_GB2312" w:hAnsi="Times New Roman" w:eastAsia="仿宋_GB2312" w:cs="Times New Roman"/>
          <w:sz w:val="28"/>
          <w:szCs w:val="28"/>
          <w:highlight w:val="none"/>
        </w:rPr>
        <w:t>511.17元，项目支出172</w:t>
      </w:r>
      <w:r>
        <w:rPr>
          <w:rFonts w:hint="eastAsia" w:ascii="仿宋_GB2312" w:hAnsi="Times New Roman" w:eastAsia="仿宋_GB2312" w:cs="Times New Roman"/>
          <w:sz w:val="28"/>
          <w:szCs w:val="28"/>
          <w:highlight w:val="none"/>
          <w:lang w:val="en-US" w:eastAsia="zh-CN"/>
        </w:rPr>
        <w:t>,</w:t>
      </w:r>
      <w:r>
        <w:rPr>
          <w:rFonts w:hint="eastAsia" w:ascii="仿宋_GB2312" w:hAnsi="Times New Roman" w:eastAsia="仿宋_GB2312" w:cs="Times New Roman"/>
          <w:sz w:val="28"/>
          <w:szCs w:val="28"/>
          <w:highlight w:val="none"/>
        </w:rPr>
        <w:t>043</w:t>
      </w:r>
      <w:r>
        <w:rPr>
          <w:rFonts w:hint="eastAsia" w:ascii="仿宋_GB2312" w:hAnsi="Times New Roman" w:eastAsia="仿宋_GB2312" w:cs="Times New Roman"/>
          <w:sz w:val="28"/>
          <w:szCs w:val="28"/>
          <w:highlight w:val="none"/>
          <w:lang w:val="en-US" w:eastAsia="zh-CN"/>
        </w:rPr>
        <w:t>,</w:t>
      </w:r>
      <w:r>
        <w:rPr>
          <w:rFonts w:hint="eastAsia" w:ascii="仿宋_GB2312" w:hAnsi="Times New Roman" w:eastAsia="仿宋_GB2312" w:cs="Times New Roman"/>
          <w:sz w:val="28"/>
          <w:szCs w:val="28"/>
          <w:highlight w:val="none"/>
        </w:rPr>
        <w:t>951.32元。预算执行率为</w:t>
      </w:r>
      <w:r>
        <w:rPr>
          <w:rFonts w:hint="eastAsia" w:ascii="仿宋_GB2312" w:hAnsi="Times New Roman" w:eastAsia="仿宋_GB2312" w:cs="Times New Roman"/>
          <w:sz w:val="28"/>
          <w:szCs w:val="28"/>
          <w:highlight w:val="none"/>
          <w:lang w:val="en-US" w:eastAsia="zh-CN"/>
        </w:rPr>
        <w:t>100</w:t>
      </w:r>
      <w:r>
        <w:rPr>
          <w:rFonts w:hint="eastAsia" w:ascii="仿宋_GB2312" w:hAnsi="Times New Roman" w:eastAsia="仿宋_GB2312" w:cs="Times New Roman"/>
          <w:sz w:val="28"/>
          <w:szCs w:val="28"/>
          <w:highlight w:val="none"/>
        </w:rPr>
        <w:t>%。</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2025年年末结转结余资金总额为</w:t>
      </w:r>
      <w:r>
        <w:rPr>
          <w:rFonts w:hint="eastAsia" w:ascii="仿宋_GB2312" w:hAnsi="Times New Roman" w:eastAsia="仿宋_GB2312" w:cs="Times New Roman"/>
          <w:sz w:val="28"/>
          <w:szCs w:val="28"/>
          <w:highlight w:val="none"/>
          <w:lang w:val="en-US" w:eastAsia="zh-CN"/>
        </w:rPr>
        <w:t>0</w:t>
      </w:r>
      <w:r>
        <w:rPr>
          <w:rFonts w:hint="eastAsia" w:ascii="仿宋_GB2312" w:hAnsi="Times New Roman" w:eastAsia="仿宋_GB2312" w:cs="Times New Roman"/>
          <w:sz w:val="28"/>
          <w:szCs w:val="28"/>
          <w:highlight w:val="none"/>
        </w:rPr>
        <w:t>元，全年支出预算数为187</w:t>
      </w:r>
      <w:r>
        <w:rPr>
          <w:rFonts w:hint="eastAsia" w:ascii="仿宋_GB2312" w:hAnsi="Times New Roman" w:eastAsia="仿宋_GB2312" w:cs="Times New Roman"/>
          <w:sz w:val="28"/>
          <w:szCs w:val="28"/>
          <w:highlight w:val="none"/>
          <w:lang w:val="en-US" w:eastAsia="zh-CN"/>
        </w:rPr>
        <w:t>,</w:t>
      </w:r>
      <w:r>
        <w:rPr>
          <w:rFonts w:hint="eastAsia" w:ascii="仿宋_GB2312" w:hAnsi="Times New Roman" w:eastAsia="仿宋_GB2312" w:cs="Times New Roman"/>
          <w:sz w:val="28"/>
          <w:szCs w:val="28"/>
          <w:highlight w:val="none"/>
        </w:rPr>
        <w:t>699</w:t>
      </w:r>
      <w:r>
        <w:rPr>
          <w:rFonts w:hint="eastAsia" w:ascii="仿宋_GB2312" w:hAnsi="Times New Roman" w:eastAsia="仿宋_GB2312" w:cs="Times New Roman"/>
          <w:sz w:val="28"/>
          <w:szCs w:val="28"/>
          <w:highlight w:val="none"/>
          <w:lang w:val="en-US" w:eastAsia="zh-CN"/>
        </w:rPr>
        <w:t>,</w:t>
      </w:r>
      <w:r>
        <w:rPr>
          <w:rFonts w:hint="eastAsia" w:ascii="仿宋_GB2312" w:hAnsi="Times New Roman" w:eastAsia="仿宋_GB2312" w:cs="Times New Roman"/>
          <w:sz w:val="28"/>
          <w:szCs w:val="28"/>
          <w:highlight w:val="none"/>
        </w:rPr>
        <w:t>462.49元，资金结转结余率为</w:t>
      </w:r>
      <w:r>
        <w:rPr>
          <w:rFonts w:hint="eastAsia" w:ascii="仿宋_GB2312" w:hAnsi="Times New Roman" w:eastAsia="仿宋_GB2312" w:cs="Times New Roman"/>
          <w:sz w:val="28"/>
          <w:szCs w:val="28"/>
          <w:highlight w:val="none"/>
          <w:lang w:val="en-US" w:eastAsia="zh-CN"/>
        </w:rPr>
        <w:t>0</w:t>
      </w:r>
      <w:r>
        <w:rPr>
          <w:rFonts w:hint="eastAsia" w:ascii="仿宋_GB2312" w:hAnsi="Times New Roman" w:eastAsia="仿宋_GB2312" w:cs="Times New Roman"/>
          <w:sz w:val="28"/>
          <w:szCs w:val="28"/>
          <w:highlight w:val="none"/>
        </w:rPr>
        <w:t>%；2024年年末结转结余资金总额为</w:t>
      </w:r>
      <w:r>
        <w:rPr>
          <w:rFonts w:hint="eastAsia" w:ascii="仿宋_GB2312" w:hAnsi="Times New Roman" w:eastAsia="仿宋_GB2312" w:cs="Times New Roman"/>
          <w:sz w:val="28"/>
          <w:szCs w:val="28"/>
          <w:highlight w:val="none"/>
          <w:lang w:val="en-US" w:eastAsia="zh-CN"/>
        </w:rPr>
        <w:t>0</w:t>
      </w:r>
      <w:r>
        <w:rPr>
          <w:rFonts w:hint="eastAsia" w:ascii="仿宋_GB2312" w:hAnsi="Times New Roman" w:eastAsia="仿宋_GB2312" w:cs="Times New Roman"/>
          <w:sz w:val="28"/>
          <w:szCs w:val="28"/>
          <w:highlight w:val="none"/>
        </w:rPr>
        <w:t>元，全年支出预算数为184</w:t>
      </w:r>
      <w:r>
        <w:rPr>
          <w:rFonts w:hint="eastAsia" w:ascii="仿宋_GB2312" w:hAnsi="Times New Roman" w:eastAsia="仿宋_GB2312" w:cs="Times New Roman"/>
          <w:sz w:val="28"/>
          <w:szCs w:val="28"/>
          <w:highlight w:val="none"/>
          <w:lang w:val="en-US" w:eastAsia="zh-CN"/>
        </w:rPr>
        <w:t>,</w:t>
      </w:r>
      <w:r>
        <w:rPr>
          <w:rFonts w:hint="eastAsia" w:ascii="仿宋_GB2312" w:hAnsi="Times New Roman" w:eastAsia="仿宋_GB2312" w:cs="Times New Roman"/>
          <w:sz w:val="28"/>
          <w:szCs w:val="28"/>
          <w:highlight w:val="none"/>
        </w:rPr>
        <w:t>446</w:t>
      </w:r>
      <w:r>
        <w:rPr>
          <w:rFonts w:hint="eastAsia" w:ascii="仿宋_GB2312" w:hAnsi="Times New Roman" w:eastAsia="仿宋_GB2312" w:cs="Times New Roman"/>
          <w:sz w:val="28"/>
          <w:szCs w:val="28"/>
          <w:highlight w:val="none"/>
          <w:lang w:val="en-US" w:eastAsia="zh-CN"/>
        </w:rPr>
        <w:t>,</w:t>
      </w:r>
      <w:r>
        <w:rPr>
          <w:rFonts w:hint="eastAsia" w:ascii="仿宋_GB2312" w:hAnsi="Times New Roman" w:eastAsia="仿宋_GB2312" w:cs="Times New Roman"/>
          <w:sz w:val="28"/>
          <w:szCs w:val="28"/>
          <w:highlight w:val="none"/>
        </w:rPr>
        <w:t>431.35元，资金结转结余率为</w:t>
      </w:r>
      <w:r>
        <w:rPr>
          <w:rFonts w:hint="eastAsia" w:ascii="仿宋_GB2312" w:hAnsi="Times New Roman" w:eastAsia="仿宋_GB2312" w:cs="Times New Roman"/>
          <w:sz w:val="28"/>
          <w:szCs w:val="28"/>
          <w:highlight w:val="none"/>
          <w:lang w:val="en-US" w:eastAsia="zh-CN"/>
        </w:rPr>
        <w:t>0</w:t>
      </w:r>
      <w:r>
        <w:rPr>
          <w:rFonts w:hint="eastAsia" w:ascii="仿宋_GB2312" w:hAnsi="Times New Roman" w:eastAsia="仿宋_GB2312" w:cs="Times New Roman"/>
          <w:sz w:val="28"/>
          <w:szCs w:val="28"/>
          <w:highlight w:val="none"/>
        </w:rPr>
        <w:t>%；2025年度部门结转结余率较上一年上升了</w:t>
      </w:r>
      <w:r>
        <w:rPr>
          <w:rFonts w:hint="eastAsia" w:ascii="仿宋_GB2312" w:hAnsi="Times New Roman" w:eastAsia="仿宋_GB2312" w:cs="Times New Roman"/>
          <w:sz w:val="28"/>
          <w:szCs w:val="28"/>
          <w:highlight w:val="none"/>
          <w:lang w:val="en-US" w:eastAsia="zh-CN"/>
        </w:rPr>
        <w:t>0</w:t>
      </w:r>
      <w:r>
        <w:rPr>
          <w:rFonts w:hint="eastAsia" w:ascii="仿宋_GB2312" w:hAnsi="Times New Roman" w:eastAsia="仿宋_GB2312" w:cs="Times New Roman"/>
          <w:sz w:val="28"/>
          <w:szCs w:val="28"/>
          <w:highlight w:val="none"/>
        </w:rPr>
        <w:t>%。</w:t>
      </w:r>
    </w:p>
    <w:p>
      <w:pPr>
        <w:spacing w:line="580" w:lineRule="exact"/>
        <w:ind w:firstLine="641"/>
        <w:rPr>
          <w:rFonts w:hint="eastAsia" w:ascii="楷体_GB2312" w:eastAsia="楷体_GB2312"/>
          <w:b/>
          <w:sz w:val="28"/>
          <w:szCs w:val="28"/>
          <w:highlight w:val="none"/>
        </w:rPr>
      </w:pPr>
      <w:r>
        <w:rPr>
          <w:rFonts w:hint="eastAsia" w:ascii="楷体_GB2312" w:eastAsia="楷体_GB2312"/>
          <w:b/>
          <w:sz w:val="28"/>
          <w:szCs w:val="28"/>
          <w:highlight w:val="none"/>
        </w:rPr>
        <w:t>（三）整体绩效目标实现情况</w:t>
      </w:r>
    </w:p>
    <w:bookmarkEnd w:id="2"/>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1.产出完成情况分析</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（1）产出数量</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val="en-US" w:eastAsia="zh-CN"/>
        </w:rPr>
        <w:t>一是</w:t>
      </w:r>
      <w:r>
        <w:rPr>
          <w:rFonts w:hint="eastAsia" w:ascii="仿宋_GB2312" w:hAnsi="Times New Roman" w:eastAsia="仿宋_GB2312" w:cs="Times New Roman"/>
          <w:sz w:val="28"/>
          <w:szCs w:val="28"/>
          <w:highlight w:val="none"/>
        </w:rPr>
        <w:t>全区基本医疗保险参保人数达到35.99万人，同比增长5.23%，其中城镇职工基本医疗保险参保人数28.39万人，同比增长0.66%</w:t>
      </w:r>
      <w:r>
        <w:rPr>
          <w:rFonts w:hint="eastAsia" w:ascii="仿宋_GB2312" w:hAnsi="Times New Roman" w:eastAsia="仿宋_GB2312" w:cs="Times New Roman"/>
          <w:sz w:val="28"/>
          <w:szCs w:val="28"/>
          <w:highlight w:val="none"/>
          <w:lang w:eastAsia="zh-CN"/>
        </w:rPr>
        <w:t>，</w:t>
      </w:r>
      <w:r>
        <w:rPr>
          <w:rFonts w:hint="eastAsia" w:ascii="仿宋_GB2312" w:hAnsi="Times New Roman" w:eastAsia="仿宋_GB2312" w:cs="Times New Roman"/>
          <w:sz w:val="28"/>
          <w:szCs w:val="28"/>
          <w:highlight w:val="none"/>
        </w:rPr>
        <w:t>城乡居民基本医疗保险参保人员7.60万人，同比增长6.53%</w:t>
      </w:r>
      <w:r>
        <w:rPr>
          <w:rFonts w:hint="eastAsia" w:ascii="仿宋_GB2312" w:hAnsi="Times New Roman" w:eastAsia="仿宋_GB2312" w:cs="Times New Roman"/>
          <w:sz w:val="28"/>
          <w:szCs w:val="28"/>
          <w:highlight w:val="none"/>
          <w:lang w:eastAsia="zh-CN"/>
        </w:rPr>
        <w:t>，</w:t>
      </w:r>
      <w:r>
        <w:rPr>
          <w:rFonts w:hint="eastAsia" w:ascii="仿宋_GB2312" w:hAnsi="Times New Roman" w:eastAsia="仿宋_GB2312" w:cs="Times New Roman"/>
          <w:sz w:val="28"/>
          <w:szCs w:val="28"/>
          <w:highlight w:val="none"/>
        </w:rPr>
        <w:t>参保覆盖面稳步扩大。</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val="en-US" w:eastAsia="zh-CN"/>
        </w:rPr>
        <w:t>二是</w:t>
      </w:r>
      <w:r>
        <w:rPr>
          <w:rFonts w:hint="eastAsia" w:ascii="仿宋_GB2312" w:hAnsi="Times New Roman" w:eastAsia="仿宋_GB2312" w:cs="Times New Roman"/>
          <w:sz w:val="28"/>
          <w:szCs w:val="28"/>
          <w:highlight w:val="none"/>
        </w:rPr>
        <w:t>完成2025年度城乡医疗救助补助资金保障工作</w:t>
      </w:r>
      <w:r>
        <w:rPr>
          <w:rFonts w:hint="eastAsia" w:ascii="仿宋_GB2312" w:hAnsi="Times New Roman" w:eastAsia="仿宋_GB2312" w:cs="Times New Roman"/>
          <w:sz w:val="28"/>
          <w:szCs w:val="28"/>
          <w:highlight w:val="none"/>
          <w:lang w:val="en-US" w:eastAsia="zh-CN"/>
        </w:rPr>
        <w:t>,共计</w:t>
      </w:r>
      <w:r>
        <w:rPr>
          <w:rFonts w:hint="eastAsia" w:ascii="仿宋_GB2312" w:hAnsi="Times New Roman" w:eastAsia="仿宋_GB2312" w:cs="Times New Roman"/>
          <w:sz w:val="28"/>
          <w:szCs w:val="28"/>
          <w:highlight w:val="none"/>
        </w:rPr>
        <w:t>3</w:t>
      </w:r>
      <w:r>
        <w:rPr>
          <w:rFonts w:hint="eastAsia" w:ascii="仿宋_GB2312" w:hAnsi="Times New Roman" w:eastAsia="仿宋_GB2312" w:cs="Times New Roman"/>
          <w:sz w:val="28"/>
          <w:szCs w:val="28"/>
          <w:highlight w:val="none"/>
          <w:lang w:val="en-US" w:eastAsia="zh-CN"/>
        </w:rPr>
        <w:t>,</w:t>
      </w:r>
      <w:r>
        <w:rPr>
          <w:rFonts w:hint="eastAsia" w:ascii="仿宋_GB2312" w:hAnsi="Times New Roman" w:eastAsia="仿宋_GB2312" w:cs="Times New Roman"/>
          <w:sz w:val="28"/>
          <w:szCs w:val="28"/>
          <w:highlight w:val="none"/>
        </w:rPr>
        <w:t>198.8万元，保障7997名社会救助对象应助尽助。扎实推进因病致贫重病患者家庭医疗救助工作，完成67户家庭的救助，救助</w:t>
      </w:r>
      <w:r>
        <w:rPr>
          <w:rFonts w:hint="eastAsia" w:ascii="仿宋_GB2312" w:hAnsi="Times New Roman" w:eastAsia="仿宋_GB2312" w:cs="Times New Roman"/>
          <w:sz w:val="28"/>
          <w:szCs w:val="28"/>
          <w:highlight w:val="none"/>
          <w:lang w:eastAsia="zh-CN"/>
        </w:rPr>
        <w:t>资金</w:t>
      </w:r>
      <w:r>
        <w:rPr>
          <w:rFonts w:hint="eastAsia" w:ascii="仿宋_GB2312" w:hAnsi="Times New Roman" w:eastAsia="仿宋_GB2312" w:cs="Times New Roman"/>
          <w:sz w:val="28"/>
          <w:szCs w:val="28"/>
          <w:highlight w:val="none"/>
        </w:rPr>
        <w:t>39.6万元。认真做好异地退休返京知青门诊医疗费用帮扶等专项保障工作，确保各项待遇精准落实，守护好社会公平正义的底线。大力推动“北京普惠健康保”参保推广，</w:t>
      </w:r>
      <w:r>
        <w:rPr>
          <w:rFonts w:hint="eastAsia" w:ascii="仿宋_GB2312" w:hAnsi="Times New Roman" w:eastAsia="仿宋_GB2312" w:cs="Times New Roman"/>
          <w:sz w:val="28"/>
          <w:szCs w:val="28"/>
          <w:highlight w:val="none"/>
          <w:lang w:val="en-US" w:eastAsia="zh-CN"/>
        </w:rPr>
        <w:t>2026年度</w:t>
      </w:r>
      <w:r>
        <w:rPr>
          <w:rFonts w:hint="eastAsia" w:ascii="仿宋_GB2312" w:hAnsi="Times New Roman" w:eastAsia="仿宋_GB2312" w:cs="Times New Roman"/>
          <w:sz w:val="28"/>
          <w:szCs w:val="28"/>
          <w:highlight w:val="none"/>
        </w:rPr>
        <w:t>参保超</w:t>
      </w:r>
      <w:r>
        <w:rPr>
          <w:rFonts w:hint="eastAsia" w:ascii="仿宋_GB2312" w:hAnsi="Times New Roman" w:eastAsia="仿宋_GB2312" w:cs="Times New Roman"/>
          <w:sz w:val="28"/>
          <w:szCs w:val="28"/>
          <w:highlight w:val="none"/>
          <w:lang w:val="en-US" w:eastAsia="zh-CN"/>
        </w:rPr>
        <w:t>5.9</w:t>
      </w:r>
      <w:r>
        <w:rPr>
          <w:rFonts w:hint="eastAsia" w:ascii="仿宋_GB2312" w:hAnsi="Times New Roman" w:eastAsia="仿宋_GB2312" w:cs="Times New Roman"/>
          <w:sz w:val="28"/>
          <w:szCs w:val="28"/>
          <w:highlight w:val="none"/>
        </w:rPr>
        <w:t>万人，并积极</w:t>
      </w:r>
      <w:r>
        <w:rPr>
          <w:rFonts w:hint="eastAsia" w:ascii="仿宋_GB2312" w:hAnsi="Times New Roman" w:eastAsia="仿宋_GB2312" w:cs="Times New Roman"/>
          <w:sz w:val="28"/>
          <w:szCs w:val="28"/>
          <w:highlight w:val="none"/>
          <w:lang w:eastAsia="zh-CN"/>
        </w:rPr>
        <w:t>推动</w:t>
      </w:r>
      <w:r>
        <w:rPr>
          <w:rFonts w:hint="eastAsia" w:ascii="仿宋_GB2312" w:hAnsi="Times New Roman" w:eastAsia="仿宋_GB2312" w:cs="Times New Roman"/>
          <w:sz w:val="28"/>
          <w:szCs w:val="28"/>
          <w:highlight w:val="none"/>
        </w:rPr>
        <w:t>使用财政资金为困难群体购买</w:t>
      </w:r>
      <w:r>
        <w:rPr>
          <w:rFonts w:hint="eastAsia" w:ascii="仿宋_GB2312" w:hAnsi="Times New Roman" w:eastAsia="仿宋_GB2312" w:cs="Times New Roman"/>
          <w:sz w:val="28"/>
          <w:szCs w:val="28"/>
          <w:highlight w:val="none"/>
          <w:lang w:eastAsia="zh-CN"/>
        </w:rPr>
        <w:t>北京</w:t>
      </w:r>
      <w:r>
        <w:rPr>
          <w:rFonts w:hint="eastAsia" w:ascii="仿宋_GB2312" w:hAnsi="Times New Roman" w:eastAsia="仿宋_GB2312" w:cs="Times New Roman"/>
          <w:sz w:val="28"/>
          <w:szCs w:val="28"/>
          <w:highlight w:val="none"/>
        </w:rPr>
        <w:t>普惠健康保，助力构建防止因病致贫返贫的长效机制。</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val="en-US" w:eastAsia="zh-CN"/>
        </w:rPr>
        <w:t>三是</w:t>
      </w:r>
      <w:r>
        <w:rPr>
          <w:rFonts w:hint="eastAsia" w:ascii="仿宋_GB2312" w:hAnsi="Times New Roman" w:eastAsia="仿宋_GB2312" w:cs="Times New Roman"/>
          <w:sz w:val="28"/>
          <w:szCs w:val="28"/>
          <w:highlight w:val="none"/>
        </w:rPr>
        <w:t>对辖区内71家定点医药机构进行全覆盖监督检查，拒付或追回定点医药机构违规费用</w:t>
      </w:r>
      <w:r>
        <w:rPr>
          <w:rFonts w:hint="eastAsia" w:ascii="仿宋_GB2312" w:hAnsi="Times New Roman" w:eastAsia="仿宋_GB2312" w:cs="Times New Roman"/>
          <w:sz w:val="28"/>
          <w:szCs w:val="28"/>
          <w:highlight w:val="none"/>
          <w:lang w:val="en-US" w:eastAsia="zh-CN"/>
        </w:rPr>
        <w:t>945</w:t>
      </w:r>
      <w:r>
        <w:rPr>
          <w:rFonts w:hint="eastAsia" w:ascii="仿宋_GB2312" w:hAnsi="Times New Roman" w:eastAsia="仿宋_GB2312" w:cs="Times New Roman"/>
          <w:sz w:val="28"/>
          <w:szCs w:val="28"/>
          <w:highlight w:val="none"/>
        </w:rPr>
        <w:t>万元</w:t>
      </w:r>
      <w:r>
        <w:rPr>
          <w:rFonts w:hint="eastAsia" w:ascii="仿宋_GB2312" w:hAnsi="Times New Roman" w:eastAsia="仿宋_GB2312" w:cs="Times New Roman"/>
          <w:sz w:val="28"/>
          <w:szCs w:val="28"/>
          <w:highlight w:val="none"/>
          <w:lang w:eastAsia="zh-CN"/>
        </w:rPr>
        <w:t>；通过</w:t>
      </w:r>
      <w:r>
        <w:rPr>
          <w:rFonts w:hint="eastAsia" w:ascii="仿宋_GB2312" w:hAnsi="Times New Roman" w:eastAsia="仿宋_GB2312" w:cs="Times New Roman"/>
          <w:sz w:val="28"/>
          <w:szCs w:val="28"/>
          <w:highlight w:val="none"/>
        </w:rPr>
        <w:t>强化对参保人使用医保基金行为的监管，规范检查流程，追回24名参保人违规费用15.2万元</w:t>
      </w:r>
      <w:r>
        <w:rPr>
          <w:rFonts w:hint="eastAsia" w:ascii="仿宋_GB2312" w:hAnsi="Times New Roman" w:eastAsia="仿宋_GB2312" w:cs="Times New Roman"/>
          <w:sz w:val="28"/>
          <w:szCs w:val="28"/>
          <w:highlight w:val="none"/>
          <w:lang w:eastAsia="zh-CN"/>
        </w:rPr>
        <w:t>；通过</w:t>
      </w:r>
      <w:r>
        <w:rPr>
          <w:rFonts w:hint="eastAsia" w:ascii="仿宋_GB2312" w:hAnsi="Times New Roman" w:eastAsia="仿宋_GB2312" w:cs="Times New Roman"/>
          <w:sz w:val="28"/>
          <w:szCs w:val="28"/>
          <w:highlight w:val="none"/>
        </w:rPr>
        <w:t>组织辖区内定点医药机构开展5轮全面自查自纠，发现问题45项，主动退回违规医保基金1660.8万元。深化行刑衔接，配合门头沟区检察院审查医保诈骗案件6件，追缴基金损失4.7万余元。创新推行“行政+司法”医疗保险和生育保险稽核模式，向区法院申请非诉执行行政案件68件并申请强制执行59件。</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eastAsia="zh-CN"/>
        </w:rPr>
        <w:t>（</w:t>
      </w:r>
      <w:r>
        <w:rPr>
          <w:rFonts w:hint="eastAsia" w:ascii="仿宋_GB2312" w:hAnsi="Times New Roman" w:eastAsia="仿宋_GB2312" w:cs="Times New Roman"/>
          <w:sz w:val="28"/>
          <w:szCs w:val="28"/>
          <w:highlight w:val="none"/>
          <w:lang w:val="en-US" w:eastAsia="zh-CN"/>
        </w:rPr>
        <w:t>2</w:t>
      </w:r>
      <w:r>
        <w:rPr>
          <w:rFonts w:hint="eastAsia" w:ascii="仿宋_GB2312" w:hAnsi="Times New Roman" w:eastAsia="仿宋_GB2312" w:cs="Times New Roman"/>
          <w:sz w:val="28"/>
          <w:szCs w:val="28"/>
          <w:highlight w:val="none"/>
          <w:lang w:eastAsia="zh-CN"/>
        </w:rPr>
        <w:t>）</w:t>
      </w:r>
      <w:r>
        <w:rPr>
          <w:rFonts w:hint="eastAsia" w:ascii="仿宋_GB2312" w:hAnsi="Times New Roman" w:eastAsia="仿宋_GB2312" w:cs="Times New Roman"/>
          <w:sz w:val="28"/>
          <w:szCs w:val="28"/>
          <w:highlight w:val="none"/>
        </w:rPr>
        <w:t>产出质量</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eastAsia="zh-CN"/>
        </w:rPr>
        <w:t>一是按季度编制</w:t>
      </w:r>
      <w:r>
        <w:rPr>
          <w:rFonts w:hint="eastAsia" w:ascii="仿宋_GB2312" w:hAnsi="Times New Roman" w:eastAsia="仿宋_GB2312" w:cs="Times New Roman"/>
          <w:sz w:val="28"/>
          <w:szCs w:val="28"/>
          <w:highlight w:val="none"/>
        </w:rPr>
        <w:t>《门头沟区医疗保障工作运行统计分析报告</w:t>
      </w:r>
      <w:r>
        <w:rPr>
          <w:rFonts w:hint="eastAsia" w:ascii="仿宋_GB2312" w:hAnsi="Times New Roman" w:eastAsia="仿宋_GB2312" w:cs="Times New Roman"/>
          <w:sz w:val="28"/>
          <w:szCs w:val="28"/>
          <w:highlight w:val="none"/>
          <w:lang w:eastAsia="zh-CN"/>
        </w:rPr>
        <w:t>》</w:t>
      </w:r>
      <w:r>
        <w:rPr>
          <w:rFonts w:hint="eastAsia" w:ascii="仿宋_GB2312" w:hAnsi="Times New Roman" w:eastAsia="仿宋_GB2312" w:cs="Times New Roman"/>
          <w:sz w:val="28"/>
          <w:szCs w:val="28"/>
          <w:highlight w:val="none"/>
        </w:rPr>
        <w:t>，</w:t>
      </w:r>
      <w:r>
        <w:rPr>
          <w:rFonts w:hint="eastAsia" w:ascii="仿宋_GB2312" w:hAnsi="Times New Roman" w:eastAsia="仿宋_GB2312" w:cs="Times New Roman"/>
          <w:sz w:val="28"/>
          <w:szCs w:val="28"/>
          <w:highlight w:val="none"/>
          <w:lang w:eastAsia="zh-CN"/>
        </w:rPr>
        <w:t>强化</w:t>
      </w:r>
      <w:r>
        <w:rPr>
          <w:rFonts w:hint="eastAsia" w:ascii="仿宋_GB2312" w:hAnsi="Times New Roman" w:eastAsia="仿宋_GB2312" w:cs="Times New Roman"/>
          <w:sz w:val="28"/>
          <w:szCs w:val="28"/>
          <w:highlight w:val="none"/>
        </w:rPr>
        <w:t>全区医保基金使用情况的宏观分析研判。</w:t>
      </w:r>
      <w:r>
        <w:rPr>
          <w:rFonts w:hint="eastAsia" w:ascii="仿宋_GB2312" w:hAnsi="Times New Roman" w:eastAsia="仿宋_GB2312" w:cs="Times New Roman"/>
          <w:sz w:val="28"/>
          <w:szCs w:val="28"/>
          <w:highlight w:val="none"/>
          <w:lang w:eastAsia="zh-CN"/>
        </w:rPr>
        <w:t>推行</w:t>
      </w:r>
      <w:r>
        <w:rPr>
          <w:rFonts w:hint="eastAsia" w:ascii="仿宋_GB2312" w:hAnsi="Times New Roman" w:eastAsia="仿宋_GB2312" w:cs="Times New Roman"/>
          <w:sz w:val="28"/>
          <w:szCs w:val="28"/>
          <w:highlight w:val="none"/>
        </w:rPr>
        <w:t>“一院一策”精准化管理</w:t>
      </w:r>
      <w:r>
        <w:rPr>
          <w:rFonts w:hint="eastAsia" w:ascii="仿宋_GB2312" w:hAnsi="Times New Roman" w:eastAsia="仿宋_GB2312" w:cs="Times New Roman"/>
          <w:sz w:val="28"/>
          <w:szCs w:val="28"/>
          <w:highlight w:val="none"/>
          <w:lang w:eastAsia="zh-CN"/>
        </w:rPr>
        <w:t>，</w:t>
      </w:r>
      <w:r>
        <w:rPr>
          <w:rFonts w:hint="eastAsia" w:ascii="仿宋_GB2312" w:hAnsi="Times New Roman" w:eastAsia="仿宋_GB2312" w:cs="Times New Roman"/>
          <w:sz w:val="28"/>
          <w:szCs w:val="28"/>
          <w:highlight w:val="none"/>
        </w:rPr>
        <w:t>发放《致定点医疗机构的一封信》</w:t>
      </w:r>
      <w:r>
        <w:rPr>
          <w:rFonts w:hint="eastAsia" w:ascii="仿宋_GB2312" w:hAnsi="Times New Roman" w:eastAsia="仿宋_GB2312" w:cs="Times New Roman"/>
          <w:sz w:val="28"/>
          <w:szCs w:val="28"/>
          <w:highlight w:val="none"/>
          <w:lang w:eastAsia="zh-CN"/>
        </w:rPr>
        <w:t>，</w:t>
      </w:r>
      <w:r>
        <w:rPr>
          <w:rFonts w:hint="eastAsia" w:ascii="仿宋_GB2312" w:hAnsi="Times New Roman" w:eastAsia="仿宋_GB2312" w:cs="Times New Roman"/>
          <w:sz w:val="28"/>
          <w:szCs w:val="28"/>
          <w:highlight w:val="none"/>
        </w:rPr>
        <w:t>对存在基金运行风险的定点医疗机构</w:t>
      </w:r>
      <w:r>
        <w:rPr>
          <w:rFonts w:hint="eastAsia" w:ascii="仿宋_GB2312" w:hAnsi="Times New Roman" w:eastAsia="仿宋_GB2312" w:cs="Times New Roman"/>
          <w:sz w:val="28"/>
          <w:szCs w:val="28"/>
          <w:highlight w:val="none"/>
          <w:lang w:eastAsia="zh-CN"/>
        </w:rPr>
        <w:t>采取</w:t>
      </w:r>
      <w:r>
        <w:rPr>
          <w:rFonts w:hint="eastAsia" w:ascii="仿宋_GB2312" w:hAnsi="Times New Roman" w:eastAsia="仿宋_GB2312" w:cs="Times New Roman"/>
          <w:sz w:val="28"/>
          <w:szCs w:val="28"/>
          <w:highlight w:val="none"/>
        </w:rPr>
        <w:t>缓支</w:t>
      </w:r>
      <w:r>
        <w:rPr>
          <w:rFonts w:hint="eastAsia" w:ascii="仿宋_GB2312" w:hAnsi="Times New Roman" w:eastAsia="仿宋_GB2312" w:cs="Times New Roman"/>
          <w:sz w:val="28"/>
          <w:szCs w:val="28"/>
          <w:highlight w:val="none"/>
          <w:lang w:eastAsia="zh-CN"/>
        </w:rPr>
        <w:t>措施</w:t>
      </w:r>
      <w:r>
        <w:rPr>
          <w:rFonts w:hint="eastAsia" w:ascii="仿宋_GB2312" w:hAnsi="Times New Roman" w:eastAsia="仿宋_GB2312" w:cs="Times New Roman"/>
          <w:sz w:val="28"/>
          <w:szCs w:val="28"/>
          <w:highlight w:val="none"/>
        </w:rPr>
        <w:t>。</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eastAsia="zh-CN"/>
        </w:rPr>
        <w:t>二是</w:t>
      </w:r>
      <w:r>
        <w:rPr>
          <w:rFonts w:hint="eastAsia" w:ascii="仿宋_GB2312" w:hAnsi="Times New Roman" w:eastAsia="仿宋_GB2312" w:cs="Times New Roman"/>
          <w:sz w:val="28"/>
          <w:szCs w:val="28"/>
          <w:highlight w:val="none"/>
        </w:rPr>
        <w:t>对辖区内71家定点医药机构进行全覆盖监督检查，拒付或追回定点医药机构违规费用</w:t>
      </w:r>
      <w:r>
        <w:rPr>
          <w:rFonts w:hint="eastAsia" w:ascii="仿宋_GB2312" w:hAnsi="Times New Roman" w:eastAsia="仿宋_GB2312" w:cs="Times New Roman"/>
          <w:sz w:val="28"/>
          <w:szCs w:val="28"/>
          <w:highlight w:val="none"/>
          <w:lang w:val="en-US" w:eastAsia="zh-CN"/>
        </w:rPr>
        <w:t>945</w:t>
      </w:r>
      <w:r>
        <w:rPr>
          <w:rFonts w:hint="eastAsia" w:ascii="仿宋_GB2312" w:hAnsi="Times New Roman" w:eastAsia="仿宋_GB2312" w:cs="Times New Roman"/>
          <w:sz w:val="28"/>
          <w:szCs w:val="28"/>
          <w:highlight w:val="none"/>
        </w:rPr>
        <w:t>万元</w:t>
      </w:r>
      <w:r>
        <w:rPr>
          <w:rFonts w:hint="eastAsia" w:ascii="仿宋_GB2312" w:hAnsi="Times New Roman" w:eastAsia="仿宋_GB2312" w:cs="Times New Roman"/>
          <w:sz w:val="28"/>
          <w:szCs w:val="28"/>
          <w:highlight w:val="none"/>
          <w:lang w:eastAsia="zh-CN"/>
        </w:rPr>
        <w:t>；通过</w:t>
      </w:r>
      <w:r>
        <w:rPr>
          <w:rFonts w:hint="eastAsia" w:ascii="仿宋_GB2312" w:hAnsi="Times New Roman" w:eastAsia="仿宋_GB2312" w:cs="Times New Roman"/>
          <w:sz w:val="28"/>
          <w:szCs w:val="28"/>
          <w:highlight w:val="none"/>
        </w:rPr>
        <w:t>强化对参保人使用医保基金行为的监管，规范检查流程，追回24名参保人违规费用15.2万元</w:t>
      </w:r>
      <w:r>
        <w:rPr>
          <w:rFonts w:hint="eastAsia" w:ascii="仿宋_GB2312" w:hAnsi="Times New Roman" w:eastAsia="仿宋_GB2312" w:cs="Times New Roman"/>
          <w:sz w:val="28"/>
          <w:szCs w:val="28"/>
          <w:highlight w:val="none"/>
          <w:lang w:eastAsia="zh-CN"/>
        </w:rPr>
        <w:t>；通过</w:t>
      </w:r>
      <w:r>
        <w:rPr>
          <w:rFonts w:hint="eastAsia" w:ascii="仿宋_GB2312" w:hAnsi="Times New Roman" w:eastAsia="仿宋_GB2312" w:cs="Times New Roman"/>
          <w:sz w:val="28"/>
          <w:szCs w:val="28"/>
          <w:highlight w:val="none"/>
        </w:rPr>
        <w:t>组织辖区内定点医药机构开展5轮全面自查自纠，发现问题45项，主动退回违规医保基金1</w:t>
      </w:r>
      <w:r>
        <w:rPr>
          <w:rFonts w:hint="eastAsia" w:ascii="仿宋_GB2312" w:hAnsi="Times New Roman" w:eastAsia="仿宋_GB2312" w:cs="Times New Roman"/>
          <w:sz w:val="28"/>
          <w:szCs w:val="28"/>
          <w:highlight w:val="none"/>
          <w:lang w:val="en-US" w:eastAsia="zh-CN"/>
        </w:rPr>
        <w:t>,</w:t>
      </w:r>
      <w:r>
        <w:rPr>
          <w:rFonts w:hint="eastAsia" w:ascii="仿宋_GB2312" w:hAnsi="Times New Roman" w:eastAsia="仿宋_GB2312" w:cs="Times New Roman"/>
          <w:sz w:val="28"/>
          <w:szCs w:val="28"/>
          <w:highlight w:val="none"/>
        </w:rPr>
        <w:t>660.8万元。</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eastAsia="zh-CN"/>
        </w:rPr>
        <w:t>（</w:t>
      </w:r>
      <w:r>
        <w:rPr>
          <w:rFonts w:hint="eastAsia" w:ascii="仿宋_GB2312" w:hAnsi="Times New Roman" w:eastAsia="仿宋_GB2312" w:cs="Times New Roman"/>
          <w:sz w:val="28"/>
          <w:szCs w:val="28"/>
          <w:highlight w:val="none"/>
          <w:lang w:val="en-US" w:eastAsia="zh-CN"/>
        </w:rPr>
        <w:t>3</w:t>
      </w:r>
      <w:r>
        <w:rPr>
          <w:rFonts w:hint="eastAsia" w:ascii="仿宋_GB2312" w:hAnsi="Times New Roman" w:eastAsia="仿宋_GB2312" w:cs="Times New Roman"/>
          <w:sz w:val="28"/>
          <w:szCs w:val="28"/>
          <w:highlight w:val="none"/>
          <w:lang w:eastAsia="zh-CN"/>
        </w:rPr>
        <w:t>）</w:t>
      </w:r>
      <w:r>
        <w:rPr>
          <w:rFonts w:hint="eastAsia" w:ascii="仿宋_GB2312" w:hAnsi="Times New Roman" w:eastAsia="仿宋_GB2312" w:cs="Times New Roman"/>
          <w:sz w:val="28"/>
          <w:szCs w:val="28"/>
          <w:highlight w:val="none"/>
        </w:rPr>
        <w:t>产出进度</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按照当年预算编制内容及时间节点进行整体部门支出。</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eastAsia="zh-CN"/>
        </w:rPr>
        <w:t>（</w:t>
      </w:r>
      <w:r>
        <w:rPr>
          <w:rFonts w:hint="eastAsia" w:ascii="仿宋_GB2312" w:hAnsi="Times New Roman" w:eastAsia="仿宋_GB2312" w:cs="Times New Roman"/>
          <w:sz w:val="28"/>
          <w:szCs w:val="28"/>
          <w:highlight w:val="none"/>
          <w:lang w:val="en-US" w:eastAsia="zh-CN"/>
        </w:rPr>
        <w:t>4</w:t>
      </w:r>
      <w:r>
        <w:rPr>
          <w:rFonts w:hint="eastAsia" w:ascii="仿宋_GB2312" w:hAnsi="Times New Roman" w:eastAsia="仿宋_GB2312" w:cs="Times New Roman"/>
          <w:sz w:val="28"/>
          <w:szCs w:val="28"/>
          <w:highlight w:val="none"/>
          <w:lang w:eastAsia="zh-CN"/>
        </w:rPr>
        <w:t>）</w:t>
      </w:r>
      <w:r>
        <w:rPr>
          <w:rFonts w:hint="eastAsia" w:ascii="仿宋_GB2312" w:hAnsi="Times New Roman" w:eastAsia="仿宋_GB2312" w:cs="Times New Roman"/>
          <w:sz w:val="28"/>
          <w:szCs w:val="28"/>
          <w:highlight w:val="none"/>
        </w:rPr>
        <w:t>产出成本</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全年预算资金总体支出187,699,462.49元</w:t>
      </w:r>
      <w:r>
        <w:rPr>
          <w:rFonts w:hint="eastAsia" w:ascii="仿宋_GB2312" w:hAnsi="Times New Roman" w:eastAsia="仿宋_GB2312" w:cs="Times New Roman"/>
          <w:sz w:val="28"/>
          <w:szCs w:val="28"/>
          <w:highlight w:val="none"/>
          <w:lang w:eastAsia="zh-CN"/>
        </w:rPr>
        <w:t>。</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val="en-US" w:eastAsia="zh-CN"/>
        </w:rPr>
        <w:t>2.</w:t>
      </w:r>
      <w:r>
        <w:rPr>
          <w:rFonts w:hint="eastAsia" w:ascii="仿宋_GB2312" w:hAnsi="Times New Roman" w:eastAsia="仿宋_GB2312" w:cs="Times New Roman"/>
          <w:sz w:val="28"/>
          <w:szCs w:val="28"/>
          <w:highlight w:val="none"/>
        </w:rPr>
        <w:t>效果实现情况分析</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eastAsia="zh-CN"/>
        </w:rPr>
        <w:t>（</w:t>
      </w:r>
      <w:r>
        <w:rPr>
          <w:rFonts w:hint="eastAsia" w:ascii="仿宋_GB2312" w:hAnsi="Times New Roman" w:eastAsia="仿宋_GB2312" w:cs="Times New Roman"/>
          <w:sz w:val="28"/>
          <w:szCs w:val="28"/>
          <w:highlight w:val="none"/>
          <w:lang w:val="en-US" w:eastAsia="zh-CN"/>
        </w:rPr>
        <w:t>1</w:t>
      </w:r>
      <w:r>
        <w:rPr>
          <w:rFonts w:hint="eastAsia" w:ascii="仿宋_GB2312" w:hAnsi="Times New Roman" w:eastAsia="仿宋_GB2312" w:cs="Times New Roman"/>
          <w:sz w:val="28"/>
          <w:szCs w:val="28"/>
          <w:highlight w:val="none"/>
          <w:lang w:eastAsia="zh-CN"/>
        </w:rPr>
        <w:t>）</w:t>
      </w:r>
      <w:r>
        <w:rPr>
          <w:rFonts w:hint="eastAsia" w:ascii="仿宋_GB2312" w:hAnsi="Times New Roman" w:eastAsia="仿宋_GB2312" w:cs="Times New Roman"/>
          <w:sz w:val="28"/>
          <w:szCs w:val="28"/>
          <w:highlight w:val="none"/>
        </w:rPr>
        <w:t>经济效益</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eastAsia="zh-CN"/>
        </w:rPr>
        <w:t>一是</w:t>
      </w:r>
      <w:r>
        <w:rPr>
          <w:rFonts w:hint="eastAsia" w:ascii="仿宋_GB2312" w:hAnsi="Times New Roman" w:eastAsia="仿宋_GB2312" w:cs="Times New Roman"/>
          <w:sz w:val="28"/>
          <w:szCs w:val="28"/>
          <w:highlight w:val="none"/>
        </w:rPr>
        <w:t>针对监管中发现的风险点，</w:t>
      </w:r>
      <w:r>
        <w:rPr>
          <w:rFonts w:hint="eastAsia" w:ascii="仿宋_GB2312" w:hAnsi="Times New Roman" w:eastAsia="仿宋_GB2312" w:cs="Times New Roman"/>
          <w:sz w:val="28"/>
          <w:szCs w:val="28"/>
          <w:highlight w:val="none"/>
          <w:lang w:eastAsia="zh-CN"/>
        </w:rPr>
        <w:t>全年</w:t>
      </w:r>
      <w:r>
        <w:rPr>
          <w:rFonts w:hint="eastAsia" w:ascii="仿宋_GB2312" w:hAnsi="Times New Roman" w:eastAsia="仿宋_GB2312" w:cs="Times New Roman"/>
          <w:sz w:val="28"/>
          <w:szCs w:val="28"/>
          <w:highlight w:val="none"/>
        </w:rPr>
        <w:t>对59家次预警的定点医疗机构实施重点监控，对32家次超支橙色预警</w:t>
      </w:r>
      <w:r>
        <w:rPr>
          <w:rFonts w:hint="eastAsia" w:ascii="仿宋_GB2312" w:hAnsi="Times New Roman" w:eastAsia="仿宋_GB2312" w:cs="Times New Roman"/>
          <w:sz w:val="28"/>
          <w:szCs w:val="28"/>
          <w:highlight w:val="none"/>
          <w:lang w:eastAsia="zh-CN"/>
        </w:rPr>
        <w:t>的定点医疗</w:t>
      </w:r>
      <w:r>
        <w:rPr>
          <w:rFonts w:hint="eastAsia" w:ascii="仿宋_GB2312" w:hAnsi="Times New Roman" w:eastAsia="仿宋_GB2312" w:cs="Times New Roman"/>
          <w:sz w:val="28"/>
          <w:szCs w:val="28"/>
          <w:highlight w:val="none"/>
        </w:rPr>
        <w:t>机构</w:t>
      </w:r>
      <w:r>
        <w:rPr>
          <w:rFonts w:hint="eastAsia" w:ascii="仿宋_GB2312" w:hAnsi="Times New Roman" w:eastAsia="仿宋_GB2312" w:cs="Times New Roman"/>
          <w:sz w:val="28"/>
          <w:szCs w:val="28"/>
          <w:highlight w:val="none"/>
          <w:lang w:eastAsia="zh-CN"/>
        </w:rPr>
        <w:t>进行</w:t>
      </w:r>
      <w:r>
        <w:rPr>
          <w:rFonts w:hint="eastAsia" w:ascii="仿宋_GB2312" w:hAnsi="Times New Roman" w:eastAsia="仿宋_GB2312" w:cs="Times New Roman"/>
          <w:sz w:val="28"/>
          <w:szCs w:val="28"/>
          <w:highlight w:val="none"/>
        </w:rPr>
        <w:t>暂缓拨付并督促整改，推动监管向“事前预警、事中干预”转变，提升靶向治理能力。</w:t>
      </w:r>
    </w:p>
    <w:p>
      <w:pPr>
        <w:spacing w:line="580" w:lineRule="exact"/>
        <w:ind w:firstLine="641"/>
        <w:rPr>
          <w:rFonts w:hint="eastAsia" w:ascii="仿宋_GB2312" w:hAnsi="Times New Roman" w:eastAsia="仿宋_GB2312" w:cs="Times New Roman"/>
          <w:sz w:val="28"/>
          <w:szCs w:val="28"/>
          <w:highlight w:val="none"/>
          <w:lang w:eastAsia="zh-CN"/>
        </w:rPr>
      </w:pPr>
      <w:r>
        <w:rPr>
          <w:rFonts w:hint="eastAsia" w:ascii="仿宋_GB2312" w:hAnsi="Times New Roman" w:eastAsia="仿宋_GB2312" w:cs="Times New Roman"/>
          <w:sz w:val="28"/>
          <w:szCs w:val="28"/>
          <w:highlight w:val="none"/>
          <w:lang w:val="en-US" w:eastAsia="zh-CN"/>
        </w:rPr>
        <w:t>二是精细总额预算管理，科学分配预算管理医疗机构指标额。全年完成职工医保37家、居民医保46家定点医疗机构的预算管理指标下达。</w:t>
      </w:r>
      <w:r>
        <w:rPr>
          <w:rFonts w:hint="eastAsia" w:ascii="仿宋_GB2312" w:hAnsi="Times New Roman" w:eastAsia="仿宋_GB2312" w:cs="Times New Roman"/>
          <w:sz w:val="28"/>
          <w:szCs w:val="28"/>
          <w:highlight w:val="none"/>
        </w:rPr>
        <w:t>围绕现场检查、投诉举报、线索移送、资格管理等关键环节，今年出台8项长效监管制度</w:t>
      </w:r>
      <w:r>
        <w:rPr>
          <w:rFonts w:hint="eastAsia" w:ascii="仿宋_GB2312" w:hAnsi="Times New Roman" w:eastAsia="仿宋_GB2312" w:cs="Times New Roman"/>
          <w:sz w:val="28"/>
          <w:szCs w:val="28"/>
          <w:highlight w:val="none"/>
          <w:lang w:eastAsia="zh-CN"/>
        </w:rPr>
        <w:t>，</w:t>
      </w:r>
      <w:r>
        <w:rPr>
          <w:rFonts w:hint="eastAsia" w:ascii="仿宋_GB2312" w:hAnsi="Times New Roman" w:eastAsia="仿宋_GB2312" w:cs="Times New Roman"/>
          <w:sz w:val="28"/>
          <w:szCs w:val="28"/>
          <w:highlight w:val="none"/>
        </w:rPr>
        <w:t>同步完善内部操作细则，将有效做法和经验固化为标准流程，从根本上扎紧制度笼子</w:t>
      </w:r>
      <w:r>
        <w:rPr>
          <w:rFonts w:hint="eastAsia" w:ascii="仿宋_GB2312" w:hAnsi="Times New Roman" w:eastAsia="仿宋_GB2312" w:cs="Times New Roman"/>
          <w:sz w:val="28"/>
          <w:szCs w:val="28"/>
          <w:highlight w:val="none"/>
          <w:lang w:eastAsia="zh-CN"/>
        </w:rPr>
        <w:t>。持续加强医疗保障经办机构内部控制管理，严格落实内控规程，通过月度抽查、专项检查实现经办业务监督全覆盖，有效防范经办风险。</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eastAsia="zh-CN"/>
        </w:rPr>
        <w:t>（</w:t>
      </w:r>
      <w:r>
        <w:rPr>
          <w:rFonts w:hint="eastAsia" w:ascii="仿宋_GB2312" w:hAnsi="Times New Roman" w:eastAsia="仿宋_GB2312" w:cs="Times New Roman"/>
          <w:sz w:val="28"/>
          <w:szCs w:val="28"/>
          <w:highlight w:val="none"/>
          <w:lang w:val="en-US" w:eastAsia="zh-CN"/>
        </w:rPr>
        <w:t>2</w:t>
      </w:r>
      <w:r>
        <w:rPr>
          <w:rFonts w:hint="eastAsia" w:ascii="仿宋_GB2312" w:hAnsi="Times New Roman" w:eastAsia="仿宋_GB2312" w:cs="Times New Roman"/>
          <w:sz w:val="28"/>
          <w:szCs w:val="28"/>
          <w:highlight w:val="none"/>
          <w:lang w:eastAsia="zh-CN"/>
        </w:rPr>
        <w:t>）</w:t>
      </w:r>
      <w:r>
        <w:rPr>
          <w:rFonts w:hint="eastAsia" w:ascii="仿宋_GB2312" w:hAnsi="Times New Roman" w:eastAsia="仿宋_GB2312" w:cs="Times New Roman"/>
          <w:sz w:val="28"/>
          <w:szCs w:val="28"/>
          <w:highlight w:val="none"/>
        </w:rPr>
        <w:t>社会效益</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eastAsia="zh-CN"/>
        </w:rPr>
        <w:t>一是</w:t>
      </w:r>
      <w:r>
        <w:rPr>
          <w:rFonts w:hint="eastAsia" w:ascii="仿宋_GB2312" w:hAnsi="Times New Roman" w:eastAsia="仿宋_GB2312" w:cs="Times New Roman"/>
          <w:sz w:val="28"/>
          <w:szCs w:val="28"/>
          <w:highlight w:val="none"/>
        </w:rPr>
        <w:t>全区所有二级及以上定点医疗机构医保移动支付增加了微信支付功能，参保人员就医后可通过线上“窗口”享受多样化、便捷化的就医结算体验；全区三级医院</w:t>
      </w:r>
      <w:r>
        <w:rPr>
          <w:rFonts w:hint="eastAsia" w:ascii="仿宋_GB2312" w:hAnsi="Times New Roman" w:eastAsia="仿宋_GB2312" w:cs="Times New Roman"/>
          <w:sz w:val="28"/>
          <w:szCs w:val="28"/>
          <w:highlight w:val="none"/>
          <w:lang w:eastAsia="zh-CN"/>
        </w:rPr>
        <w:t>上线</w:t>
      </w:r>
      <w:r>
        <w:rPr>
          <w:rFonts w:hint="eastAsia" w:ascii="仿宋_GB2312" w:hAnsi="Times New Roman" w:eastAsia="仿宋_GB2312" w:cs="Times New Roman"/>
          <w:sz w:val="28"/>
          <w:szCs w:val="28"/>
          <w:highlight w:val="none"/>
        </w:rPr>
        <w:t>京津冀异地医保移动支付功能，异地就医结算便捷度大幅提升。</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eastAsia="zh-CN"/>
        </w:rPr>
        <w:t>二是</w:t>
      </w:r>
      <w:r>
        <w:rPr>
          <w:rFonts w:hint="eastAsia" w:ascii="仿宋_GB2312" w:hAnsi="Times New Roman" w:eastAsia="仿宋_GB2312" w:cs="Times New Roman"/>
          <w:sz w:val="28"/>
          <w:szCs w:val="28"/>
          <w:highlight w:val="none"/>
        </w:rPr>
        <w:t>推动实现“前台综合受理、后台分类审批、统一窗口出件”优化窗口布局</w:t>
      </w:r>
      <w:r>
        <w:rPr>
          <w:rFonts w:hint="eastAsia" w:ascii="仿宋_GB2312" w:hAnsi="Times New Roman" w:eastAsia="仿宋_GB2312" w:cs="Times New Roman"/>
          <w:sz w:val="28"/>
          <w:szCs w:val="28"/>
          <w:highlight w:val="none"/>
          <w:lang w:eastAsia="zh-CN"/>
        </w:rPr>
        <w:t>。</w:t>
      </w:r>
      <w:r>
        <w:rPr>
          <w:rFonts w:hint="eastAsia" w:ascii="仿宋_GB2312" w:hAnsi="Times New Roman" w:eastAsia="仿宋_GB2312" w:cs="Times New Roman"/>
          <w:sz w:val="28"/>
          <w:szCs w:val="28"/>
          <w:highlight w:val="none"/>
        </w:rPr>
        <w:t>二是“服务下沉”构建便民网络。</w:t>
      </w:r>
      <w:r>
        <w:rPr>
          <w:rFonts w:hint="eastAsia" w:ascii="仿宋_GB2312" w:hAnsi="Times New Roman" w:eastAsia="仿宋_GB2312" w:cs="Times New Roman"/>
          <w:sz w:val="28"/>
          <w:szCs w:val="28"/>
          <w:highlight w:val="none"/>
          <w:lang w:eastAsia="zh-CN"/>
        </w:rPr>
        <w:t>三是</w:t>
      </w:r>
      <w:r>
        <w:rPr>
          <w:rFonts w:hint="eastAsia" w:ascii="仿宋_GB2312" w:hAnsi="Times New Roman" w:eastAsia="仿宋_GB2312" w:cs="Times New Roman"/>
          <w:sz w:val="28"/>
          <w:szCs w:val="28"/>
          <w:highlight w:val="none"/>
        </w:rPr>
        <w:t>村卫生室</w:t>
      </w:r>
      <w:r>
        <w:rPr>
          <w:rFonts w:hint="eastAsia" w:ascii="仿宋_GB2312" w:hAnsi="Times New Roman" w:eastAsia="仿宋_GB2312" w:cs="Times New Roman"/>
          <w:sz w:val="28"/>
          <w:szCs w:val="28"/>
          <w:highlight w:val="none"/>
          <w:lang w:eastAsia="zh-CN"/>
        </w:rPr>
        <w:t>全面</w:t>
      </w:r>
      <w:r>
        <w:rPr>
          <w:rFonts w:hint="eastAsia" w:ascii="仿宋_GB2312" w:hAnsi="Times New Roman" w:eastAsia="仿宋_GB2312" w:cs="Times New Roman"/>
          <w:sz w:val="28"/>
          <w:szCs w:val="28"/>
          <w:highlight w:val="none"/>
        </w:rPr>
        <w:t>实时结算。辖区内87家村卫生室已全部</w:t>
      </w:r>
      <w:r>
        <w:rPr>
          <w:rFonts w:hint="eastAsia" w:ascii="仿宋_GB2312" w:hAnsi="Times New Roman" w:eastAsia="仿宋_GB2312" w:cs="Times New Roman"/>
          <w:sz w:val="28"/>
          <w:szCs w:val="28"/>
          <w:highlight w:val="none"/>
          <w:lang w:eastAsia="zh-CN"/>
        </w:rPr>
        <w:t>纳入医保定点管理并</w:t>
      </w:r>
      <w:r>
        <w:rPr>
          <w:rFonts w:hint="eastAsia" w:ascii="仿宋_GB2312" w:hAnsi="Times New Roman" w:eastAsia="仿宋_GB2312" w:cs="Times New Roman"/>
          <w:sz w:val="28"/>
          <w:szCs w:val="28"/>
          <w:highlight w:val="none"/>
        </w:rPr>
        <w:t>实现医保实时结算，覆盖率达100%，彻底打通了农村医保服务“最后一公里”。</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eastAsia="zh-CN"/>
        </w:rPr>
        <w:t>（</w:t>
      </w:r>
      <w:r>
        <w:rPr>
          <w:rFonts w:hint="eastAsia" w:ascii="仿宋_GB2312" w:hAnsi="Times New Roman" w:eastAsia="仿宋_GB2312" w:cs="Times New Roman"/>
          <w:sz w:val="28"/>
          <w:szCs w:val="28"/>
          <w:highlight w:val="none"/>
          <w:lang w:val="en-US" w:eastAsia="zh-CN"/>
        </w:rPr>
        <w:t>3</w:t>
      </w:r>
      <w:r>
        <w:rPr>
          <w:rFonts w:hint="eastAsia" w:ascii="仿宋_GB2312" w:hAnsi="Times New Roman" w:eastAsia="仿宋_GB2312" w:cs="Times New Roman"/>
          <w:sz w:val="28"/>
          <w:szCs w:val="28"/>
          <w:highlight w:val="none"/>
          <w:lang w:eastAsia="zh-CN"/>
        </w:rPr>
        <w:t>）</w:t>
      </w:r>
      <w:r>
        <w:rPr>
          <w:rFonts w:hint="eastAsia" w:ascii="仿宋_GB2312" w:hAnsi="Times New Roman" w:eastAsia="仿宋_GB2312" w:cs="Times New Roman"/>
          <w:sz w:val="28"/>
          <w:szCs w:val="28"/>
          <w:highlight w:val="none"/>
        </w:rPr>
        <w:t>环境效益</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eastAsia="zh-CN"/>
        </w:rPr>
        <w:t>不涉及。</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eastAsia="zh-CN"/>
        </w:rPr>
        <w:t>（</w:t>
      </w:r>
      <w:r>
        <w:rPr>
          <w:rFonts w:hint="eastAsia" w:ascii="仿宋_GB2312" w:hAnsi="Times New Roman" w:eastAsia="仿宋_GB2312" w:cs="Times New Roman"/>
          <w:sz w:val="28"/>
          <w:szCs w:val="28"/>
          <w:highlight w:val="none"/>
          <w:lang w:val="en-US" w:eastAsia="zh-CN"/>
        </w:rPr>
        <w:t>4</w:t>
      </w:r>
      <w:r>
        <w:rPr>
          <w:rFonts w:hint="eastAsia" w:ascii="仿宋_GB2312" w:hAnsi="Times New Roman" w:eastAsia="仿宋_GB2312" w:cs="Times New Roman"/>
          <w:sz w:val="28"/>
          <w:szCs w:val="28"/>
          <w:highlight w:val="none"/>
          <w:lang w:eastAsia="zh-CN"/>
        </w:rPr>
        <w:t>）</w:t>
      </w:r>
      <w:r>
        <w:rPr>
          <w:rFonts w:hint="eastAsia" w:ascii="仿宋_GB2312" w:hAnsi="Times New Roman" w:eastAsia="仿宋_GB2312" w:cs="Times New Roman"/>
          <w:sz w:val="28"/>
          <w:szCs w:val="28"/>
          <w:highlight w:val="none"/>
        </w:rPr>
        <w:t>可持续影响</w:t>
      </w:r>
    </w:p>
    <w:p>
      <w:pPr>
        <w:spacing w:line="580" w:lineRule="exact"/>
        <w:ind w:firstLine="641"/>
        <w:rPr>
          <w:rFonts w:hint="eastAsia" w:ascii="仿宋_GB2312" w:hAnsi="Times New Roman" w:eastAsia="仿宋_GB2312" w:cs="Times New Roman"/>
          <w:sz w:val="28"/>
          <w:szCs w:val="28"/>
          <w:highlight w:val="none"/>
          <w:lang w:eastAsia="zh-CN"/>
        </w:rPr>
      </w:pPr>
      <w:r>
        <w:rPr>
          <w:rFonts w:hint="eastAsia" w:ascii="仿宋_GB2312" w:hAnsi="Times New Roman" w:eastAsia="仿宋_GB2312" w:cs="Times New Roman"/>
          <w:sz w:val="28"/>
          <w:szCs w:val="28"/>
          <w:highlight w:val="none"/>
        </w:rPr>
        <w:t>整体部门预算属于长年性项目</w:t>
      </w:r>
      <w:r>
        <w:rPr>
          <w:rFonts w:hint="eastAsia" w:ascii="仿宋_GB2312" w:hAnsi="Times New Roman" w:eastAsia="仿宋_GB2312" w:cs="Times New Roman"/>
          <w:sz w:val="28"/>
          <w:szCs w:val="28"/>
          <w:highlight w:val="none"/>
          <w:lang w:eastAsia="zh-CN"/>
        </w:rPr>
        <w:t>。</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eastAsia="zh-CN"/>
        </w:rPr>
        <w:t>（</w:t>
      </w:r>
      <w:r>
        <w:rPr>
          <w:rFonts w:hint="eastAsia" w:ascii="仿宋_GB2312" w:hAnsi="Times New Roman" w:eastAsia="仿宋_GB2312" w:cs="Times New Roman"/>
          <w:sz w:val="28"/>
          <w:szCs w:val="28"/>
          <w:highlight w:val="none"/>
          <w:lang w:val="en-US" w:eastAsia="zh-CN"/>
        </w:rPr>
        <w:t>5</w:t>
      </w:r>
      <w:r>
        <w:rPr>
          <w:rFonts w:hint="eastAsia" w:ascii="仿宋_GB2312" w:hAnsi="Times New Roman" w:eastAsia="仿宋_GB2312" w:cs="Times New Roman"/>
          <w:sz w:val="28"/>
          <w:szCs w:val="28"/>
          <w:highlight w:val="none"/>
          <w:lang w:eastAsia="zh-CN"/>
        </w:rPr>
        <w:t>）</w:t>
      </w:r>
      <w:r>
        <w:rPr>
          <w:rFonts w:hint="eastAsia" w:ascii="仿宋_GB2312" w:hAnsi="Times New Roman" w:eastAsia="仿宋_GB2312" w:cs="Times New Roman"/>
          <w:sz w:val="28"/>
          <w:szCs w:val="28"/>
          <w:highlight w:val="none"/>
        </w:rPr>
        <w:t>服务对象满意度</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eastAsia="zh-CN"/>
        </w:rPr>
        <w:t>一是</w:t>
      </w:r>
      <w:r>
        <w:rPr>
          <w:rFonts w:hint="eastAsia" w:ascii="仿宋_GB2312" w:hAnsi="Times New Roman" w:eastAsia="仿宋_GB2312" w:cs="Times New Roman"/>
          <w:sz w:val="28"/>
          <w:szCs w:val="28"/>
          <w:highlight w:val="none"/>
        </w:rPr>
        <w:t>深化“接诉即办”源头治理。建立快速响应与主动治理机制，通过强化政策前端宣传、优化咨询渠道、提升“一号通”服务水平，从源头化解潜在诉求，实现降量提质</w:t>
      </w:r>
      <w:r>
        <w:rPr>
          <w:rFonts w:hint="eastAsia" w:ascii="仿宋_GB2312" w:hAnsi="Times New Roman" w:eastAsia="仿宋_GB2312" w:cs="Times New Roman"/>
          <w:sz w:val="28"/>
          <w:szCs w:val="28"/>
          <w:highlight w:val="none"/>
          <w:lang w:eastAsia="zh-CN"/>
        </w:rPr>
        <w:t>，</w:t>
      </w:r>
      <w:r>
        <w:rPr>
          <w:rFonts w:hint="eastAsia" w:ascii="仿宋_GB2312" w:hAnsi="Times New Roman" w:eastAsia="仿宋_GB2312" w:cs="Times New Roman"/>
          <w:sz w:val="28"/>
          <w:szCs w:val="28"/>
          <w:highlight w:val="none"/>
        </w:rPr>
        <w:t>2025年受理“接诉即办”诉求24</w:t>
      </w:r>
      <w:r>
        <w:rPr>
          <w:rFonts w:hint="eastAsia" w:ascii="仿宋_GB2312" w:hAnsi="Times New Roman" w:eastAsia="仿宋_GB2312" w:cs="Times New Roman"/>
          <w:sz w:val="28"/>
          <w:szCs w:val="28"/>
          <w:highlight w:val="none"/>
          <w:lang w:val="en-US" w:eastAsia="zh-CN"/>
        </w:rPr>
        <w:t>9</w:t>
      </w:r>
      <w:r>
        <w:rPr>
          <w:rFonts w:hint="eastAsia" w:ascii="仿宋_GB2312" w:hAnsi="Times New Roman" w:eastAsia="仿宋_GB2312" w:cs="Times New Roman"/>
          <w:sz w:val="28"/>
          <w:szCs w:val="28"/>
          <w:highlight w:val="none"/>
        </w:rPr>
        <w:t>件，较去年同期下降</w:t>
      </w:r>
      <w:r>
        <w:rPr>
          <w:rFonts w:hint="eastAsia" w:ascii="仿宋_GB2312" w:hAnsi="Times New Roman" w:eastAsia="仿宋_GB2312" w:cs="Times New Roman"/>
          <w:sz w:val="28"/>
          <w:szCs w:val="28"/>
          <w:highlight w:val="none"/>
          <w:lang w:val="en-US" w:eastAsia="zh-CN"/>
        </w:rPr>
        <w:t>33.61</w:t>
      </w:r>
      <w:r>
        <w:rPr>
          <w:rFonts w:hint="eastAsia" w:ascii="仿宋_GB2312" w:hAnsi="Times New Roman" w:eastAsia="仿宋_GB2312" w:cs="Times New Roman"/>
          <w:sz w:val="28"/>
          <w:szCs w:val="28"/>
          <w:highlight w:val="none"/>
        </w:rPr>
        <w:t>%，全年</w:t>
      </w:r>
      <w:r>
        <w:rPr>
          <w:rFonts w:hint="eastAsia" w:ascii="仿宋_GB2312" w:hAnsi="Times New Roman" w:eastAsia="仿宋_GB2312" w:cs="Times New Roman"/>
          <w:sz w:val="28"/>
          <w:szCs w:val="28"/>
          <w:highlight w:val="none"/>
          <w:lang w:eastAsia="zh-CN"/>
        </w:rPr>
        <w:t>各</w:t>
      </w:r>
      <w:r>
        <w:rPr>
          <w:rFonts w:hint="eastAsia" w:ascii="仿宋_GB2312" w:hAnsi="Times New Roman" w:eastAsia="仿宋_GB2312" w:cs="Times New Roman"/>
          <w:sz w:val="28"/>
          <w:szCs w:val="28"/>
          <w:highlight w:val="none"/>
        </w:rPr>
        <w:t>考核周期均</w:t>
      </w:r>
      <w:r>
        <w:rPr>
          <w:rFonts w:hint="eastAsia" w:ascii="仿宋_GB2312" w:hAnsi="Times New Roman" w:eastAsia="仿宋_GB2312" w:cs="Times New Roman"/>
          <w:sz w:val="28"/>
          <w:szCs w:val="28"/>
          <w:highlight w:val="none"/>
          <w:lang w:eastAsia="zh-CN"/>
        </w:rPr>
        <w:t>为“满分”</w:t>
      </w:r>
      <w:r>
        <w:rPr>
          <w:rFonts w:hint="eastAsia" w:ascii="仿宋_GB2312" w:hAnsi="Times New Roman" w:eastAsia="仿宋_GB2312" w:cs="Times New Roman"/>
          <w:sz w:val="28"/>
          <w:szCs w:val="28"/>
          <w:highlight w:val="none"/>
        </w:rPr>
        <w:t>，群众满意度持续攀升。</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eastAsia="zh-CN"/>
        </w:rPr>
        <w:t>二是</w:t>
      </w:r>
      <w:r>
        <w:rPr>
          <w:rFonts w:hint="eastAsia" w:ascii="仿宋_GB2312" w:hAnsi="Times New Roman" w:eastAsia="仿宋_GB2312" w:cs="Times New Roman"/>
          <w:sz w:val="28"/>
          <w:szCs w:val="28"/>
          <w:highlight w:val="none"/>
        </w:rPr>
        <w:t>设立中关村园区“医保驻企服务站”，提供企业高频医保业务打包、专业医保政策咨询、个性定制需求受理等17项医保服务，</w:t>
      </w:r>
      <w:r>
        <w:rPr>
          <w:rFonts w:hint="eastAsia" w:ascii="仿宋_GB2312" w:hAnsi="Times New Roman" w:eastAsia="仿宋_GB2312" w:cs="Times New Roman"/>
          <w:sz w:val="28"/>
          <w:szCs w:val="28"/>
          <w:highlight w:val="none"/>
          <w:lang w:eastAsia="zh-CN"/>
        </w:rPr>
        <w:t>以及</w:t>
      </w:r>
      <w:r>
        <w:rPr>
          <w:rFonts w:hint="eastAsia" w:ascii="仿宋_GB2312" w:hAnsi="Times New Roman" w:eastAsia="仿宋_GB2312" w:cs="Times New Roman"/>
          <w:sz w:val="28"/>
          <w:szCs w:val="28"/>
          <w:highlight w:val="none"/>
        </w:rPr>
        <w:t>“沟通平台、就医绿通、专人对接、上门义诊”等4项增值服务，</w:t>
      </w:r>
      <w:r>
        <w:rPr>
          <w:rFonts w:hint="eastAsia" w:ascii="仿宋_GB2312" w:hAnsi="Times New Roman" w:eastAsia="仿宋_GB2312" w:cs="Times New Roman"/>
          <w:sz w:val="28"/>
          <w:szCs w:val="28"/>
          <w:highlight w:val="none"/>
          <w:lang w:eastAsia="zh-CN"/>
        </w:rPr>
        <w:t>并</w:t>
      </w:r>
      <w:r>
        <w:rPr>
          <w:rFonts w:hint="eastAsia" w:ascii="仿宋_GB2312" w:hAnsi="Times New Roman" w:eastAsia="仿宋_GB2312" w:cs="Times New Roman"/>
          <w:sz w:val="28"/>
          <w:szCs w:val="28"/>
          <w:highlight w:val="none"/>
        </w:rPr>
        <w:t>成功入选北京市西部地区医保经办服务下沉合作网点首批试点单位。推广“国家医保服务平台”APP及本局微信公众号“医保业务服务自助办”功能，异地就医备案、医保关系转移接续、个人账户查询等高频事项实现“掌上办”“指尖办”，服务可及性显著增强。</w:t>
      </w:r>
    </w:p>
    <w:p>
      <w:pPr>
        <w:spacing w:line="520" w:lineRule="exact"/>
        <w:ind w:firstLine="640"/>
        <w:rPr>
          <w:rFonts w:ascii="楷体_GB2312" w:eastAsia="楷体_GB2312"/>
          <w:b/>
          <w:sz w:val="28"/>
          <w:szCs w:val="28"/>
          <w:highlight w:val="none"/>
        </w:rPr>
      </w:pPr>
      <w:r>
        <w:rPr>
          <w:rFonts w:hint="eastAsia" w:ascii="楷体_GB2312" w:eastAsia="楷体_GB2312"/>
          <w:b/>
          <w:sz w:val="28"/>
          <w:szCs w:val="28"/>
          <w:highlight w:val="none"/>
        </w:rPr>
        <w:t>（四）预算管理情况分析</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1.财务管理</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本单位建立了局党组会议事规则、领导班子“三重一大”决策制度、局长办公会会议制度、财务审批管理办法、内部审计工作制度、公务活动交通费补助管理办法等同预算相关内容的财务规章制度，严格按照内部控制管理制度执行，对资金审批、权限、范围、时限等进行了规范，并对政府采购、福利费使用、交通补贴等支出项目进行了明确说明。</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2.资产管理</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本单位各部门加强固定资产日常管理，各部门负责人变动时，新旧部门负责人需要确认本部门资产情况，形成固定资产移交清单。固定资产在使用过程中发生损坏的，由部门固定资产管理员报</w:t>
      </w:r>
      <w:r>
        <w:rPr>
          <w:rFonts w:hint="eastAsia" w:ascii="仿宋_GB2312" w:hAnsi="Times New Roman" w:eastAsia="仿宋_GB2312" w:cs="Times New Roman"/>
          <w:sz w:val="28"/>
          <w:szCs w:val="28"/>
          <w:highlight w:val="none"/>
          <w:lang w:eastAsia="zh-CN"/>
        </w:rPr>
        <w:t>综合办（一）</w:t>
      </w:r>
      <w:r>
        <w:rPr>
          <w:rFonts w:hint="eastAsia" w:ascii="仿宋_GB2312" w:hAnsi="Times New Roman" w:eastAsia="仿宋_GB2312" w:cs="Times New Roman"/>
          <w:sz w:val="28"/>
          <w:szCs w:val="28"/>
          <w:highlight w:val="none"/>
        </w:rPr>
        <w:t>，安排维修。各部门人员未经批准擅自处置固定资产，导致固定资产损失的，科室负责人应承担责任。各部门严禁固定资产的出租、出借行为。局固定资产管理员每年核对固定资产实物与固定资产台账数据，确保账实相符；与财务部核对财务账，确保账账相符。</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3.绩效管理</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（1）预算绩效管理制度情况</w:t>
      </w:r>
    </w:p>
    <w:p>
      <w:pPr>
        <w:spacing w:line="580" w:lineRule="exact"/>
        <w:ind w:firstLine="641"/>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根据《预算法》中对绩效跟踪工作的总体部署以及区财政局对全过程预算绩效管理工作的总体要求，本单位成立了财政预算绩效跟踪工作领导小组，组长由区医疗保障局局长陈立栋担任，分管副局长为绩效跟踪工作领导小组成员，领导小组办公室设在局财务部，负责绩效跟踪具体数据分析工作。</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val="en-US" w:eastAsia="zh-CN"/>
        </w:rPr>
        <w:t>根据近几年全过程预算绩效管理工作以及近年来预算编制工作实际，发现了工作中的一些薄弱环节，如部分中央转移支付资金及市级资金项目支出缓慢，需下年继续支付；部分一般性项目因市级制定政策时限等因素，支出略显缓慢，日常我局已在预算编制申报中进行了调整或逐项递减。</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（2）绩效目标管理情况</w:t>
      </w:r>
    </w:p>
    <w:p>
      <w:pPr>
        <w:spacing w:line="580" w:lineRule="exact"/>
        <w:ind w:firstLine="641"/>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2025年部门预算项目13个，部门预算公开绩效目标的预算项目9个，占本部门全部预算项目的69.2%。</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w:t>
      </w:r>
      <w:r>
        <w:rPr>
          <w:rFonts w:hint="eastAsia" w:ascii="仿宋_GB2312" w:eastAsia="仿宋_GB2312" w:cs="Times New Roman"/>
          <w:sz w:val="28"/>
          <w:szCs w:val="28"/>
          <w:highlight w:val="none"/>
          <w:lang w:val="en-US" w:eastAsia="zh-CN"/>
        </w:rPr>
        <w:t>3</w:t>
      </w:r>
      <w:r>
        <w:rPr>
          <w:rFonts w:hint="eastAsia" w:ascii="仿宋_GB2312" w:hAnsi="Times New Roman" w:eastAsia="仿宋_GB2312" w:cs="Times New Roman"/>
          <w:sz w:val="28"/>
          <w:szCs w:val="28"/>
          <w:highlight w:val="none"/>
        </w:rPr>
        <w:t>）绩效自评情况</w:t>
      </w:r>
    </w:p>
    <w:p>
      <w:pPr>
        <w:spacing w:line="580" w:lineRule="exact"/>
        <w:ind w:firstLine="641"/>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2025年对本部门及所属单位2024年项目支出实施了绩效自评，评价项目</w:t>
      </w:r>
      <w:r>
        <w:rPr>
          <w:rFonts w:hint="eastAsia" w:ascii="仿宋_GB2312" w:hAnsi="Times New Roman" w:eastAsia="仿宋_GB2312" w:cs="Times New Roman"/>
          <w:sz w:val="28"/>
          <w:szCs w:val="28"/>
          <w:highlight w:val="none"/>
          <w:lang w:val="en-US" w:eastAsia="zh-CN"/>
        </w:rPr>
        <w:t>9</w:t>
      </w:r>
      <w:r>
        <w:rPr>
          <w:rFonts w:hint="eastAsia" w:ascii="仿宋_GB2312" w:hAnsi="Times New Roman" w:eastAsia="仿宋_GB2312" w:cs="Times New Roman"/>
          <w:sz w:val="28"/>
          <w:szCs w:val="28"/>
          <w:highlight w:val="none"/>
        </w:rPr>
        <w:t>个，涉及金额</w:t>
      </w:r>
      <w:r>
        <w:rPr>
          <w:rFonts w:hint="eastAsia" w:ascii="仿宋_GB2312" w:hAnsi="Times New Roman" w:eastAsia="仿宋_GB2312" w:cs="Times New Roman"/>
          <w:sz w:val="28"/>
          <w:szCs w:val="28"/>
          <w:highlight w:val="none"/>
          <w:lang w:val="en-US" w:eastAsia="zh-CN"/>
        </w:rPr>
        <w:t>169</w:t>
      </w:r>
      <w:r>
        <w:rPr>
          <w:rFonts w:hint="eastAsia" w:ascii="仿宋_GB2312" w:eastAsia="仿宋_GB2312" w:cs="Times New Roman"/>
          <w:sz w:val="28"/>
          <w:szCs w:val="28"/>
          <w:highlight w:val="none"/>
          <w:lang w:val="en-US" w:eastAsia="zh-CN"/>
        </w:rPr>
        <w:t>,</w:t>
      </w:r>
      <w:r>
        <w:rPr>
          <w:rFonts w:hint="eastAsia" w:ascii="仿宋_GB2312" w:hAnsi="Times New Roman" w:eastAsia="仿宋_GB2312" w:cs="Times New Roman"/>
          <w:sz w:val="28"/>
          <w:szCs w:val="28"/>
          <w:highlight w:val="none"/>
          <w:lang w:val="en-US" w:eastAsia="zh-CN"/>
        </w:rPr>
        <w:t>626</w:t>
      </w:r>
      <w:r>
        <w:rPr>
          <w:rFonts w:hint="eastAsia" w:ascii="仿宋_GB2312" w:eastAsia="仿宋_GB2312" w:cs="Times New Roman"/>
          <w:sz w:val="28"/>
          <w:szCs w:val="28"/>
          <w:highlight w:val="none"/>
          <w:lang w:val="en-US" w:eastAsia="zh-CN"/>
        </w:rPr>
        <w:t>,</w:t>
      </w:r>
      <w:r>
        <w:rPr>
          <w:rFonts w:hint="eastAsia" w:ascii="仿宋_GB2312" w:hAnsi="Times New Roman" w:eastAsia="仿宋_GB2312" w:cs="Times New Roman"/>
          <w:sz w:val="28"/>
          <w:szCs w:val="28"/>
          <w:highlight w:val="none"/>
          <w:lang w:val="en-US" w:eastAsia="zh-CN"/>
        </w:rPr>
        <w:t>274.79</w:t>
      </w:r>
      <w:r>
        <w:rPr>
          <w:rFonts w:hint="eastAsia" w:ascii="仿宋_GB2312" w:hAnsi="Times New Roman" w:eastAsia="仿宋_GB2312" w:cs="Times New Roman"/>
          <w:sz w:val="28"/>
          <w:szCs w:val="28"/>
          <w:highlight w:val="none"/>
        </w:rPr>
        <w:t>元。</w:t>
      </w:r>
    </w:p>
    <w:p>
      <w:pPr>
        <w:spacing w:line="520" w:lineRule="exact"/>
        <w:ind w:firstLine="640"/>
        <w:rPr>
          <w:rFonts w:ascii="楷体_GB2312" w:eastAsia="楷体_GB2312"/>
          <w:b/>
          <w:sz w:val="28"/>
          <w:szCs w:val="28"/>
          <w:highlight w:val="none"/>
        </w:rPr>
      </w:pPr>
      <w:r>
        <w:rPr>
          <w:rFonts w:hint="eastAsia" w:ascii="楷体_GB2312" w:eastAsia="楷体_GB2312"/>
          <w:b/>
          <w:sz w:val="28"/>
          <w:szCs w:val="28"/>
          <w:highlight w:val="none"/>
        </w:rPr>
        <w:t>（五）总体评价结论</w:t>
      </w:r>
    </w:p>
    <w:p>
      <w:pPr>
        <w:spacing w:line="580" w:lineRule="exact"/>
        <w:ind w:firstLine="641"/>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1.评价得分情况</w:t>
      </w:r>
    </w:p>
    <w:p>
      <w:pPr>
        <w:spacing w:line="580" w:lineRule="exact"/>
        <w:ind w:firstLine="641"/>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绩效自评总分：95分</w:t>
      </w:r>
    </w:p>
    <w:p>
      <w:pPr>
        <w:spacing w:line="580" w:lineRule="exact"/>
        <w:ind w:firstLine="641"/>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绩效自评等级：优秀</w:t>
      </w:r>
    </w:p>
    <w:p>
      <w:pPr>
        <w:spacing w:line="580" w:lineRule="exact"/>
        <w:ind w:firstLine="641"/>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2.存在的问题及原因分析</w:t>
      </w:r>
    </w:p>
    <w:p>
      <w:pPr>
        <w:spacing w:line="580" w:lineRule="exact"/>
        <w:ind w:firstLine="641"/>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严格按照直达资金相关要求，继续加快提高直达资金项目支出进度。</w:t>
      </w:r>
    </w:p>
    <w:p>
      <w:pPr>
        <w:spacing w:line="580" w:lineRule="exact"/>
        <w:ind w:firstLine="641"/>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3.改进措施</w:t>
      </w:r>
    </w:p>
    <w:p>
      <w:pPr>
        <w:spacing w:line="580" w:lineRule="exact"/>
        <w:ind w:firstLine="641"/>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下一步将严格按照市区相关部门通知要求，严格执行市区两级绩效工作重点内容，继续强化预算刚性约束，做细做实年初预算，坚持厉行勤俭节约，努力降低行政运行成本，提高预算日常支出进度，完整反映绩效目标的执行情况及成果，进一步提高财政资金的使用效率。</w:t>
      </w:r>
    </w:p>
    <w:p>
      <w:pPr>
        <w:spacing w:line="580" w:lineRule="exact"/>
        <w:ind w:firstLine="560" w:firstLineChars="200"/>
        <w:rPr>
          <w:rFonts w:hint="eastAsia" w:ascii="黑体" w:hAnsi="Times New Roman" w:eastAsia="黑体" w:cs="Times New Roman"/>
          <w:b/>
          <w:bCs/>
          <w:sz w:val="28"/>
          <w:szCs w:val="28"/>
          <w:highlight w:val="none"/>
        </w:rPr>
      </w:pPr>
      <w:r>
        <w:rPr>
          <w:rFonts w:hint="eastAsia" w:ascii="黑体" w:hAnsi="Times New Roman" w:eastAsia="黑体" w:cs="Times New Roman"/>
          <w:b/>
          <w:bCs/>
          <w:sz w:val="28"/>
          <w:szCs w:val="28"/>
          <w:highlight w:val="none"/>
        </w:rPr>
        <w:t>二、项目支出绩效自评情况</w:t>
      </w:r>
    </w:p>
    <w:p>
      <w:pPr>
        <w:spacing w:line="580" w:lineRule="exact"/>
        <w:ind w:firstLine="708" w:firstLineChars="253"/>
        <w:rPr>
          <w:rFonts w:hint="eastAsia" w:ascii="楷体_GB2312" w:hAnsi="仿宋" w:eastAsia="楷体_GB2312"/>
          <w:b/>
          <w:sz w:val="28"/>
          <w:szCs w:val="28"/>
          <w:highlight w:val="none"/>
        </w:rPr>
      </w:pPr>
      <w:r>
        <w:rPr>
          <w:rFonts w:hint="eastAsia" w:ascii="楷体_GB2312" w:hAnsi="仿宋" w:eastAsia="楷体_GB2312"/>
          <w:b/>
          <w:sz w:val="28"/>
          <w:szCs w:val="28"/>
          <w:highlight w:val="none"/>
        </w:rPr>
        <w:t>（一）绩效自评开展总体情况</w:t>
      </w:r>
    </w:p>
    <w:p>
      <w:pPr>
        <w:spacing w:line="580" w:lineRule="exact"/>
        <w:ind w:firstLine="641"/>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北京市门头沟区医疗保障局2025年度区财政批复项目支出预算项目13个，涉及金额</w:t>
      </w:r>
      <w:r>
        <w:rPr>
          <w:rFonts w:hint="eastAsia" w:ascii="仿宋_GB2312" w:hAnsi="Times New Roman" w:eastAsia="仿宋_GB2312" w:cs="Times New Roman"/>
          <w:sz w:val="28"/>
          <w:szCs w:val="28"/>
          <w:highlight w:val="none"/>
          <w:lang w:val="en-US" w:eastAsia="zh-CN"/>
        </w:rPr>
        <w:t>172</w:t>
      </w:r>
      <w:r>
        <w:rPr>
          <w:rFonts w:hint="eastAsia" w:ascii="仿宋_GB2312" w:eastAsia="仿宋_GB2312" w:cs="Times New Roman"/>
          <w:sz w:val="28"/>
          <w:szCs w:val="28"/>
          <w:highlight w:val="none"/>
          <w:lang w:val="en-US" w:eastAsia="zh-CN"/>
        </w:rPr>
        <w:t>,</w:t>
      </w:r>
      <w:r>
        <w:rPr>
          <w:rFonts w:hint="eastAsia" w:ascii="仿宋_GB2312" w:hAnsi="Times New Roman" w:eastAsia="仿宋_GB2312" w:cs="Times New Roman"/>
          <w:sz w:val="28"/>
          <w:szCs w:val="28"/>
          <w:highlight w:val="none"/>
          <w:lang w:val="en-US" w:eastAsia="zh-CN"/>
        </w:rPr>
        <w:t>043</w:t>
      </w:r>
      <w:r>
        <w:rPr>
          <w:rFonts w:hint="eastAsia" w:ascii="仿宋_GB2312" w:eastAsia="仿宋_GB2312" w:cs="Times New Roman"/>
          <w:sz w:val="28"/>
          <w:szCs w:val="28"/>
          <w:highlight w:val="none"/>
          <w:lang w:val="en-US" w:eastAsia="zh-CN"/>
        </w:rPr>
        <w:t>,</w:t>
      </w:r>
      <w:r>
        <w:rPr>
          <w:rFonts w:hint="eastAsia" w:ascii="仿宋_GB2312" w:hAnsi="Times New Roman" w:eastAsia="仿宋_GB2312" w:cs="Times New Roman"/>
          <w:sz w:val="28"/>
          <w:szCs w:val="28"/>
          <w:highlight w:val="none"/>
          <w:lang w:val="en-US" w:eastAsia="zh-CN"/>
        </w:rPr>
        <w:t>951.32元</w:t>
      </w:r>
      <w:r>
        <w:rPr>
          <w:rFonts w:hint="eastAsia" w:ascii="仿宋_GB2312" w:hAnsi="Times New Roman" w:eastAsia="仿宋_GB2312" w:cs="Times New Roman"/>
          <w:sz w:val="28"/>
          <w:szCs w:val="28"/>
          <w:highlight w:val="none"/>
          <w:lang w:val="en-US" w:eastAsia="zh-CN"/>
        </w:rPr>
        <w:t>。本次实施绩效自评项目13个，涉及金额</w:t>
      </w:r>
      <w:r>
        <w:rPr>
          <w:rFonts w:hint="eastAsia" w:ascii="仿宋_GB2312" w:hAnsi="Times New Roman" w:eastAsia="仿宋_GB2312" w:cs="Times New Roman"/>
          <w:sz w:val="28"/>
          <w:szCs w:val="28"/>
          <w:highlight w:val="none"/>
          <w:lang w:val="en-US" w:eastAsia="zh-CN"/>
        </w:rPr>
        <w:t>172</w:t>
      </w:r>
      <w:r>
        <w:rPr>
          <w:rFonts w:hint="eastAsia" w:ascii="仿宋_GB2312" w:eastAsia="仿宋_GB2312" w:cs="Times New Roman"/>
          <w:sz w:val="28"/>
          <w:szCs w:val="28"/>
          <w:highlight w:val="none"/>
          <w:lang w:val="en-US" w:eastAsia="zh-CN"/>
        </w:rPr>
        <w:t>,</w:t>
      </w:r>
      <w:r>
        <w:rPr>
          <w:rFonts w:hint="eastAsia" w:ascii="仿宋_GB2312" w:hAnsi="Times New Roman" w:eastAsia="仿宋_GB2312" w:cs="Times New Roman"/>
          <w:sz w:val="28"/>
          <w:szCs w:val="28"/>
          <w:highlight w:val="none"/>
          <w:lang w:val="en-US" w:eastAsia="zh-CN"/>
        </w:rPr>
        <w:t>043</w:t>
      </w:r>
      <w:r>
        <w:rPr>
          <w:rFonts w:hint="eastAsia" w:ascii="仿宋_GB2312" w:eastAsia="仿宋_GB2312" w:cs="Times New Roman"/>
          <w:sz w:val="28"/>
          <w:szCs w:val="28"/>
          <w:highlight w:val="none"/>
          <w:lang w:val="en-US" w:eastAsia="zh-CN"/>
        </w:rPr>
        <w:t>,</w:t>
      </w:r>
      <w:r>
        <w:rPr>
          <w:rFonts w:hint="eastAsia" w:ascii="仿宋_GB2312" w:hAnsi="Times New Roman" w:eastAsia="仿宋_GB2312" w:cs="Times New Roman"/>
          <w:sz w:val="28"/>
          <w:szCs w:val="28"/>
          <w:highlight w:val="none"/>
          <w:lang w:val="en-US" w:eastAsia="zh-CN"/>
        </w:rPr>
        <w:t>951.32元</w:t>
      </w:r>
      <w:r>
        <w:rPr>
          <w:rFonts w:hint="eastAsia" w:ascii="仿宋_GB2312" w:hAnsi="Times New Roman" w:eastAsia="仿宋_GB2312" w:cs="Times New Roman"/>
          <w:sz w:val="28"/>
          <w:szCs w:val="28"/>
          <w:highlight w:val="none"/>
          <w:lang w:val="en-US" w:eastAsia="zh-CN"/>
        </w:rPr>
        <w:t>。</w:t>
      </w:r>
    </w:p>
    <w:p>
      <w:pPr>
        <w:spacing w:line="580" w:lineRule="exact"/>
        <w:ind w:firstLine="641"/>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评价得分在90分（含90分）以上的13个，评价得分在80-90分（含80分）的0个，评价得分在60-80分（含60分）的0个，评价得分在60分以下的0个。</w:t>
      </w:r>
    </w:p>
    <w:p>
      <w:pPr>
        <w:spacing w:line="580" w:lineRule="exact"/>
        <w:ind w:firstLine="708" w:firstLineChars="253"/>
        <w:rPr>
          <w:rFonts w:hint="eastAsia" w:ascii="楷体_GB2312" w:hAnsi="仿宋" w:eastAsia="楷体_GB2312"/>
          <w:b/>
          <w:sz w:val="28"/>
          <w:szCs w:val="28"/>
          <w:highlight w:val="none"/>
        </w:rPr>
      </w:pPr>
      <w:r>
        <w:rPr>
          <w:rFonts w:hint="eastAsia" w:ascii="楷体_GB2312" w:hAnsi="仿宋" w:eastAsia="楷体_GB2312"/>
          <w:b/>
          <w:sz w:val="28"/>
          <w:szCs w:val="28"/>
          <w:highlight w:val="none"/>
        </w:rPr>
        <w:t>（二）重点支出项目绩效自评报告</w:t>
      </w:r>
    </w:p>
    <w:p>
      <w:pPr>
        <w:spacing w:line="580" w:lineRule="exact"/>
        <w:ind w:firstLine="641"/>
        <w:rPr>
          <w:rFonts w:hint="default"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详见附件1。</w:t>
      </w:r>
    </w:p>
    <w:p>
      <w:pPr>
        <w:spacing w:line="580" w:lineRule="exact"/>
        <w:ind w:firstLine="640"/>
        <w:rPr>
          <w:rFonts w:hint="eastAsia" w:ascii="楷体_GB2312" w:hAnsi="仿宋" w:eastAsia="楷体_GB2312"/>
          <w:b/>
          <w:sz w:val="28"/>
          <w:szCs w:val="28"/>
          <w:highlight w:val="none"/>
        </w:rPr>
      </w:pPr>
      <w:r>
        <w:rPr>
          <w:rFonts w:hint="eastAsia" w:ascii="楷体_GB2312" w:hAnsi="仿宋" w:eastAsia="楷体_GB2312"/>
          <w:b/>
          <w:sz w:val="28"/>
          <w:szCs w:val="28"/>
          <w:highlight w:val="none"/>
        </w:rPr>
        <w:t>（三）项目支出绩效自评表</w:t>
      </w:r>
    </w:p>
    <w:p>
      <w:pPr>
        <w:spacing w:line="580" w:lineRule="exact"/>
        <w:ind w:firstLine="641"/>
        <w:rPr>
          <w:rFonts w:hint="eastAsia" w:ascii="仿宋_GB2312" w:hAnsi="Times New Roman" w:eastAsia="仿宋_GB2312" w:cs="Times New Roman"/>
          <w:sz w:val="28"/>
          <w:szCs w:val="28"/>
          <w:highlight w:val="none"/>
          <w:lang w:val="en-US" w:eastAsia="zh-CN"/>
        </w:rPr>
      </w:pPr>
      <w:r>
        <w:rPr>
          <w:rFonts w:hint="eastAsia" w:ascii="仿宋_GB2312" w:hAnsi="Times New Roman" w:eastAsia="仿宋_GB2312" w:cs="Times New Roman"/>
          <w:sz w:val="28"/>
          <w:szCs w:val="28"/>
          <w:highlight w:val="none"/>
          <w:lang w:val="en-US" w:eastAsia="zh-CN"/>
        </w:rPr>
        <w:t>详见附件2。</w:t>
      </w:r>
    </w:p>
    <w:p>
      <w:pPr>
        <w:pStyle w:val="2"/>
        <w:rPr>
          <w:rFonts w:hint="default"/>
          <w:sz w:val="28"/>
          <w:szCs w:val="28"/>
          <w:highlight w:val="none"/>
          <w:lang w:val="en-US" w:eastAsia="zh-CN"/>
        </w:rPr>
      </w:pPr>
    </w:p>
    <w:p>
      <w:pPr>
        <w:spacing w:line="580" w:lineRule="exact"/>
        <w:ind w:firstLine="700" w:firstLineChars="250"/>
        <w:rPr>
          <w:rFonts w:hint="eastAsia" w:ascii="仿宋_GB2312" w:eastAsia="仿宋_GB2312"/>
          <w:sz w:val="28"/>
          <w:szCs w:val="28"/>
          <w:highlight w:val="none"/>
        </w:rPr>
      </w:pPr>
      <w:r>
        <w:rPr>
          <w:rFonts w:hint="eastAsia" w:ascii="仿宋_GB2312" w:eastAsia="仿宋_GB2312"/>
          <w:sz w:val="28"/>
          <w:szCs w:val="28"/>
          <w:highlight w:val="none"/>
        </w:rPr>
        <w:t>附件：1.重点支出项目绩效自评报告</w:t>
      </w:r>
    </w:p>
    <w:p>
      <w:pPr>
        <w:spacing w:line="580" w:lineRule="exact"/>
        <w:ind w:firstLine="1540" w:firstLineChars="550"/>
        <w:rPr>
          <w:rFonts w:hint="eastAsia" w:ascii="仿宋_GB2312" w:eastAsia="仿宋_GB2312"/>
          <w:sz w:val="28"/>
          <w:szCs w:val="28"/>
          <w:highlight w:val="none"/>
        </w:rPr>
      </w:pPr>
      <w:r>
        <w:rPr>
          <w:rFonts w:hint="eastAsia" w:ascii="仿宋_GB2312" w:eastAsia="仿宋_GB2312"/>
          <w:sz w:val="28"/>
          <w:szCs w:val="28"/>
          <w:highlight w:val="none"/>
        </w:rPr>
        <w:t>2.项目支出绩效自评表</w:t>
      </w:r>
    </w:p>
    <w:p>
      <w:pPr>
        <w:spacing w:line="580" w:lineRule="exact"/>
        <w:ind w:firstLine="1760" w:firstLineChars="550"/>
        <w:rPr>
          <w:rFonts w:hint="eastAsia" w:ascii="仿宋_GB2312" w:eastAsia="仿宋_GB2312"/>
          <w:sz w:val="32"/>
          <w:szCs w:val="32"/>
          <w:highlight w:val="none"/>
        </w:rPr>
      </w:pP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Droid Sans">
    <w:altName w:val="微软雅黑"/>
    <w:panose1 w:val="00000000000000000000"/>
    <w:charset w:val="00"/>
    <w:family w:val="auto"/>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4"/>
      </w:rPr>
    </w:pPr>
    <w:r>
      <w:fldChar w:fldCharType="begin"/>
    </w:r>
    <w:r>
      <w:rPr>
        <w:rStyle w:val="14"/>
      </w:rPr>
      <w:instrText xml:space="preserve">PAGE  </w:instrText>
    </w:r>
    <w:r>
      <w:fldChar w:fldCharType="separate"/>
    </w:r>
    <w:r>
      <w:rPr>
        <w:rStyle w:val="14"/>
      </w:rPr>
      <w:t>3</w:t>
    </w:r>
    <w:r>
      <w:fldChar w:fldCharType="end"/>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4"/>
      </w:rPr>
    </w:pPr>
    <w:r>
      <w:fldChar w:fldCharType="begin"/>
    </w:r>
    <w:r>
      <w:rPr>
        <w:rStyle w:val="14"/>
      </w:rPr>
      <w:instrText xml:space="preserve">PAGE  </w:instrText>
    </w:r>
    <w:r>
      <w:fldChar w:fldCharType="separate"/>
    </w:r>
    <w:r>
      <w:rPr>
        <w:rStyle w:val="14"/>
      </w:rPr>
      <w:t>16</w:t>
    </w:r>
    <w:r>
      <w:fldChar w:fldCharType="end"/>
    </w:r>
  </w:p>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4"/>
      </w:rPr>
    </w:pPr>
    <w:r>
      <w:fldChar w:fldCharType="begin"/>
    </w:r>
    <w:r>
      <w:rPr>
        <w:rStyle w:val="14"/>
      </w:rPr>
      <w:instrText xml:space="preserve">PAGE  </w:instrText>
    </w:r>
    <w:r>
      <w:fldChar w:fldCharType="separate"/>
    </w:r>
    <w:r>
      <w:rPr>
        <w:rStyle w:val="14"/>
      </w:rPr>
      <w:t>15</w:t>
    </w:r>
    <w:r>
      <w:fldChar w:fldCharType="end"/>
    </w:r>
  </w:p>
  <w:p>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547CD9"/>
    <w:multiLevelType w:val="singleLevel"/>
    <w:tmpl w:val="6A547CD9"/>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0D7227"/>
    <w:rsid w:val="04C3537C"/>
    <w:rsid w:val="06522110"/>
    <w:rsid w:val="079004AC"/>
    <w:rsid w:val="08B50385"/>
    <w:rsid w:val="08E5578B"/>
    <w:rsid w:val="0A057F1F"/>
    <w:rsid w:val="0BA148CA"/>
    <w:rsid w:val="0C1165C4"/>
    <w:rsid w:val="0D6D544B"/>
    <w:rsid w:val="0DD136FE"/>
    <w:rsid w:val="0E68567D"/>
    <w:rsid w:val="0EF505E4"/>
    <w:rsid w:val="0F8E2C57"/>
    <w:rsid w:val="1059665E"/>
    <w:rsid w:val="10AC13BA"/>
    <w:rsid w:val="11980797"/>
    <w:rsid w:val="13C35920"/>
    <w:rsid w:val="13E36F2F"/>
    <w:rsid w:val="145A6C1B"/>
    <w:rsid w:val="14B73493"/>
    <w:rsid w:val="157C78B6"/>
    <w:rsid w:val="167A2FF9"/>
    <w:rsid w:val="17E05399"/>
    <w:rsid w:val="18581C69"/>
    <w:rsid w:val="186D28E5"/>
    <w:rsid w:val="1AEC0734"/>
    <w:rsid w:val="1B116455"/>
    <w:rsid w:val="1BCC7D2A"/>
    <w:rsid w:val="1C203C3A"/>
    <w:rsid w:val="1D207356"/>
    <w:rsid w:val="1DEF20B0"/>
    <w:rsid w:val="212F3A96"/>
    <w:rsid w:val="214243FA"/>
    <w:rsid w:val="216328E4"/>
    <w:rsid w:val="21AD613C"/>
    <w:rsid w:val="21F50B43"/>
    <w:rsid w:val="22467189"/>
    <w:rsid w:val="24D835F7"/>
    <w:rsid w:val="257A14F5"/>
    <w:rsid w:val="27196C26"/>
    <w:rsid w:val="291F0D9B"/>
    <w:rsid w:val="29EF086F"/>
    <w:rsid w:val="2A014A0F"/>
    <w:rsid w:val="2B6915D3"/>
    <w:rsid w:val="2EFFE297"/>
    <w:rsid w:val="2FB3602C"/>
    <w:rsid w:val="301437CA"/>
    <w:rsid w:val="31207BA9"/>
    <w:rsid w:val="315A1C84"/>
    <w:rsid w:val="31CF55C7"/>
    <w:rsid w:val="32791381"/>
    <w:rsid w:val="34474DD2"/>
    <w:rsid w:val="349D1F0A"/>
    <w:rsid w:val="34B06E37"/>
    <w:rsid w:val="34DD0473"/>
    <w:rsid w:val="353002FB"/>
    <w:rsid w:val="38C461E9"/>
    <w:rsid w:val="3C181CA7"/>
    <w:rsid w:val="3C684897"/>
    <w:rsid w:val="3D336108"/>
    <w:rsid w:val="3DAC503D"/>
    <w:rsid w:val="3EE5603F"/>
    <w:rsid w:val="40A67458"/>
    <w:rsid w:val="41063D1E"/>
    <w:rsid w:val="41C6204F"/>
    <w:rsid w:val="433E495C"/>
    <w:rsid w:val="434D13F6"/>
    <w:rsid w:val="442570BA"/>
    <w:rsid w:val="455240CA"/>
    <w:rsid w:val="46267925"/>
    <w:rsid w:val="464205C5"/>
    <w:rsid w:val="46B15E9E"/>
    <w:rsid w:val="489F2FD7"/>
    <w:rsid w:val="4AC27CB3"/>
    <w:rsid w:val="4BF72BEF"/>
    <w:rsid w:val="4DC37769"/>
    <w:rsid w:val="4EEA0927"/>
    <w:rsid w:val="4FA90297"/>
    <w:rsid w:val="4FC41A43"/>
    <w:rsid w:val="51DB3C59"/>
    <w:rsid w:val="542220BD"/>
    <w:rsid w:val="550C0952"/>
    <w:rsid w:val="55762E42"/>
    <w:rsid w:val="55FA3AEF"/>
    <w:rsid w:val="57A7B272"/>
    <w:rsid w:val="58470068"/>
    <w:rsid w:val="58747CAC"/>
    <w:rsid w:val="59450C4A"/>
    <w:rsid w:val="59AC691C"/>
    <w:rsid w:val="5A1720F9"/>
    <w:rsid w:val="5B9C37C2"/>
    <w:rsid w:val="5BA7C654"/>
    <w:rsid w:val="5C7305C6"/>
    <w:rsid w:val="60A54109"/>
    <w:rsid w:val="60CB23E7"/>
    <w:rsid w:val="61D01CDF"/>
    <w:rsid w:val="633C62FB"/>
    <w:rsid w:val="64C0607C"/>
    <w:rsid w:val="64C14E5C"/>
    <w:rsid w:val="65756C86"/>
    <w:rsid w:val="674D385B"/>
    <w:rsid w:val="674E0724"/>
    <w:rsid w:val="676F09E1"/>
    <w:rsid w:val="67952C11"/>
    <w:rsid w:val="6ABA1E7C"/>
    <w:rsid w:val="71793A80"/>
    <w:rsid w:val="7357290B"/>
    <w:rsid w:val="798524E4"/>
    <w:rsid w:val="7A7F1C49"/>
    <w:rsid w:val="7B5B7AE6"/>
    <w:rsid w:val="7B7B6628"/>
    <w:rsid w:val="7BA7071E"/>
    <w:rsid w:val="7BDF6DA8"/>
    <w:rsid w:val="7BDF7589"/>
    <w:rsid w:val="7C7EDC1A"/>
    <w:rsid w:val="7CCED98D"/>
    <w:rsid w:val="7D08410F"/>
    <w:rsid w:val="7D2759BE"/>
    <w:rsid w:val="7D9F421C"/>
    <w:rsid w:val="7DB96DED"/>
    <w:rsid w:val="7DD3AD81"/>
    <w:rsid w:val="7F7FE70F"/>
    <w:rsid w:val="7FE81D8B"/>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iPriority="99"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2">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2">
    <w:name w:val="index 9"/>
    <w:basedOn w:val="1"/>
    <w:next w:val="1"/>
    <w:unhideWhenUsed/>
    <w:qFormat/>
    <w:uiPriority w:val="99"/>
    <w:pPr>
      <w:ind w:left="1600" w:leftChars="1600"/>
    </w:pPr>
    <w:rPr>
      <w:rFonts w:hint="eastAsia"/>
      <w:sz w:val="28"/>
      <w:szCs w:val="24"/>
    </w:rPr>
  </w:style>
  <w:style w:type="paragraph" w:styleId="4">
    <w:name w:val="Normal Indent"/>
    <w:basedOn w:val="1"/>
    <w:qFormat/>
    <w:uiPriority w:val="0"/>
    <w:pPr>
      <w:ind w:firstLine="200" w:firstLineChars="200"/>
    </w:pPr>
  </w:style>
  <w:style w:type="paragraph" w:styleId="5">
    <w:name w:val="Body Text Indent"/>
    <w:basedOn w:val="1"/>
    <w:qFormat/>
    <w:uiPriority w:val="0"/>
    <w:pPr>
      <w:ind w:firstLine="645"/>
    </w:pPr>
    <w:rPr>
      <w:rFonts w:ascii="仿宋_GB2312" w:hAnsi="Calibri" w:eastAsia="仿宋_GB2312"/>
      <w:sz w:val="32"/>
      <w:szCs w:val="32"/>
    </w:rPr>
  </w:style>
  <w:style w:type="paragraph" w:styleId="6">
    <w:name w:val="Date"/>
    <w:basedOn w:val="1"/>
    <w:next w:val="1"/>
    <w:qFormat/>
    <w:uiPriority w:val="0"/>
    <w:pPr>
      <w:ind w:left="100" w:leftChars="2500"/>
    </w:pPr>
  </w:style>
  <w:style w:type="paragraph" w:styleId="7">
    <w:name w:val="Balloon Text"/>
    <w:basedOn w:val="1"/>
    <w:semiHidden/>
    <w:qFormat/>
    <w:uiPriority w:val="0"/>
    <w:rPr>
      <w:sz w:val="18"/>
      <w:szCs w:val="18"/>
    </w:rPr>
  </w:style>
  <w:style w:type="paragraph" w:styleId="8">
    <w:name w:val="footer"/>
    <w:basedOn w:val="1"/>
    <w:link w:val="15"/>
    <w:qFormat/>
    <w:uiPriority w:val="0"/>
    <w:pPr>
      <w:tabs>
        <w:tab w:val="center" w:pos="4153"/>
        <w:tab w:val="right" w:pos="8306"/>
      </w:tabs>
      <w:snapToGrid w:val="0"/>
      <w:jc w:val="left"/>
    </w:pPr>
    <w:rPr>
      <w:sz w:val="18"/>
      <w:szCs w:val="18"/>
    </w:rPr>
  </w:style>
  <w:style w:type="paragraph" w:styleId="9">
    <w:name w:val="header"/>
    <w:basedOn w:val="1"/>
    <w:link w:val="16"/>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10">
    <w:name w:val="Normal (Web)"/>
    <w:basedOn w:val="1"/>
    <w:unhideWhenUsed/>
    <w:qFormat/>
    <w:uiPriority w:val="0"/>
    <w:pPr>
      <w:spacing w:before="100" w:beforeAutospacing="1" w:after="100" w:afterAutospacing="1"/>
      <w:ind w:right="238"/>
      <w:jc w:val="left"/>
    </w:pPr>
    <w:rPr>
      <w:b/>
      <w:kern w:val="0"/>
      <w:sz w:val="24"/>
      <w:szCs w:val="20"/>
    </w:rPr>
  </w:style>
  <w:style w:type="character" w:styleId="13">
    <w:name w:val="Strong"/>
    <w:qFormat/>
    <w:uiPriority w:val="0"/>
    <w:rPr>
      <w:b/>
    </w:rPr>
  </w:style>
  <w:style w:type="character" w:styleId="14">
    <w:name w:val="page number"/>
    <w:qFormat/>
    <w:uiPriority w:val="0"/>
  </w:style>
  <w:style w:type="character" w:customStyle="1" w:styleId="15">
    <w:name w:val="页脚 Char"/>
    <w:link w:val="8"/>
    <w:qFormat/>
    <w:uiPriority w:val="0"/>
    <w:rPr>
      <w:rFonts w:eastAsia="宋体"/>
      <w:kern w:val="2"/>
      <w:sz w:val="18"/>
      <w:szCs w:val="18"/>
      <w:lang w:val="en-US" w:eastAsia="zh-CN" w:bidi="ar-SA"/>
    </w:rPr>
  </w:style>
  <w:style w:type="character" w:customStyle="1" w:styleId="16">
    <w:name w:val="页眉 Char"/>
    <w:link w:val="9"/>
    <w:qFormat/>
    <w:uiPriority w:val="0"/>
    <w:rPr>
      <w:rFonts w:ascii="Calibri" w:hAnsi="Calibri" w:eastAsia="宋体"/>
      <w:kern w:val="2"/>
      <w:sz w:val="18"/>
      <w:szCs w:val="18"/>
      <w:lang w:val="en-US" w:eastAsia="zh-CN" w:bidi="ar-SA"/>
    </w:rPr>
  </w:style>
  <w:style w:type="paragraph" w:customStyle="1" w:styleId="17">
    <w:name w:val="Char Char Char Char Char Char Char"/>
    <w:basedOn w:val="1"/>
    <w:qFormat/>
    <w:uiPriority w:val="0"/>
    <w:rPr>
      <w:rFonts w:ascii="Tahoma" w:hAnsi="Tahoma"/>
      <w:sz w:val="24"/>
      <w:szCs w:val="20"/>
    </w:rPr>
  </w:style>
  <w:style w:type="paragraph" w:customStyle="1" w:styleId="18">
    <w:name w:val="Char1 Char Char Char"/>
    <w:basedOn w:val="1"/>
    <w:qFormat/>
    <w:uiPriority w:val="0"/>
    <w:pPr>
      <w:widowControl/>
      <w:spacing w:after="160" w:line="240" w:lineRule="exact"/>
      <w:jc w:val="left"/>
    </w:pPr>
    <w:rPr>
      <w:szCs w:val="20"/>
    </w:rPr>
  </w:style>
  <w:style w:type="paragraph" w:customStyle="1" w:styleId="19">
    <w:name w:val="Char"/>
    <w:basedOn w:val="1"/>
    <w:qFormat/>
    <w:uiPriority w:val="0"/>
    <w:rPr>
      <w:rFonts w:ascii="Tahoma" w:hAnsi="Tahoma"/>
      <w:sz w:val="24"/>
      <w:szCs w:val="20"/>
    </w:rPr>
  </w:style>
  <w:style w:type="paragraph" w:customStyle="1" w:styleId="20">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18769.95</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layout>
                <c:manualLayout>
                  <c:x val="-0.03900372940115"/>
                  <c:y val="0.032827143610787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389887693586102"/>
                  <c:y val="0.010511229510062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1565.55</c:v>
                </c:pt>
                <c:pt idx="1">
                  <c:v>17204.4</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21</Pages>
  <Words>7733</Words>
  <Characters>8859</Characters>
  <Lines>47</Lines>
  <Paragraphs>13</Paragraphs>
  <TotalTime>3</TotalTime>
  <ScaleCrop>false</ScaleCrop>
  <LinksUpToDate>false</LinksUpToDate>
  <CharactersWithSpaces>8881</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mtg</cp:lastModifiedBy>
  <cp:lastPrinted>2020-08-07T11:39:00Z</cp:lastPrinted>
  <dcterms:modified xsi:type="dcterms:W3CDTF">2026-08-20T01:21:46Z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435078ACFECC4A5A8A519EF4C3681114_13</vt:lpwstr>
  </property>
  <property fmtid="{D5CDD505-2E9C-101B-9397-08002B2CF9AE}" pid="4" name="KSOTemplateDocerSaveRecord">
    <vt:lpwstr>eyJoZGlkIjoiYjNlN2I2OGQxOGI1NmIxMWI3ZTg2MzgyOGIwNzE1YjAiLCJ1c2VySWQiOiI2NzgwOTI3MjgifQ==</vt:lpwstr>
  </property>
</Properties>
</file>