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ESI黑体-GB2312" w:hAnsi="CESI黑体-GB2312" w:eastAsia="CESI黑体-GB2312" w:cs="CESI黑体-GB2312"/>
          <w:sz w:val="32"/>
          <w:szCs w:val="24"/>
        </w:rPr>
      </w:pPr>
      <w:r>
        <w:rPr>
          <w:rFonts w:hint="eastAsia" w:ascii="CESI黑体-GB2312" w:hAnsi="CESI黑体-GB2312" w:eastAsia="CESI黑体-GB2312" w:cs="CESI黑体-GB2312"/>
          <w:sz w:val="32"/>
          <w:szCs w:val="24"/>
        </w:rPr>
        <w:t>附件</w:t>
      </w:r>
      <w:r>
        <w:rPr>
          <w:rFonts w:ascii="CESI黑体-GB2312" w:hAnsi="CESI黑体-GB2312" w:eastAsia="CESI黑体-GB2312" w:cs="CESI黑体-GB2312"/>
          <w:sz w:val="32"/>
          <w:szCs w:val="24"/>
        </w:rPr>
        <w:t>2</w:t>
      </w:r>
      <w:r>
        <w:rPr>
          <w:rFonts w:hint="eastAsia" w:ascii="CESI黑体-GB2312" w:hAnsi="CESI黑体-GB2312" w:eastAsia="CESI黑体-GB2312" w:cs="CESI黑体-GB2312"/>
          <w:sz w:val="32"/>
          <w:szCs w:val="24"/>
        </w:rPr>
        <w:t>：</w:t>
      </w:r>
    </w:p>
    <w:p>
      <w:pPr>
        <w:jc w:val="center"/>
        <w:rPr>
          <w:rFonts w:asciiTheme="minorEastAsia" w:hAnsiTheme="minorEastAsia"/>
          <w:b/>
          <w:sz w:val="36"/>
          <w:szCs w:val="36"/>
        </w:rPr>
      </w:pPr>
      <w:r>
        <w:rPr>
          <w:rFonts w:hint="eastAsia" w:asciiTheme="minorEastAsia" w:hAnsiTheme="minorEastAsia"/>
          <w:b/>
          <w:bCs w:val="0"/>
          <w:sz w:val="36"/>
          <w:szCs w:val="36"/>
          <w:u w:val="none"/>
          <w:lang w:val="en-US" w:eastAsia="zh-CN"/>
        </w:rPr>
        <w:t>北京市门头沟区医疗保障局</w:t>
      </w:r>
      <w:r>
        <w:rPr>
          <w:rFonts w:hint="eastAsia" w:asciiTheme="minorEastAsia" w:hAnsiTheme="minorEastAsia"/>
          <w:b/>
          <w:bCs w:val="0"/>
          <w:sz w:val="36"/>
          <w:szCs w:val="36"/>
          <w:u w:val="none"/>
        </w:rPr>
        <w:t>202</w:t>
      </w:r>
      <w:r>
        <w:rPr>
          <w:rFonts w:hint="eastAsia" w:asciiTheme="minorEastAsia" w:hAnsiTheme="minorEastAsia"/>
          <w:b/>
          <w:bCs w:val="0"/>
          <w:sz w:val="36"/>
          <w:szCs w:val="36"/>
          <w:u w:val="none"/>
          <w:lang w:val="en-US" w:eastAsia="zh-CN"/>
        </w:rPr>
        <w:t>5</w:t>
      </w:r>
      <w:r>
        <w:rPr>
          <w:rFonts w:hint="eastAsia" w:asciiTheme="minorEastAsia" w:hAnsiTheme="minorEastAsia"/>
          <w:b/>
          <w:bCs w:val="0"/>
          <w:sz w:val="36"/>
          <w:szCs w:val="36"/>
          <w:u w:val="none"/>
        </w:rPr>
        <w:t>年度城乡社会救助</w:t>
      </w:r>
      <w:r>
        <w:rPr>
          <w:rFonts w:hint="eastAsia" w:asciiTheme="minorEastAsia" w:hAnsiTheme="minorEastAsia"/>
          <w:b/>
          <w:sz w:val="36"/>
          <w:szCs w:val="36"/>
        </w:rPr>
        <w:t>对象医疗救助</w:t>
      </w:r>
      <w:r>
        <w:rPr>
          <w:rFonts w:hint="eastAsia" w:asciiTheme="minorEastAsia" w:hAnsiTheme="minorEastAsia"/>
          <w:b/>
          <w:sz w:val="36"/>
          <w:szCs w:val="36"/>
          <w:lang w:val="en-US" w:eastAsia="zh-CN"/>
        </w:rPr>
        <w:t>项目</w:t>
      </w:r>
      <w:r>
        <w:rPr>
          <w:rFonts w:hint="eastAsia" w:asciiTheme="minorEastAsia" w:hAnsiTheme="minorEastAsia"/>
          <w:b/>
          <w:sz w:val="36"/>
          <w:szCs w:val="36"/>
        </w:rPr>
        <w:t>绩效</w:t>
      </w:r>
      <w:r>
        <w:rPr>
          <w:rFonts w:asciiTheme="minorEastAsia" w:hAnsiTheme="minorEastAsia"/>
          <w:b/>
          <w:sz w:val="36"/>
          <w:szCs w:val="36"/>
        </w:rPr>
        <w:t>自评报告</w:t>
      </w:r>
    </w:p>
    <w:p>
      <w:pPr>
        <w:widowControl/>
        <w:spacing w:line="560" w:lineRule="exact"/>
        <w:jc w:val="center"/>
        <w:textAlignment w:val="center"/>
        <w:rPr>
          <w:rFonts w:ascii="楷体_GB2312" w:eastAsia="楷体_GB2312" w:cs="Times New Roman"/>
          <w:sz w:val="32"/>
          <w:szCs w:val="32"/>
        </w:rPr>
      </w:pPr>
      <w:r>
        <w:rPr>
          <w:rFonts w:hint="eastAsia" w:ascii="楷体_GB2312" w:eastAsia="楷体_GB2312" w:cs="Times New Roman"/>
          <w:sz w:val="32"/>
          <w:szCs w:val="32"/>
        </w:rPr>
        <w:t>（</w:t>
      </w:r>
      <w:r>
        <w:rPr>
          <w:rFonts w:hint="eastAsia" w:ascii="楷体_GB2312" w:eastAsia="楷体_GB2312" w:cs="Times New Roman"/>
          <w:sz w:val="32"/>
          <w:szCs w:val="32"/>
          <w:lang w:val="en-US" w:eastAsia="zh-CN"/>
        </w:rPr>
        <w:t>2025年度</w:t>
      </w:r>
      <w:r>
        <w:rPr>
          <w:rFonts w:hint="eastAsia" w:ascii="楷体_GB2312" w:eastAsia="楷体_GB2312" w:cs="Times New Roman"/>
          <w:sz w:val="32"/>
          <w:szCs w:val="32"/>
        </w:rPr>
        <w:t>）</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一、基本情况</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（一）项目概况</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医疗救助工作分为社会救助对象医疗救助和因病致贫家庭医疗救助两部分。社会救助对象是指由民政局审批，持有相应救助证件的特困供养人员、享受城乡居民最低生活保障和生活困难补助人员、享受城乡低收入救助人员。因病致贫家庭是指：家庭收入高于社会救助标准，因家庭成员中重特大疾病患者发生高额医疗费用、超过家庭承受能力、基本生活出现严重困难的家庭。</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医疗救助资金用于对社会救助对象和因病致贫家庭成员在医疗保险定点机构发生的基本医疗保险范围内个人负担部分（包括自付一和自付二），按照救助标准进行医疗救助。</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color w:val="auto"/>
          <w:kern w:val="2"/>
          <w:sz w:val="32"/>
          <w:szCs w:val="32"/>
          <w:lang w:val="en-US" w:eastAsia="zh-CN" w:bidi="ar-SA"/>
        </w:rPr>
        <w:t>2025年医疗救助服务对象覆盖范围稳步拓展，群众看病就医方便程度明显提高，困难群众医疗费用负担减轻程度有所缓解。</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（二）项目资金投入及使用情况</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仿宋_GB2312" w:eastAsia="仿宋_GB2312"/>
          <w:color w:val="000000"/>
          <w:sz w:val="32"/>
          <w:szCs w:val="32"/>
        </w:rPr>
      </w:pPr>
      <w:r>
        <w:rPr>
          <w:rFonts w:hint="eastAsia" w:ascii="仿宋_GB2312" w:eastAsia="仿宋_GB2312"/>
          <w:color w:val="000000"/>
          <w:sz w:val="32"/>
          <w:szCs w:val="32"/>
        </w:rPr>
        <w:t>本项目预算总额</w:t>
      </w:r>
      <w:r>
        <w:rPr>
          <w:rFonts w:hint="eastAsia" w:ascii="仿宋_GB2312" w:hAnsi="仿宋_GB2312" w:eastAsia="仿宋_GB2312" w:cs="仿宋_GB2312"/>
          <w:color w:val="auto"/>
          <w:sz w:val="32"/>
          <w:szCs w:val="32"/>
          <w:highlight w:val="none"/>
          <w:lang w:val="en-US" w:eastAsia="zh-CN"/>
        </w:rPr>
        <w:t>3,250.00万元</w:t>
      </w:r>
      <w:r>
        <w:rPr>
          <w:rFonts w:hint="eastAsia" w:ascii="仿宋_GB2312" w:eastAsia="仿宋_GB2312"/>
          <w:color w:val="000000"/>
          <w:sz w:val="32"/>
          <w:szCs w:val="32"/>
        </w:rPr>
        <w:t>，其中：区级财政资金</w:t>
      </w:r>
      <w:r>
        <w:rPr>
          <w:rFonts w:hint="eastAsia" w:ascii="仿宋_GB2312" w:hAnsi="仿宋_GB2312" w:eastAsia="仿宋_GB2312" w:cs="仿宋_GB2312"/>
          <w:color w:val="auto"/>
          <w:sz w:val="32"/>
          <w:szCs w:val="32"/>
          <w:highlight w:val="none"/>
          <w:lang w:val="en-US" w:eastAsia="zh-CN"/>
        </w:rPr>
        <w:t>3,250.00</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万元。本项目全年共支出</w:t>
      </w:r>
      <w:r>
        <w:rPr>
          <w:rFonts w:hint="eastAsia" w:ascii="仿宋_GB2312" w:eastAsia="仿宋_GB2312"/>
          <w:color w:val="000000"/>
          <w:sz w:val="32"/>
          <w:szCs w:val="32"/>
          <w:lang w:val="en-US" w:eastAsia="zh-CN"/>
        </w:rPr>
        <w:t>3,198.8</w:t>
      </w:r>
      <w:r>
        <w:rPr>
          <w:rFonts w:hint="eastAsia" w:ascii="仿宋_GB2312" w:eastAsia="仿宋_GB2312"/>
          <w:color w:val="000000"/>
          <w:sz w:val="32"/>
          <w:szCs w:val="32"/>
        </w:rPr>
        <w:t>0万元，其中：区级财政资金支出</w:t>
      </w:r>
      <w:r>
        <w:rPr>
          <w:rFonts w:hint="eastAsia" w:ascii="仿宋_GB2312" w:eastAsia="仿宋_GB2312"/>
          <w:color w:val="000000"/>
          <w:sz w:val="32"/>
          <w:szCs w:val="32"/>
          <w:lang w:val="en-US" w:eastAsia="zh-CN"/>
        </w:rPr>
        <w:t>3,198.80</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，调剂</w:t>
      </w:r>
      <w:r>
        <w:rPr>
          <w:rFonts w:hint="eastAsia" w:ascii="仿宋_GB2312" w:eastAsia="仿宋_GB2312"/>
          <w:color w:val="000000"/>
          <w:sz w:val="32"/>
          <w:szCs w:val="32"/>
          <w:lang w:val="en-US" w:eastAsia="zh-CN"/>
        </w:rPr>
        <w:t>-51.20万元</w:t>
      </w:r>
      <w:r>
        <w:rPr>
          <w:rFonts w:hint="eastAsia" w:ascii="仿宋_GB2312" w:eastAsia="仿宋_GB2312"/>
          <w:color w:val="000000"/>
          <w:sz w:val="32"/>
          <w:szCs w:val="32"/>
        </w:rPr>
        <w:t>。</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（三）项目资金管理情况分析</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ascii="仿宋_GB2312" w:hAnsi="宋体" w:eastAsia="仿宋_GB2312" w:cs="Times New Roman"/>
          <w:sz w:val="32"/>
          <w:szCs w:val="32"/>
        </w:rPr>
      </w:pPr>
      <w:r>
        <w:rPr>
          <w:rFonts w:hint="eastAsia" w:ascii="仿宋_GB2312" w:hAnsi="仿宋_GB2312" w:eastAsia="仿宋_GB2312" w:cs="仿宋_GB2312"/>
          <w:color w:val="auto"/>
          <w:sz w:val="32"/>
          <w:szCs w:val="32"/>
          <w:highlight w:val="none"/>
          <w:lang w:val="en-US" w:eastAsia="zh-CN"/>
        </w:rPr>
        <w:t>该项目为民生类项目，年初预算3,250.00万元，按照实际申请报销医疗费人数进行审核并支付及上缴资金3,198.80万元，其中：上缴北京市财政局账户资金3,198.80万元，财政</w:t>
      </w:r>
      <w:r>
        <w:rPr>
          <w:rFonts w:hint="eastAsia" w:ascii="仿宋_GB2312" w:eastAsia="仿宋_GB2312"/>
          <w:color w:val="000000"/>
          <w:sz w:val="32"/>
          <w:szCs w:val="32"/>
          <w:highlight w:val="none"/>
          <w:lang w:eastAsia="zh-CN"/>
        </w:rPr>
        <w:t>调剂</w:t>
      </w:r>
      <w:r>
        <w:rPr>
          <w:rFonts w:hint="eastAsia" w:ascii="仿宋_GB2312" w:eastAsia="仿宋_GB2312"/>
          <w:color w:val="000000"/>
          <w:sz w:val="32"/>
          <w:szCs w:val="32"/>
          <w:highlight w:val="none"/>
          <w:lang w:val="en-US" w:eastAsia="zh-CN"/>
        </w:rPr>
        <w:t>-51.20万元。</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二、绩效自评结论</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98</w:t>
      </w:r>
      <w:r>
        <w:rPr>
          <w:rFonts w:hint="eastAsia" w:ascii="仿宋_GB2312" w:hAnsi="黑体" w:eastAsia="仿宋_GB2312" w:cs="黑体"/>
          <w:bCs/>
          <w:sz w:val="32"/>
          <w:szCs w:val="32"/>
        </w:rPr>
        <w:t>分</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黑体" w:eastAsia="仿宋_GB2312" w:cs="黑体"/>
          <w:bCs/>
          <w:sz w:val="32"/>
          <w:szCs w:val="32"/>
        </w:rPr>
      </w:pPr>
      <w:r>
        <w:rPr>
          <w:rFonts w:hint="eastAsia" w:ascii="仿宋_GB2312" w:hAnsi="黑体" w:eastAsia="仿宋_GB2312" w:cs="黑体"/>
          <w:bCs/>
          <w:sz w:val="32"/>
          <w:szCs w:val="32"/>
        </w:rPr>
        <w:t>绩效自评等级：</w:t>
      </w:r>
      <w:r>
        <w:rPr>
          <w:rFonts w:hint="eastAsia" w:ascii="仿宋_GB2312" w:hAnsi="黑体" w:eastAsia="仿宋_GB2312" w:cs="黑体"/>
          <w:bCs/>
          <w:sz w:val="32"/>
          <w:szCs w:val="32"/>
          <w:lang w:eastAsia="zh-CN"/>
        </w:rPr>
        <w:t>优秀</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黑体" w:eastAsia="仿宋_GB2312" w:cs="黑体"/>
          <w:bCs/>
          <w:sz w:val="32"/>
          <w:szCs w:val="32"/>
        </w:rPr>
      </w:pPr>
      <w:r>
        <w:rPr>
          <w:rFonts w:hint="eastAsia" w:ascii="仿宋_GB2312" w:hAnsi="黑体" w:eastAsia="仿宋_GB2312" w:cs="黑体"/>
          <w:bCs/>
          <w:sz w:val="32"/>
          <w:szCs w:val="32"/>
        </w:rPr>
        <w:t>（四类</w:t>
      </w:r>
      <w:r>
        <w:rPr>
          <w:rFonts w:ascii="仿宋_GB2312" w:hAnsi="黑体" w:eastAsia="仿宋_GB2312" w:cs="黑体"/>
          <w:bCs/>
          <w:sz w:val="32"/>
          <w:szCs w:val="32"/>
        </w:rPr>
        <w:t>评价等级：</w:t>
      </w:r>
      <w:r>
        <w:rPr>
          <w:rFonts w:hint="eastAsia" w:ascii="仿宋_GB2312" w:hAnsi="黑体" w:eastAsia="仿宋_GB2312" w:cs="黑体"/>
          <w:bCs/>
          <w:sz w:val="32"/>
          <w:szCs w:val="32"/>
        </w:rPr>
        <w:t>90（含）-100分为优秀、80（含）-90分为良好、60（含）-80分为一般、60分以下为较差</w:t>
      </w:r>
      <w:r>
        <w:rPr>
          <w:rFonts w:ascii="仿宋_GB2312" w:hAnsi="黑体" w:eastAsia="仿宋_GB2312" w:cs="黑体"/>
          <w:bCs/>
          <w:sz w:val="32"/>
          <w:szCs w:val="32"/>
        </w:rPr>
        <w:t>。</w:t>
      </w:r>
      <w:r>
        <w:rPr>
          <w:rFonts w:hint="eastAsia" w:ascii="仿宋_GB2312" w:hAnsi="黑体" w:eastAsia="仿宋_GB2312" w:cs="黑体"/>
          <w:bCs/>
          <w:sz w:val="32"/>
          <w:szCs w:val="32"/>
        </w:rPr>
        <w:t>）</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hint="eastAsia" w:ascii="楷体_GB2312" w:hAnsi="楷体" w:eastAsia="楷体_GB2312" w:cs="仿宋_GB2312"/>
          <w:sz w:val="32"/>
          <w:szCs w:val="32"/>
          <w:highlight w:val="none"/>
        </w:rPr>
      </w:pPr>
      <w:r>
        <w:rPr>
          <w:rFonts w:hint="eastAsia" w:ascii="楷体_GB2312" w:hAnsi="楷体" w:eastAsia="楷体_GB2312" w:cs="仿宋_GB2312"/>
          <w:sz w:val="32"/>
          <w:szCs w:val="32"/>
          <w:highlight w:val="none"/>
        </w:rPr>
        <w:t>（一）项目绩效目标、绩效指标设定情况</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color w:val="auto"/>
          <w:sz w:val="32"/>
          <w:szCs w:val="32"/>
          <w:lang w:eastAsia="zh-CN"/>
        </w:rPr>
        <w:t>医疗救助补助资金年度总体绩效目标：</w:t>
      </w:r>
      <w:r>
        <w:rPr>
          <w:rFonts w:hint="eastAsia" w:ascii="仿宋_GB2312" w:hAnsi="仿宋_GB2312" w:eastAsia="仿宋_GB2312" w:cs="仿宋_GB2312"/>
          <w:b w:val="0"/>
          <w:bCs/>
          <w:color w:val="auto"/>
          <w:sz w:val="32"/>
          <w:szCs w:val="32"/>
          <w:lang w:val="en-US" w:eastAsia="zh-CN"/>
        </w:rPr>
        <w:t>推进本区内医疗救助发展，对特殊群体开展医疗救助服务，应助尽助，有效解决社会救助对象及困难群众医疗费用负担重的问题，使我区民生领域医疗保障服务水平稳步提升。</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eastAsia="仿宋_GB2312"/>
          <w:color w:val="000000"/>
          <w:sz w:val="32"/>
          <w:szCs w:val="32"/>
        </w:rPr>
      </w:pPr>
      <w:r>
        <w:rPr>
          <w:rFonts w:hint="eastAsia" w:ascii="仿宋_GB2312" w:hAnsi="仿宋_GB2312" w:eastAsia="仿宋_GB2312" w:cs="仿宋_GB2312"/>
          <w:color w:val="auto"/>
          <w:kern w:val="2"/>
          <w:sz w:val="32"/>
          <w:szCs w:val="32"/>
          <w:highlight w:val="none"/>
          <w:lang w:val="en-US" w:eastAsia="zh-CN" w:bidi="ar-SA"/>
        </w:rPr>
        <w:t>医疗救助补助资金有效解决社会救助对象及困难群众医疗费用负担重的问题，巩固我区脱贫攻坚成果，</w:t>
      </w:r>
      <w:r>
        <w:rPr>
          <w:rFonts w:hint="eastAsia" w:ascii="仿宋_GB2312" w:hAnsi="仿宋_GB2312" w:eastAsia="仿宋_GB2312" w:cs="仿宋_GB2312"/>
          <w:color w:val="auto"/>
          <w:sz w:val="32"/>
          <w:szCs w:val="32"/>
          <w:highlight w:val="none"/>
        </w:rPr>
        <w:t>有效</w:t>
      </w:r>
      <w:r>
        <w:rPr>
          <w:rFonts w:hint="eastAsia" w:ascii="仿宋_GB2312" w:hAnsi="仿宋_GB2312" w:eastAsia="仿宋_GB2312" w:cs="仿宋_GB2312"/>
          <w:color w:val="auto"/>
          <w:sz w:val="32"/>
          <w:szCs w:val="32"/>
          <w:highlight w:val="none"/>
          <w:lang w:eastAsia="zh-CN"/>
        </w:rPr>
        <w:t>阻断</w:t>
      </w:r>
      <w:r>
        <w:rPr>
          <w:rFonts w:hint="eastAsia" w:ascii="仿宋_GB2312" w:hAnsi="仿宋_GB2312" w:eastAsia="仿宋_GB2312" w:cs="仿宋_GB2312"/>
          <w:color w:val="auto"/>
          <w:sz w:val="32"/>
          <w:szCs w:val="32"/>
          <w:highlight w:val="none"/>
        </w:rPr>
        <w:t>因病致</w:t>
      </w:r>
      <w:r>
        <w:rPr>
          <w:rFonts w:hint="eastAsia" w:ascii="仿宋_GB2312" w:hAnsi="仿宋_GB2312" w:eastAsia="仿宋_GB2312" w:cs="仿宋_GB2312"/>
          <w:color w:val="auto"/>
          <w:sz w:val="32"/>
          <w:szCs w:val="32"/>
          <w:highlight w:val="none"/>
          <w:lang w:eastAsia="zh-CN"/>
        </w:rPr>
        <w:t>贫</w:t>
      </w:r>
      <w:r>
        <w:rPr>
          <w:rFonts w:hint="eastAsia" w:ascii="仿宋_GB2312" w:hAnsi="仿宋_GB2312" w:eastAsia="仿宋_GB2312" w:cs="仿宋_GB2312"/>
          <w:color w:val="auto"/>
          <w:sz w:val="32"/>
          <w:szCs w:val="32"/>
          <w:highlight w:val="none"/>
        </w:rPr>
        <w:t>、因病返</w:t>
      </w:r>
      <w:r>
        <w:rPr>
          <w:rFonts w:hint="eastAsia" w:ascii="仿宋_GB2312" w:hAnsi="仿宋_GB2312" w:eastAsia="仿宋_GB2312" w:cs="仿宋_GB2312"/>
          <w:color w:val="auto"/>
          <w:sz w:val="32"/>
          <w:szCs w:val="32"/>
          <w:highlight w:val="none"/>
          <w:lang w:eastAsia="zh-CN"/>
        </w:rPr>
        <w:t>贫</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eastAsia="zh-CN"/>
        </w:rPr>
        <w:t>现象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通过简化流程、减少材料等举措，对</w:t>
      </w:r>
      <w:r>
        <w:rPr>
          <w:rFonts w:hint="eastAsia" w:ascii="仿宋_GB2312" w:hAnsi="仿宋_GB2312" w:eastAsia="仿宋_GB2312" w:cs="仿宋_GB2312"/>
          <w:color w:val="auto"/>
          <w:sz w:val="32"/>
          <w:szCs w:val="32"/>
          <w:highlight w:val="none"/>
        </w:rPr>
        <w:t>特殊群体</w:t>
      </w:r>
      <w:r>
        <w:rPr>
          <w:rFonts w:hint="eastAsia" w:ascii="仿宋_GB2312" w:hAnsi="仿宋_GB2312" w:eastAsia="仿宋_GB2312" w:cs="仿宋_GB2312"/>
          <w:color w:val="auto"/>
          <w:sz w:val="32"/>
          <w:szCs w:val="32"/>
          <w:highlight w:val="none"/>
          <w:lang w:eastAsia="zh-CN"/>
        </w:rPr>
        <w:t>开展</w:t>
      </w:r>
      <w:r>
        <w:rPr>
          <w:rFonts w:hint="eastAsia" w:ascii="仿宋_GB2312" w:hAnsi="仿宋_GB2312" w:eastAsia="仿宋_GB2312" w:cs="仿宋_GB2312"/>
          <w:color w:val="auto"/>
          <w:sz w:val="32"/>
          <w:szCs w:val="32"/>
          <w:highlight w:val="none"/>
        </w:rPr>
        <w:t>医疗救助</w:t>
      </w:r>
      <w:r>
        <w:rPr>
          <w:rFonts w:hint="eastAsia" w:ascii="仿宋_GB2312" w:hAnsi="仿宋_GB2312" w:eastAsia="仿宋_GB2312" w:cs="仿宋_GB2312"/>
          <w:color w:val="auto"/>
          <w:sz w:val="32"/>
          <w:szCs w:val="32"/>
          <w:highlight w:val="none"/>
          <w:lang w:eastAsia="zh-CN"/>
        </w:rPr>
        <w:t>服务，</w:t>
      </w:r>
      <w:r>
        <w:rPr>
          <w:rFonts w:hint="eastAsia" w:ascii="仿宋_GB2312" w:hAnsi="仿宋_GB2312" w:eastAsia="仿宋_GB2312" w:cs="仿宋_GB2312"/>
          <w:color w:val="auto"/>
          <w:sz w:val="32"/>
          <w:szCs w:val="32"/>
          <w:highlight w:val="none"/>
        </w:rPr>
        <w:t>织密织牢低收入帮扶</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医保防线，</w:t>
      </w:r>
      <w:r>
        <w:rPr>
          <w:rFonts w:hint="eastAsia" w:ascii="仿宋_GB2312" w:hAnsi="仿宋_GB2312" w:eastAsia="仿宋_GB2312" w:cs="仿宋_GB2312"/>
          <w:color w:val="auto"/>
          <w:sz w:val="32"/>
          <w:szCs w:val="32"/>
          <w:highlight w:val="none"/>
          <w:lang w:eastAsia="zh-CN"/>
        </w:rPr>
        <w:t>使人员群众对医保获得感显著提升</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楷体_GB2312" w:hAnsi="楷体" w:eastAsia="楷体_GB2312" w:cs="仿宋_GB2312"/>
          <w:sz w:val="32"/>
          <w:szCs w:val="32"/>
          <w:highlight w:val="none"/>
        </w:rPr>
      </w:pPr>
      <w:r>
        <w:rPr>
          <w:rFonts w:hint="eastAsia" w:ascii="楷体_GB2312" w:hAnsi="楷体" w:eastAsia="楷体_GB2312" w:cs="仿宋_GB2312"/>
          <w:sz w:val="32"/>
          <w:szCs w:val="32"/>
          <w:highlight w:val="none"/>
        </w:rPr>
        <w:t>（二）总体绩效目标完成情况分析</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截止2025年12月底，城乡社会救助对象医疗救助合计支出</w:t>
      </w:r>
      <w:r>
        <w:rPr>
          <w:rFonts w:hint="eastAsia" w:ascii="仿宋_GB2312" w:eastAsia="仿宋_GB2312"/>
          <w:color w:val="000000"/>
          <w:sz w:val="32"/>
          <w:szCs w:val="32"/>
          <w:highlight w:val="none"/>
          <w:lang w:val="en-US" w:eastAsia="zh-CN"/>
        </w:rPr>
        <w:t>3,198.80</w:t>
      </w:r>
      <w:r>
        <w:rPr>
          <w:rFonts w:hint="eastAsia" w:ascii="仿宋_GB2312" w:eastAsia="仿宋_GB2312"/>
          <w:color w:val="auto"/>
          <w:sz w:val="32"/>
          <w:szCs w:val="32"/>
          <w:highlight w:val="none"/>
          <w:u w:val="none"/>
          <w:lang w:val="en-US" w:eastAsia="zh-CN"/>
        </w:rPr>
        <w:t>万元</w:t>
      </w:r>
      <w:r>
        <w:rPr>
          <w:rFonts w:hint="eastAsia" w:ascii="仿宋_GB2312" w:hAnsi="仿宋_GB2312" w:eastAsia="仿宋_GB2312" w:cs="仿宋_GB2312"/>
          <w:color w:val="auto"/>
          <w:sz w:val="32"/>
          <w:szCs w:val="32"/>
          <w:highlight w:val="none"/>
          <w:u w:val="none"/>
          <w:lang w:val="en-US" w:eastAsia="zh-CN"/>
        </w:rPr>
        <w:t>，全部为城乡社会救助对象医疗救助资金支出</w:t>
      </w:r>
      <w:r>
        <w:rPr>
          <w:rFonts w:hint="eastAsia" w:ascii="仿宋_GB2312" w:hAnsi="仿宋_GB2312" w:eastAsia="仿宋_GB2312" w:cs="仿宋_GB2312"/>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截止2025年12月实际指标全部完成值100%，预算执行率100%。</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楷体_GB2312" w:hAnsi="楷体" w:eastAsia="楷体_GB2312" w:cs="仿宋_GB2312"/>
          <w:sz w:val="32"/>
          <w:szCs w:val="32"/>
          <w:highlight w:val="none"/>
        </w:rPr>
      </w:pPr>
      <w:r>
        <w:rPr>
          <w:rFonts w:hint="eastAsia" w:ascii="楷体_GB2312" w:hAnsi="楷体" w:eastAsia="楷体_GB2312" w:cs="仿宋_GB2312"/>
          <w:sz w:val="32"/>
          <w:szCs w:val="32"/>
          <w:highlight w:val="none"/>
        </w:rPr>
        <w:t>（三）项目绩效指标完成情况分析</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黑体" w:eastAsia="仿宋_GB2312" w:cs="黑体"/>
          <w:bCs/>
          <w:sz w:val="32"/>
          <w:szCs w:val="32"/>
        </w:rPr>
        <w:t>（1）数量指标。</w:t>
      </w:r>
      <w:r>
        <w:rPr>
          <w:rFonts w:hint="eastAsia" w:ascii="仿宋_GB2312" w:hAnsi="仿宋_GB2312" w:eastAsia="仿宋_GB2312" w:cs="仿宋_GB2312"/>
          <w:color w:val="auto"/>
          <w:sz w:val="32"/>
          <w:szCs w:val="32"/>
          <w:highlight w:val="none"/>
          <w:lang w:eastAsia="zh-CN"/>
        </w:rPr>
        <w:t>按照医疗救助对象人次规模，将符合救助条件的对象按规定纳入救助范围，实际指标全部完成值</w:t>
      </w:r>
      <w:r>
        <w:rPr>
          <w:rFonts w:hint="eastAsia" w:ascii="仿宋_GB2312" w:hAnsi="仿宋_GB2312" w:eastAsia="仿宋_GB2312" w:cs="仿宋_GB2312"/>
          <w:color w:val="auto"/>
          <w:sz w:val="32"/>
          <w:szCs w:val="32"/>
          <w:highlight w:val="none"/>
          <w:lang w:val="en-US" w:eastAsia="zh-CN"/>
        </w:rPr>
        <w:t>100%。</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ascii="仿宋_GB2312" w:hAnsi="黑体" w:eastAsia="仿宋_GB2312" w:cs="黑体"/>
          <w:bCs/>
          <w:sz w:val="32"/>
          <w:szCs w:val="32"/>
        </w:rPr>
      </w:pPr>
      <w:r>
        <w:rPr>
          <w:rFonts w:hint="eastAsia" w:ascii="仿宋_GB2312" w:hAnsi="仿宋_GB2312" w:eastAsia="仿宋_GB2312" w:cs="仿宋_GB2312"/>
          <w:color w:val="auto"/>
          <w:kern w:val="2"/>
          <w:sz w:val="32"/>
          <w:szCs w:val="32"/>
          <w:highlight w:val="none"/>
          <w:u w:val="none"/>
          <w:lang w:val="en-US" w:eastAsia="zh-CN" w:bidi="ar-SA"/>
        </w:rPr>
        <w:t>符合救助条件的救助对象身份认定后直接与医疗救助系统对接，纳入救助范围，享受医疗救助待遇。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ascii="仿宋_GB2312" w:eastAsia="仿宋_GB2312"/>
          <w:sz w:val="32"/>
          <w:szCs w:val="32"/>
        </w:rPr>
      </w:pPr>
      <w:r>
        <w:rPr>
          <w:rFonts w:hint="eastAsia" w:ascii="仿宋_GB2312" w:eastAsia="仿宋_GB2312"/>
          <w:sz w:val="32"/>
          <w:szCs w:val="32"/>
        </w:rPr>
        <w:t>（2）质量指标。</w:t>
      </w:r>
      <w:r>
        <w:rPr>
          <w:rFonts w:hint="eastAsia" w:ascii="仿宋_GB2312" w:hAnsi="仿宋_GB2312" w:eastAsia="仿宋_GB2312" w:cs="仿宋_GB2312"/>
          <w:color w:val="auto"/>
          <w:sz w:val="32"/>
          <w:szCs w:val="32"/>
          <w:highlight w:val="none"/>
        </w:rPr>
        <w:t>重点救助对象自付费用年度限额内住院救助比例</w:t>
      </w:r>
      <w:r>
        <w:rPr>
          <w:rFonts w:hint="eastAsia" w:ascii="仿宋_GB2312" w:hAnsi="仿宋_GB2312" w:eastAsia="仿宋_GB2312" w:cs="仿宋_GB2312"/>
          <w:color w:val="auto"/>
          <w:sz w:val="32"/>
          <w:szCs w:val="32"/>
          <w:highlight w:val="none"/>
          <w:lang w:eastAsia="zh-CN"/>
        </w:rPr>
        <w:t>，年度指标值≥80%，实际指标全部完成值</w:t>
      </w:r>
      <w:r>
        <w:rPr>
          <w:rFonts w:hint="eastAsia" w:ascii="仿宋_GB2312" w:hAnsi="仿宋_GB2312" w:eastAsia="仿宋_GB2312" w:cs="仿宋_GB2312"/>
          <w:color w:val="auto"/>
          <w:sz w:val="32"/>
          <w:szCs w:val="32"/>
          <w:highlight w:val="none"/>
          <w:lang w:val="en-US" w:eastAsia="zh-CN"/>
        </w:rPr>
        <w:t>100%。市级救助文件规定，重大疾病住院救助比例为85%，实际指标全部完成。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ascii="仿宋_GB2312" w:eastAsia="仿宋_GB2312"/>
          <w:sz w:val="32"/>
          <w:szCs w:val="32"/>
        </w:rPr>
      </w:pPr>
      <w:r>
        <w:rPr>
          <w:rFonts w:hint="eastAsia" w:ascii="仿宋_GB2312" w:eastAsia="仿宋_GB2312"/>
          <w:sz w:val="32"/>
          <w:szCs w:val="32"/>
        </w:rPr>
        <w:t>（3）时效指标。</w:t>
      </w:r>
      <w:r>
        <w:rPr>
          <w:rFonts w:hint="eastAsia" w:ascii="仿宋_GB2312" w:hAnsi="仿宋_GB2312" w:eastAsia="仿宋_GB2312" w:cs="仿宋_GB2312"/>
          <w:color w:val="auto"/>
          <w:sz w:val="32"/>
          <w:szCs w:val="32"/>
          <w:highlight w:val="none"/>
          <w:lang w:val="en-US" w:eastAsia="zh-CN"/>
        </w:rPr>
        <w:t>项目完成率≥90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按照财政要求及时支付，</w:t>
      </w:r>
      <w:r>
        <w:rPr>
          <w:rFonts w:hint="eastAsia" w:ascii="仿宋_GB2312" w:hAnsi="仿宋_GB2312" w:eastAsia="仿宋_GB2312" w:cs="仿宋_GB2312"/>
          <w:color w:val="auto"/>
          <w:sz w:val="32"/>
          <w:szCs w:val="32"/>
          <w:highlight w:val="none"/>
          <w:lang w:eastAsia="zh-CN"/>
        </w:rPr>
        <w:t>实际指标全部完成值</w:t>
      </w:r>
      <w:r>
        <w:rPr>
          <w:rFonts w:hint="eastAsia" w:ascii="仿宋_GB2312" w:hAnsi="仿宋_GB2312" w:eastAsia="仿宋_GB2312" w:cs="仿宋_GB2312"/>
          <w:color w:val="auto"/>
          <w:sz w:val="32"/>
          <w:szCs w:val="32"/>
          <w:highlight w:val="none"/>
          <w:lang w:val="en-US" w:eastAsia="zh-CN"/>
        </w:rPr>
        <w:t>100%。</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u w:val="none"/>
        </w:rPr>
        <w:t>年</w:t>
      </w:r>
      <w:r>
        <w:rPr>
          <w:rFonts w:hint="eastAsia" w:ascii="仿宋_GB2312" w:eastAsia="仿宋_GB2312"/>
          <w:color w:val="auto"/>
          <w:sz w:val="32"/>
          <w:szCs w:val="32"/>
          <w:highlight w:val="none"/>
          <w:u w:val="none"/>
          <w:lang w:eastAsia="zh-CN"/>
        </w:rPr>
        <w:t>上缴城乡社会救助对象医疗救助资金</w:t>
      </w:r>
      <w:r>
        <w:rPr>
          <w:rFonts w:hint="eastAsia" w:ascii="仿宋_GB2312" w:eastAsia="仿宋_GB2312"/>
          <w:color w:val="auto"/>
          <w:sz w:val="32"/>
          <w:szCs w:val="32"/>
          <w:highlight w:val="none"/>
          <w:u w:val="none"/>
        </w:rPr>
        <w:t>拨付救助资金</w:t>
      </w:r>
      <w:r>
        <w:rPr>
          <w:rFonts w:hint="eastAsia" w:ascii="仿宋_GB2312" w:eastAsia="仿宋_GB2312"/>
          <w:color w:val="000000"/>
          <w:sz w:val="32"/>
          <w:szCs w:val="32"/>
          <w:highlight w:val="none"/>
          <w:lang w:val="en-US" w:eastAsia="zh-CN"/>
        </w:rPr>
        <w:t>3,198.80</w:t>
      </w:r>
      <w:r>
        <w:rPr>
          <w:rFonts w:hint="eastAsia" w:ascii="仿宋_GB2312" w:eastAsia="仿宋_GB2312"/>
          <w:color w:val="auto"/>
          <w:sz w:val="32"/>
          <w:szCs w:val="32"/>
          <w:highlight w:val="none"/>
          <w:u w:val="none"/>
          <w:lang w:val="en-US" w:eastAsia="zh-CN"/>
        </w:rPr>
        <w:t>万元</w:t>
      </w:r>
      <w:r>
        <w:rPr>
          <w:rFonts w:hint="eastAsia" w:ascii="仿宋_GB2312" w:hAnsi="仿宋_GB2312" w:eastAsia="仿宋_GB2312" w:cs="仿宋_GB2312"/>
          <w:color w:val="auto"/>
          <w:sz w:val="32"/>
          <w:szCs w:val="32"/>
          <w:highlight w:val="none"/>
          <w:u w:val="none"/>
          <w:lang w:val="en-US" w:eastAsia="zh-CN"/>
        </w:rPr>
        <w:t>。</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成本指标。</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bCs/>
          <w:sz w:val="32"/>
          <w:szCs w:val="32"/>
        </w:rPr>
      </w:pPr>
      <w:r>
        <w:rPr>
          <w:rFonts w:hint="eastAsia" w:ascii="仿宋_GB2312" w:eastAsia="仿宋_GB2312"/>
          <w:bCs/>
          <w:sz w:val="32"/>
          <w:szCs w:val="32"/>
        </w:rPr>
        <w:t>（1）经济成本指标。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eastAsia="仿宋_GB2312"/>
          <w:bCs/>
          <w:sz w:val="32"/>
          <w:szCs w:val="32"/>
          <w:highlight w:val="none"/>
        </w:rPr>
      </w:pPr>
      <w:r>
        <w:rPr>
          <w:rFonts w:hint="eastAsia" w:ascii="仿宋_GB2312" w:eastAsia="仿宋_GB2312"/>
          <w:color w:val="auto"/>
          <w:sz w:val="32"/>
          <w:szCs w:val="32"/>
          <w:highlight w:val="none"/>
          <w:lang w:eastAsia="zh-CN"/>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u w:val="none"/>
        </w:rPr>
        <w:t>年</w:t>
      </w:r>
      <w:r>
        <w:rPr>
          <w:rFonts w:hint="eastAsia" w:ascii="仿宋_GB2312" w:eastAsia="仿宋_GB2312"/>
          <w:color w:val="auto"/>
          <w:sz w:val="32"/>
          <w:szCs w:val="32"/>
          <w:highlight w:val="none"/>
          <w:u w:val="none"/>
          <w:lang w:eastAsia="zh-CN"/>
        </w:rPr>
        <w:t>上缴城乡社会救助对象医疗救助资金</w:t>
      </w:r>
      <w:r>
        <w:rPr>
          <w:rFonts w:hint="eastAsia" w:ascii="仿宋_GB2312" w:eastAsia="仿宋_GB2312"/>
          <w:color w:val="auto"/>
          <w:sz w:val="32"/>
          <w:szCs w:val="32"/>
          <w:highlight w:val="none"/>
          <w:u w:val="none"/>
        </w:rPr>
        <w:t>拨付救助资金</w:t>
      </w:r>
      <w:r>
        <w:rPr>
          <w:rFonts w:hint="eastAsia" w:ascii="仿宋_GB2312" w:eastAsia="仿宋_GB2312"/>
          <w:color w:val="000000"/>
          <w:sz w:val="32"/>
          <w:szCs w:val="32"/>
          <w:highlight w:val="none"/>
          <w:lang w:val="en-US" w:eastAsia="zh-CN"/>
        </w:rPr>
        <w:t>3,198.80</w:t>
      </w:r>
      <w:r>
        <w:rPr>
          <w:rFonts w:hint="eastAsia" w:ascii="仿宋_GB2312" w:eastAsia="仿宋_GB2312"/>
          <w:color w:val="auto"/>
          <w:sz w:val="32"/>
          <w:szCs w:val="32"/>
          <w:highlight w:val="none"/>
          <w:u w:val="none"/>
          <w:lang w:val="en-US" w:eastAsia="zh-CN"/>
        </w:rPr>
        <w:t>万元</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lang w:val="en-US" w:eastAsia="zh-CN"/>
        </w:rPr>
        <w:t>实际</w:t>
      </w:r>
      <w:r>
        <w:rPr>
          <w:rFonts w:hint="eastAsia" w:ascii="仿宋_GB2312" w:hAnsi="仿宋_GB2312" w:eastAsia="仿宋_GB2312" w:cs="仿宋_GB2312"/>
          <w:color w:val="auto"/>
          <w:sz w:val="32"/>
          <w:szCs w:val="32"/>
          <w:highlight w:val="none"/>
          <w:lang w:eastAsia="zh-CN"/>
        </w:rPr>
        <w:t>指标全部完成值</w:t>
      </w:r>
      <w:r>
        <w:rPr>
          <w:rFonts w:hint="eastAsia" w:ascii="仿宋_GB2312" w:hAnsi="仿宋_GB2312" w:eastAsia="仿宋_GB2312" w:cs="仿宋_GB2312"/>
          <w:color w:val="auto"/>
          <w:sz w:val="32"/>
          <w:szCs w:val="32"/>
          <w:highlight w:val="none"/>
          <w:lang w:val="en-US" w:eastAsia="zh-CN"/>
        </w:rPr>
        <w:t>100%。</w:t>
      </w:r>
    </w:p>
    <w:p>
      <w:pPr>
        <w:keepNext w:val="0"/>
        <w:keepLines w:val="0"/>
        <w:pageBreakBefore w:val="0"/>
        <w:widowControl w:val="0"/>
        <w:numPr>
          <w:ilvl w:val="0"/>
          <w:numId w:val="1"/>
        </w:numPr>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sz w:val="32"/>
          <w:szCs w:val="32"/>
          <w:highlight w:val="none"/>
        </w:rPr>
        <w:t>社会成本指标。</w:t>
      </w:r>
      <w:r>
        <w:rPr>
          <w:rFonts w:hint="eastAsia" w:ascii="仿宋_GB2312" w:eastAsia="仿宋_GB2312"/>
          <w:color w:val="auto"/>
          <w:sz w:val="32"/>
          <w:szCs w:val="32"/>
          <w:highlight w:val="none"/>
          <w:lang w:eastAsia="zh-CN"/>
        </w:rPr>
        <w:t>不涉及</w:t>
      </w: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（3）生态环境成本指标。</w:t>
      </w:r>
      <w:r>
        <w:rPr>
          <w:rFonts w:hint="eastAsia" w:ascii="仿宋_GB2312" w:eastAsia="仿宋_GB2312"/>
          <w:color w:val="auto"/>
          <w:sz w:val="32"/>
          <w:szCs w:val="32"/>
          <w:highlight w:val="none"/>
          <w:lang w:eastAsia="zh-CN"/>
        </w:rPr>
        <w:t>不涉及</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.效益指标完成情况分析。</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sz w:val="32"/>
          <w:szCs w:val="32"/>
        </w:rPr>
      </w:pPr>
      <w:r>
        <w:rPr>
          <w:rFonts w:hint="eastAsia" w:ascii="仿宋_GB2312" w:eastAsia="仿宋_GB2312"/>
          <w:sz w:val="32"/>
          <w:szCs w:val="32"/>
        </w:rPr>
        <w:t>（1）经济效益。</w:t>
      </w:r>
      <w:r>
        <w:rPr>
          <w:rFonts w:hint="eastAsia" w:ascii="仿宋_GB2312" w:eastAsia="仿宋_GB2312"/>
          <w:sz w:val="32"/>
          <w:szCs w:val="32"/>
          <w:lang w:eastAsia="zh-CN"/>
        </w:rPr>
        <w:t>不涉及</w:t>
      </w:r>
    </w:p>
    <w:p>
      <w:pPr>
        <w:keepNext w:val="0"/>
        <w:keepLines w:val="0"/>
        <w:pageBreakBefore w:val="0"/>
        <w:widowControl w:val="0"/>
        <w:numPr>
          <w:ilvl w:val="0"/>
          <w:numId w:val="2"/>
        </w:numPr>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社会效益。</w:t>
      </w:r>
      <w:r>
        <w:rPr>
          <w:rFonts w:hint="eastAsia" w:ascii="仿宋_GB2312" w:hAnsi="仿宋_GB2312" w:eastAsia="仿宋_GB2312" w:cs="仿宋_GB2312"/>
          <w:color w:val="auto"/>
          <w:kern w:val="2"/>
          <w:sz w:val="32"/>
          <w:szCs w:val="32"/>
          <w:highlight w:val="none"/>
          <w:u w:val="none"/>
          <w:lang w:val="en-US" w:eastAsia="zh-CN" w:bidi="ar-SA"/>
        </w:rPr>
        <w:t>2025年服务对象覆盖范围稳步提升；群众看病就医方便程度，明显提高；困难群众医疗费用负担减轻程度，有所缓解，</w:t>
      </w:r>
      <w:r>
        <w:rPr>
          <w:rFonts w:hint="eastAsia" w:ascii="仿宋_GB2312" w:hAnsi="仿宋_GB2312" w:eastAsia="仿宋_GB2312" w:cs="仿宋_GB2312"/>
          <w:color w:val="auto"/>
          <w:sz w:val="32"/>
          <w:szCs w:val="32"/>
          <w:highlight w:val="none"/>
          <w:u w:val="none"/>
          <w:lang w:eastAsia="zh-CN"/>
        </w:rPr>
        <w:t>实</w:t>
      </w:r>
      <w:r>
        <w:rPr>
          <w:rFonts w:hint="eastAsia" w:ascii="仿宋_GB2312" w:hAnsi="仿宋_GB2312" w:eastAsia="仿宋_GB2312" w:cs="仿宋_GB2312"/>
          <w:color w:val="auto"/>
          <w:sz w:val="32"/>
          <w:szCs w:val="32"/>
          <w:highlight w:val="none"/>
          <w:lang w:eastAsia="zh-CN"/>
        </w:rPr>
        <w:t>际指标全部完成值</w:t>
      </w:r>
      <w:r>
        <w:rPr>
          <w:rFonts w:hint="eastAsia" w:ascii="仿宋_GB2312" w:hAnsi="仿宋_GB2312" w:eastAsia="仿宋_GB2312" w:cs="仿宋_GB2312"/>
          <w:color w:val="auto"/>
          <w:sz w:val="32"/>
          <w:szCs w:val="32"/>
          <w:highlight w:val="none"/>
          <w:lang w:val="en-US" w:eastAsia="zh-CN"/>
        </w:rPr>
        <w:t>100%。</w:t>
      </w:r>
    </w:p>
    <w:p>
      <w:pPr>
        <w:keepNext w:val="0"/>
        <w:keepLines w:val="0"/>
        <w:pageBreakBefore w:val="0"/>
        <w:widowControl w:val="0"/>
        <w:numPr>
          <w:ilvl w:val="0"/>
          <w:numId w:val="2"/>
        </w:numPr>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生态效益。</w:t>
      </w:r>
      <w:r>
        <w:rPr>
          <w:rFonts w:hint="eastAsia" w:ascii="仿宋_GB2312" w:eastAsia="仿宋_GB2312"/>
          <w:sz w:val="32"/>
          <w:szCs w:val="32"/>
          <w:lang w:val="en-US" w:eastAsia="zh-CN"/>
        </w:rPr>
        <w:t>不涉及</w:t>
      </w:r>
    </w:p>
    <w:p>
      <w:pPr>
        <w:keepNext w:val="0"/>
        <w:keepLines w:val="0"/>
        <w:pageBreakBefore w:val="0"/>
        <w:widowControl w:val="0"/>
        <w:numPr>
          <w:ilvl w:val="0"/>
          <w:numId w:val="2"/>
        </w:numPr>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可持续影响。</w:t>
      </w:r>
      <w:r>
        <w:rPr>
          <w:rFonts w:hint="eastAsia" w:ascii="仿宋_GB2312" w:hAnsi="仿宋_GB2312" w:eastAsia="仿宋_GB2312" w:cs="仿宋_GB2312"/>
          <w:b w:val="0"/>
          <w:bCs w:val="0"/>
          <w:color w:val="auto"/>
          <w:sz w:val="32"/>
          <w:szCs w:val="32"/>
          <w:highlight w:val="none"/>
          <w:lang w:eastAsia="zh-CN"/>
        </w:rPr>
        <w:t>在年度范围内长年进行，</w:t>
      </w:r>
      <w:r>
        <w:rPr>
          <w:rFonts w:hint="eastAsia" w:ascii="仿宋_GB2312" w:hAnsi="仿宋_GB2312" w:eastAsia="仿宋_GB2312" w:cs="仿宋_GB2312"/>
          <w:color w:val="auto"/>
          <w:sz w:val="32"/>
          <w:szCs w:val="32"/>
          <w:highlight w:val="none"/>
          <w:lang w:eastAsia="zh-CN"/>
        </w:rPr>
        <w:t>实际指标全部完成值</w:t>
      </w:r>
      <w:r>
        <w:rPr>
          <w:rFonts w:hint="eastAsia" w:ascii="仿宋_GB2312" w:hAnsi="仿宋_GB2312" w:eastAsia="仿宋_GB2312" w:cs="仿宋_GB2312"/>
          <w:color w:val="auto"/>
          <w:sz w:val="32"/>
          <w:szCs w:val="32"/>
          <w:highlight w:val="none"/>
          <w:lang w:val="en-US" w:eastAsia="zh-CN"/>
        </w:rPr>
        <w:t>100%。</w:t>
      </w:r>
    </w:p>
    <w:p>
      <w:pPr>
        <w:keepNext w:val="0"/>
        <w:keepLines w:val="0"/>
        <w:pageBreakBefore w:val="0"/>
        <w:widowControl w:val="0"/>
        <w:numPr>
          <w:ilvl w:val="0"/>
          <w:numId w:val="3"/>
        </w:numPr>
        <w:kinsoku/>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满意度指标完成情况分析。参保人员（服务对象）对医保服务的满意度</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90</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实际指标全部完成值</w:t>
      </w:r>
      <w:r>
        <w:rPr>
          <w:rFonts w:hint="eastAsia" w:ascii="仿宋_GB2312" w:hAnsi="仿宋_GB2312" w:eastAsia="仿宋_GB2312" w:cs="仿宋_GB2312"/>
          <w:color w:val="auto"/>
          <w:sz w:val="32"/>
          <w:szCs w:val="32"/>
          <w:highlight w:val="none"/>
          <w:lang w:val="en-US" w:eastAsia="zh-CN"/>
        </w:rPr>
        <w:t>100%。及时向我区13个镇街社会事务服务中心下发市区两级医疗救助相关制度文件，为医疗救助工作顺利开展提供坚实保障。</w:t>
      </w:r>
    </w:p>
    <w:p>
      <w:pPr>
        <w:keepNext w:val="0"/>
        <w:keepLines w:val="0"/>
        <w:pageBreakBefore w:val="0"/>
        <w:widowControl w:val="0"/>
        <w:kinsoku/>
        <w:overflowPunct/>
        <w:topLinePunct w:val="0"/>
        <w:autoSpaceDE/>
        <w:autoSpaceDN/>
        <w:bidi w:val="0"/>
        <w:adjustRightInd/>
        <w:snapToGrid/>
        <w:spacing w:line="600" w:lineRule="exact"/>
        <w:ind w:left="0" w:leftChars="0" w:right="0" w:rightChars="0"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2025年医疗救助补助资金预算按照时间节点有序进行，与预算相比虽略有结余，年末财政已收回结转结余资金统筹使用，整体绩效目标符合制定的绩效指标要求。</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rPr>
          <w:rFonts w:hint="eastAsia" w:ascii="仿宋_GB2312" w:eastAsia="仿宋_GB2312"/>
          <w:sz w:val="32"/>
          <w:szCs w:val="32"/>
        </w:rPr>
      </w:pPr>
      <w:r>
        <w:rPr>
          <w:rFonts w:hint="eastAsia" w:ascii="仿宋_GB2312" w:hAnsi="仿宋_GB2312" w:eastAsia="仿宋_GB2312" w:cs="仿宋_GB2312"/>
          <w:color w:val="auto"/>
          <w:sz w:val="32"/>
          <w:szCs w:val="32"/>
          <w:highlight w:val="none"/>
          <w:lang w:eastAsia="zh-CN"/>
        </w:rPr>
        <w:t>下一步工作，将严格按照市区通知要求，严格执行绩效工作重点内容，健全完整的反映绩效目标的执行情况及成果。</w:t>
      </w:r>
    </w:p>
    <w:p>
      <w:pPr>
        <w:keepNext w:val="0"/>
        <w:keepLines w:val="0"/>
        <w:pageBreakBefore w:val="0"/>
        <w:widowControl w:val="0"/>
        <w:numPr>
          <w:ilvl w:val="0"/>
          <w:numId w:val="4"/>
        </w:numPr>
        <w:kinsoku/>
        <w:overflowPunct/>
        <w:topLinePunct w:val="0"/>
        <w:autoSpaceDE/>
        <w:autoSpaceDN/>
        <w:bidi w:val="0"/>
        <w:adjustRightInd/>
        <w:snapToGrid/>
        <w:spacing w:line="600" w:lineRule="exact"/>
        <w:ind w:left="0" w:leftChars="0" w:right="0" w:rightChars="0" w:firstLine="640" w:firstLineChars="200"/>
        <w:textAlignment w:val="auto"/>
        <w:outlineLvl w:val="0"/>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overflowPunct/>
        <w:topLinePunct w:val="0"/>
        <w:autoSpaceDE/>
        <w:autoSpaceDN/>
        <w:bidi w:val="0"/>
        <w:adjustRightInd/>
        <w:snapToGrid/>
        <w:spacing w:line="600" w:lineRule="exact"/>
        <w:ind w:left="0" w:leftChars="0" w:right="0" w:rightChars="0" w:firstLine="640"/>
        <w:textAlignment w:val="auto"/>
        <w:outlineLvl w:val="0"/>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rPr>
          <w:rFonts w:hint="eastAsia" w:ascii="仿宋_GB2312" w:eastAsia="仿宋_GB2312"/>
          <w:color w:val="auto"/>
          <w:sz w:val="32"/>
          <w:szCs w:val="32"/>
          <w:lang w:eastAsia="zh-CN"/>
        </w:rPr>
      </w:pPr>
      <w:r>
        <w:rPr>
          <w:rFonts w:hint="eastAsia" w:ascii="仿宋_GB2312" w:eastAsia="仿宋_GB2312"/>
          <w:sz w:val="32"/>
          <w:szCs w:val="32"/>
        </w:rPr>
        <w:t xml:space="preserve">                              </w:t>
      </w:r>
      <w:r>
        <w:rPr>
          <w:rFonts w:hint="eastAsia" w:ascii="仿宋_GB2312" w:eastAsia="仿宋_GB2312"/>
          <w:color w:val="auto"/>
          <w:sz w:val="32"/>
          <w:szCs w:val="32"/>
          <w:lang w:eastAsia="zh-CN"/>
        </w:rPr>
        <w:t>北京市门头沟医疗保障局</w:t>
      </w: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firstLine="641"/>
        <w:jc w:val="center"/>
        <w:textAlignment w:val="auto"/>
        <w:rPr>
          <w:rFonts w:hint="default" w:ascii="仿宋_GB2312" w:eastAsia="仿宋_GB2312"/>
          <w:sz w:val="32"/>
          <w:szCs w:val="32"/>
          <w:lang w:val="en-US"/>
        </w:rPr>
      </w:pPr>
      <w:r>
        <w:rPr>
          <w:rFonts w:hint="eastAsia" w:ascii="仿宋_GB2312" w:eastAsia="仿宋_GB2312"/>
          <w:sz w:val="32"/>
          <w:szCs w:val="32"/>
          <w:lang w:val="en-US" w:eastAsia="zh-CN"/>
        </w:rPr>
        <w:t xml:space="preserve">                           </w:t>
      </w:r>
      <w:bookmarkStart w:id="0" w:name="_GoBack"/>
      <w:bookmarkEnd w:id="0"/>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202</w:t>
      </w:r>
      <w:r>
        <w:rPr>
          <w:rFonts w:hint="eastAsia" w:ascii="仿宋_GB2312" w:eastAsia="仿宋_GB2312"/>
          <w:sz w:val="32"/>
          <w:szCs w:val="32"/>
          <w:lang w:val="en-US" w:eastAsia="zh-CN"/>
        </w:rPr>
        <w:t>6</w:t>
      </w:r>
      <w:r>
        <w:rPr>
          <w:rFonts w:hint="eastAsia" w:ascii="仿宋_GB2312" w:eastAsia="仿宋_GB2312"/>
          <w:sz w:val="32"/>
          <w:szCs w:val="32"/>
          <w:lang w:eastAsia="zh-CN"/>
        </w:rPr>
        <w:t>年</w:t>
      </w:r>
      <w:r>
        <w:rPr>
          <w:rFonts w:hint="eastAsia" w:ascii="仿宋_GB2312" w:eastAsia="仿宋_GB2312"/>
          <w:sz w:val="32"/>
          <w:szCs w:val="32"/>
          <w:lang w:val="en-US" w:eastAsia="zh-CN"/>
        </w:rPr>
        <w:t>4</w:t>
      </w:r>
      <w:r>
        <w:rPr>
          <w:rFonts w:hint="eastAsia" w:ascii="仿宋_GB2312" w:eastAsia="仿宋_GB2312"/>
          <w:sz w:val="32"/>
          <w:szCs w:val="32"/>
          <w:lang w:eastAsia="zh-CN"/>
        </w:rPr>
        <w:t>月</w:t>
      </w:r>
      <w:r>
        <w:rPr>
          <w:rFonts w:hint="eastAsia" w:ascii="仿宋_GB2312" w:eastAsia="仿宋_GB2312"/>
          <w:sz w:val="32"/>
          <w:szCs w:val="32"/>
          <w:lang w:val="en-US" w:eastAsia="zh-CN"/>
        </w:rPr>
        <w:t>28</w:t>
      </w:r>
      <w:r>
        <w:rPr>
          <w:rFonts w:hint="eastAsia" w:ascii="仿宋_GB2312" w:eastAsia="仿宋_GB2312"/>
          <w:sz w:val="32"/>
          <w:szCs w:val="32"/>
          <w:lang w:eastAsia="zh-CN"/>
        </w:rPr>
        <w:t>日</w:t>
      </w:r>
      <w:r>
        <w:rPr>
          <w:rFonts w:hint="eastAsia" w:ascii="仿宋_GB2312" w:eastAsia="仿宋_GB2312"/>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60" w:lineRule="exact"/>
        <w:ind w:left="6660" w:leftChars="200" w:right="0" w:rightChars="0" w:hanging="6240" w:hangingChars="1950"/>
        <w:jc w:val="left"/>
        <w:textAlignment w:val="auto"/>
        <w:rPr>
          <w:rFonts w:ascii="仿宋_GB2312" w:eastAsia="仿宋_GB2312"/>
          <w:sz w:val="32"/>
          <w:szCs w:val="32"/>
        </w:rPr>
      </w:pPr>
      <w:r>
        <w:rPr>
          <w:rFonts w:hint="eastAsia" w:ascii="仿宋_GB2312" w:eastAsia="仿宋_GB2312"/>
          <w:sz w:val="32"/>
          <w:szCs w:val="32"/>
        </w:rPr>
        <w:t xml:space="preserve">                  </w:t>
      </w:r>
    </w:p>
    <w:p>
      <w:pPr>
        <w:keepNext w:val="0"/>
        <w:keepLines w:val="0"/>
        <w:pageBreakBefore w:val="0"/>
        <w:widowControl w:val="0"/>
        <w:kinsoku/>
        <w:overflowPunct/>
        <w:topLinePunct w:val="0"/>
        <w:autoSpaceDE/>
        <w:autoSpaceDN/>
        <w:bidi w:val="0"/>
        <w:adjustRightInd/>
        <w:snapToGrid/>
        <w:spacing w:line="560" w:lineRule="exact"/>
        <w:ind w:left="6660" w:leftChars="200" w:right="0" w:rightChars="0" w:hanging="6240" w:hangingChars="1950"/>
        <w:jc w:val="left"/>
        <w:textAlignment w:val="auto"/>
        <w:rPr>
          <w:rFonts w:ascii="仿宋_GB2312" w:eastAsia="仿宋_GB2312"/>
          <w:sz w:val="32"/>
          <w:szCs w:val="32"/>
        </w:rPr>
      </w:pPr>
      <w:r>
        <w:rPr>
          <w:rFonts w:hint="eastAsia" w:ascii="仿宋_GB2312" w:eastAsia="仿宋_GB2312"/>
          <w:sz w:val="32"/>
          <w:szCs w:val="32"/>
        </w:rPr>
        <w:t xml:space="preserve">                           </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CESI黑体-GB2312">
    <w:altName w:val="黑体"/>
    <w:panose1 w:val="00000000000000000000"/>
    <w:charset w:val="86"/>
    <w:family w:val="auto"/>
    <w:pitch w:val="default"/>
    <w:sig w:usb0="00000000" w:usb1="00000000" w:usb2="00000012"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Calibri Light">
    <w:altName w:val="Calibri"/>
    <w:panose1 w:val="020F0302020204030204"/>
    <w:charset w:val="00"/>
    <w:family w:val="swiss"/>
    <w:pitch w:val="default"/>
    <w:sig w:usb0="00000000" w:usb1="00000000" w:usb2="00000000" w:usb3="00000000" w:csb0="2000019F"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1BFC1"/>
    <w:multiLevelType w:val="singleLevel"/>
    <w:tmpl w:val="69F1BFC1"/>
    <w:lvl w:ilvl="0" w:tentative="0">
      <w:start w:val="2"/>
      <w:numFmt w:val="decimal"/>
      <w:suff w:val="nothing"/>
      <w:lvlText w:val="（%1）"/>
      <w:lvlJc w:val="left"/>
    </w:lvl>
  </w:abstractNum>
  <w:abstractNum w:abstractNumId="1">
    <w:nsid w:val="69F1C002"/>
    <w:multiLevelType w:val="singleLevel"/>
    <w:tmpl w:val="69F1C002"/>
    <w:lvl w:ilvl="0" w:tentative="0">
      <w:start w:val="4"/>
      <w:numFmt w:val="decimal"/>
      <w:suff w:val="nothing"/>
      <w:lvlText w:val="%1."/>
      <w:lvlJc w:val="left"/>
    </w:lvl>
  </w:abstractNum>
  <w:abstractNum w:abstractNumId="2">
    <w:nsid w:val="69F1C033"/>
    <w:multiLevelType w:val="singleLevel"/>
    <w:tmpl w:val="69F1C033"/>
    <w:lvl w:ilvl="0" w:tentative="0">
      <w:start w:val="5"/>
      <w:numFmt w:val="chineseCounting"/>
      <w:suff w:val="nothing"/>
      <w:lvlText w:val="%1、"/>
      <w:lvlJc w:val="left"/>
    </w:lvl>
  </w:abstractNum>
  <w:abstractNum w:abstractNumId="3">
    <w:nsid w:val="69F2DF7D"/>
    <w:multiLevelType w:val="singleLevel"/>
    <w:tmpl w:val="69F2DF7D"/>
    <w:lvl w:ilvl="0" w:tentative="0">
      <w:start w:val="2"/>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02537311"/>
    <w:rsid w:val="0F8469B2"/>
    <w:rsid w:val="148D4CC3"/>
    <w:rsid w:val="18C82AE6"/>
    <w:rsid w:val="2088258C"/>
    <w:rsid w:val="276C76A7"/>
    <w:rsid w:val="287C7C56"/>
    <w:rsid w:val="39712376"/>
    <w:rsid w:val="3E7C54C9"/>
    <w:rsid w:val="4019504F"/>
    <w:rsid w:val="4A8A3389"/>
    <w:rsid w:val="5B997924"/>
    <w:rsid w:val="5BEB3BA9"/>
    <w:rsid w:val="5FD61130"/>
    <w:rsid w:val="609C0671"/>
    <w:rsid w:val="63835A06"/>
    <w:rsid w:val="65A50A9E"/>
    <w:rsid w:val="6EE31093"/>
    <w:rsid w:val="72704DED"/>
    <w:rsid w:val="755F0177"/>
    <w:rsid w:val="7C513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420"/>
    </w:pPr>
    <w:rPr>
      <w:rFonts w:ascii="Times New Roman" w:hAnsi="Times New Roman" w:eastAsia="宋体" w:cs="Times New Roman"/>
      <w:szCs w:val="20"/>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index 9"/>
    <w:basedOn w:val="1"/>
    <w:next w:val="1"/>
    <w:unhideWhenUsed/>
    <w:uiPriority w:val="99"/>
    <w:pPr>
      <w:spacing w:beforeLines="0" w:afterLines="0"/>
      <w:ind w:left="1600" w:leftChars="1600"/>
    </w:pPr>
    <w:rPr>
      <w:rFonts w:hint="eastAsia"/>
      <w:sz w:val="28"/>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135</Words>
  <Characters>774</Characters>
  <Lines>6</Lines>
  <Paragraphs>1</Paragraphs>
  <ScaleCrop>false</ScaleCrop>
  <LinksUpToDate>false</LinksUpToDate>
  <CharactersWithSpaces>908</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2026-04-24T06:59:00Z</dcterms:created>
  <dc:creator>井文胜</dc:creator>
  <cp:lastModifiedBy>123</cp:lastModifiedBy>
  <dcterms:modified xsi:type="dcterms:W3CDTF">2026-04-30T04:51:06Z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