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1E5535">
      <w:pPr>
        <w:jc w:val="center"/>
        <w:rPr>
          <w:rFonts w:ascii="仿宋_GB2312" w:eastAsia="仿宋_GB2312"/>
          <w:b/>
          <w:sz w:val="32"/>
          <w:szCs w:val="32"/>
        </w:rPr>
      </w:pPr>
    </w:p>
    <w:p w14:paraId="688E6B87">
      <w:pPr>
        <w:jc w:val="center"/>
        <w:rPr>
          <w:rFonts w:ascii="黑体" w:eastAsia="黑体"/>
          <w:sz w:val="72"/>
          <w:szCs w:val="72"/>
        </w:rPr>
      </w:pPr>
    </w:p>
    <w:p w14:paraId="6121DA02">
      <w:pPr>
        <w:jc w:val="center"/>
        <w:rPr>
          <w:rFonts w:ascii="黑体" w:eastAsia="黑体"/>
          <w:sz w:val="72"/>
          <w:szCs w:val="72"/>
        </w:rPr>
      </w:pPr>
    </w:p>
    <w:p w14:paraId="618B7AC8">
      <w:pPr>
        <w:jc w:val="center"/>
        <w:rPr>
          <w:rFonts w:ascii="黑体" w:eastAsia="黑体"/>
          <w:sz w:val="72"/>
          <w:szCs w:val="72"/>
        </w:rPr>
      </w:pPr>
    </w:p>
    <w:p w14:paraId="5177865A">
      <w:pPr>
        <w:jc w:val="center"/>
        <w:rPr>
          <w:rFonts w:ascii="黑体" w:eastAsia="黑体"/>
          <w:sz w:val="72"/>
          <w:szCs w:val="72"/>
        </w:rPr>
      </w:pPr>
    </w:p>
    <w:p w14:paraId="1D9FAB03">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14:paraId="28352FBD">
      <w:pPr>
        <w:jc w:val="center"/>
        <w:rPr>
          <w:rFonts w:ascii="黑体" w:eastAsia="黑体"/>
          <w:sz w:val="52"/>
          <w:szCs w:val="52"/>
        </w:rPr>
      </w:pPr>
    </w:p>
    <w:p w14:paraId="7B8CA1B3">
      <w:pPr>
        <w:jc w:val="center"/>
        <w:rPr>
          <w:rFonts w:ascii="黑体" w:eastAsia="黑体"/>
          <w:sz w:val="52"/>
          <w:szCs w:val="52"/>
        </w:rPr>
      </w:pPr>
    </w:p>
    <w:p w14:paraId="2FE6C95D">
      <w:pPr>
        <w:jc w:val="center"/>
        <w:rPr>
          <w:rFonts w:ascii="黑体" w:eastAsia="黑体"/>
          <w:sz w:val="52"/>
          <w:szCs w:val="52"/>
        </w:rPr>
      </w:pPr>
    </w:p>
    <w:p w14:paraId="29BC62F1">
      <w:pPr>
        <w:jc w:val="center"/>
        <w:rPr>
          <w:rFonts w:ascii="黑体" w:eastAsia="黑体"/>
          <w:sz w:val="52"/>
          <w:szCs w:val="52"/>
        </w:rPr>
      </w:pPr>
    </w:p>
    <w:p w14:paraId="7F2DA02A">
      <w:pPr>
        <w:jc w:val="center"/>
        <w:rPr>
          <w:rFonts w:ascii="黑体" w:eastAsia="黑体"/>
          <w:sz w:val="32"/>
          <w:szCs w:val="32"/>
        </w:rPr>
      </w:pPr>
    </w:p>
    <w:p w14:paraId="48CFB91B">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26BB85FF">
      <w:pPr>
        <w:spacing w:line="500" w:lineRule="exact"/>
        <w:ind w:firstLine="645"/>
        <w:jc w:val="center"/>
        <w:rPr>
          <w:rFonts w:ascii="宋体" w:hAnsi="宋体" w:cs="宋体"/>
          <w:b/>
          <w:bCs/>
          <w:kern w:val="0"/>
          <w:sz w:val="36"/>
          <w:szCs w:val="36"/>
        </w:rPr>
      </w:pPr>
    </w:p>
    <w:p w14:paraId="6C0AFDB2">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14:paraId="5D281AA6">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7224A7EE">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79FA11BD">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0408D18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5741522C">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72EEC8F9">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69DEB7C6">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71DAA13F">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146E8EED">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0479665B">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1E2D35EB">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77BAEEDA">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14:paraId="2F6BD4A0">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5F1394A3">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14:paraId="5E507BC0">
      <w:pPr>
        <w:tabs>
          <w:tab w:val="center" w:pos="6979"/>
        </w:tabs>
        <w:spacing w:before="156" w:beforeLines="50" w:after="156" w:afterLines="50"/>
        <w:jc w:val="center"/>
        <w:rPr>
          <w:rFonts w:ascii="宋体" w:hAnsi="宋体" w:cs="宋体"/>
          <w:b/>
          <w:bCs/>
          <w:spacing w:val="40"/>
          <w:kern w:val="0"/>
          <w:sz w:val="32"/>
          <w:szCs w:val="32"/>
        </w:rPr>
      </w:pPr>
    </w:p>
    <w:p w14:paraId="49CFC28C">
      <w:pPr>
        <w:tabs>
          <w:tab w:val="center" w:pos="6979"/>
        </w:tabs>
        <w:spacing w:before="156" w:beforeLines="50" w:after="156" w:afterLines="50"/>
        <w:jc w:val="center"/>
        <w:rPr>
          <w:rFonts w:ascii="宋体" w:hAnsi="宋体" w:cs="宋体"/>
          <w:b/>
          <w:bCs/>
          <w:spacing w:val="40"/>
          <w:kern w:val="0"/>
          <w:sz w:val="32"/>
          <w:szCs w:val="32"/>
        </w:rPr>
      </w:pPr>
    </w:p>
    <w:p w14:paraId="4FC399AB">
      <w:pPr>
        <w:tabs>
          <w:tab w:val="center" w:pos="6979"/>
        </w:tabs>
        <w:spacing w:before="156" w:beforeLines="50" w:after="156" w:afterLines="50"/>
        <w:jc w:val="center"/>
        <w:rPr>
          <w:rFonts w:ascii="宋体" w:hAnsi="宋体" w:cs="宋体"/>
          <w:b/>
          <w:bCs/>
          <w:spacing w:val="40"/>
          <w:kern w:val="0"/>
          <w:sz w:val="32"/>
          <w:szCs w:val="32"/>
        </w:rPr>
      </w:pPr>
    </w:p>
    <w:p w14:paraId="2FBAAF56">
      <w:pPr>
        <w:tabs>
          <w:tab w:val="center" w:pos="6979"/>
        </w:tabs>
        <w:spacing w:before="156" w:beforeLines="50" w:after="156" w:afterLines="50"/>
        <w:jc w:val="center"/>
        <w:rPr>
          <w:rFonts w:ascii="宋体" w:hAnsi="宋体" w:cs="宋体"/>
          <w:b/>
          <w:bCs/>
          <w:spacing w:val="40"/>
          <w:kern w:val="0"/>
          <w:sz w:val="32"/>
          <w:szCs w:val="32"/>
        </w:rPr>
      </w:pPr>
    </w:p>
    <w:p w14:paraId="352CFEB0">
      <w:pPr>
        <w:tabs>
          <w:tab w:val="center" w:pos="6979"/>
        </w:tabs>
        <w:spacing w:before="156" w:beforeLines="50" w:after="156" w:afterLines="50"/>
        <w:jc w:val="center"/>
        <w:rPr>
          <w:rFonts w:ascii="宋体" w:hAnsi="宋体" w:cs="宋体"/>
          <w:b/>
          <w:bCs/>
          <w:spacing w:val="40"/>
          <w:kern w:val="0"/>
          <w:sz w:val="32"/>
          <w:szCs w:val="32"/>
        </w:rPr>
      </w:pPr>
    </w:p>
    <w:p w14:paraId="3CFF0A59">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14:paraId="3ED8F280">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07C171FD">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14:paraId="006D828E">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14:paraId="0B94EC25">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14:paraId="73C0EBCE">
      <w:pPr>
        <w:tabs>
          <w:tab w:val="center" w:pos="6979"/>
        </w:tabs>
        <w:spacing w:line="580" w:lineRule="exact"/>
        <w:ind w:firstLine="57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门头沟区政务服务管理局部门职责：负责统筹推进本区简政放权、放管结合、优化服务改革和行政审批制度改革工作，负责协调推进本区政务服务体系建设，负责本区“互联网＋政务服务”工作，统筹规划政务服务“一张网”建设，负责推进、指导、协调、监督本区政府信息公开和政务公开工作等。</w:t>
      </w:r>
    </w:p>
    <w:p w14:paraId="307AE743">
      <w:pPr>
        <w:numPr>
          <w:ilvl w:val="0"/>
          <w:numId w:val="1"/>
        </w:num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14:paraId="69E39C78">
      <w:pPr>
        <w:tabs>
          <w:tab w:val="center" w:pos="6979"/>
        </w:tabs>
        <w:spacing w:line="580" w:lineRule="exact"/>
        <w:ind w:firstLine="570"/>
        <w:rPr>
          <w:rFonts w:hint="eastAsia" w:ascii="仿宋_GB2312" w:eastAsia="仿宋_GB2312"/>
          <w:b/>
          <w:sz w:val="32"/>
          <w:szCs w:val="32"/>
        </w:rPr>
      </w:pPr>
      <w:r>
        <w:rPr>
          <w:rFonts w:hint="eastAsia" w:ascii="仿宋_GB2312" w:hAnsi="Times New Roman" w:eastAsia="仿宋_GB2312" w:cs="Times New Roman"/>
          <w:sz w:val="28"/>
          <w:szCs w:val="28"/>
          <w:lang w:val="en-US" w:eastAsia="zh-CN"/>
        </w:rPr>
        <w:t>门头沟区政务服务管理局下设3个事业单位：门头沟区政务服务中心、门头沟区公共资源交易中心及门头沟区政府采购中心。</w:t>
      </w:r>
    </w:p>
    <w:p w14:paraId="0B1FD66B">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16461E6D">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111</w:t>
      </w:r>
      <w:r>
        <w:rPr>
          <w:rFonts w:hint="eastAsia" w:ascii="仿宋_GB2312" w:eastAsia="仿宋_GB2312"/>
          <w:sz w:val="28"/>
          <w:szCs w:val="28"/>
          <w:lang w:val="en-US" w:eastAsia="zh-CN"/>
        </w:rPr>
        <w:t>,</w:t>
      </w:r>
      <w:r>
        <w:rPr>
          <w:rFonts w:ascii="仿宋_GB2312" w:eastAsia="仿宋_GB2312"/>
          <w:sz w:val="28"/>
          <w:szCs w:val="28"/>
        </w:rPr>
        <w:t>562</w:t>
      </w:r>
      <w:r>
        <w:rPr>
          <w:rFonts w:hint="eastAsia" w:ascii="仿宋_GB2312" w:eastAsia="仿宋_GB2312"/>
          <w:sz w:val="28"/>
          <w:szCs w:val="28"/>
          <w:lang w:val="en-US" w:eastAsia="zh-CN"/>
        </w:rPr>
        <w:t>,</w:t>
      </w:r>
      <w:r>
        <w:rPr>
          <w:rFonts w:ascii="仿宋_GB2312" w:eastAsia="仿宋_GB2312"/>
          <w:sz w:val="28"/>
          <w:szCs w:val="28"/>
        </w:rPr>
        <w:t>942.87</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80,169,242.06</w:t>
      </w:r>
      <w:r>
        <w:rPr>
          <w:rFonts w:hint="eastAsia" w:ascii="仿宋_GB2312" w:eastAsia="仿宋_GB2312"/>
          <w:sz w:val="28"/>
          <w:szCs w:val="28"/>
        </w:rPr>
        <w:t>元，增长</w:t>
      </w:r>
      <w:r>
        <w:rPr>
          <w:rFonts w:hint="eastAsia" w:ascii="仿宋_GB2312" w:eastAsia="仿宋_GB2312"/>
          <w:sz w:val="28"/>
          <w:szCs w:val="28"/>
          <w:lang w:val="en-US" w:eastAsia="zh-CN"/>
        </w:rPr>
        <w:t>255.4</w:t>
      </w:r>
      <w:r>
        <w:rPr>
          <w:rFonts w:hint="eastAsia" w:ascii="仿宋_GB2312" w:eastAsia="仿宋_GB2312"/>
          <w:sz w:val="28"/>
          <w:szCs w:val="28"/>
        </w:rPr>
        <w:t>%。</w:t>
      </w:r>
    </w:p>
    <w:p w14:paraId="7F6F5147">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7EF05145">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111</w:t>
      </w:r>
      <w:r>
        <w:rPr>
          <w:rFonts w:hint="eastAsia" w:ascii="仿宋_GB2312" w:eastAsia="仿宋_GB2312"/>
          <w:sz w:val="28"/>
          <w:szCs w:val="28"/>
          <w:lang w:val="en-US" w:eastAsia="zh-CN"/>
        </w:rPr>
        <w:t>,</w:t>
      </w:r>
      <w:r>
        <w:rPr>
          <w:rFonts w:ascii="仿宋_GB2312" w:eastAsia="仿宋_GB2312"/>
          <w:sz w:val="28"/>
          <w:szCs w:val="28"/>
        </w:rPr>
        <w:t>462</w:t>
      </w:r>
      <w:r>
        <w:rPr>
          <w:rFonts w:hint="eastAsia" w:ascii="仿宋_GB2312" w:eastAsia="仿宋_GB2312"/>
          <w:sz w:val="28"/>
          <w:szCs w:val="28"/>
          <w:lang w:val="en-US" w:eastAsia="zh-CN"/>
        </w:rPr>
        <w:t>,</w:t>
      </w:r>
      <w:r>
        <w:rPr>
          <w:rFonts w:ascii="仿宋_GB2312" w:eastAsia="仿宋_GB2312"/>
          <w:sz w:val="28"/>
          <w:szCs w:val="28"/>
        </w:rPr>
        <w:t>942.87</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85</w:t>
      </w:r>
      <w:r>
        <w:rPr>
          <w:rFonts w:hint="eastAsia" w:ascii="仿宋_GB2312" w:eastAsia="仿宋_GB2312"/>
          <w:sz w:val="28"/>
          <w:szCs w:val="28"/>
          <w:lang w:val="en-US" w:eastAsia="zh-CN"/>
        </w:rPr>
        <w:t>,</w:t>
      </w:r>
      <w:r>
        <w:rPr>
          <w:rFonts w:hint="eastAsia" w:ascii="仿宋_GB2312" w:eastAsia="仿宋_GB2312"/>
          <w:sz w:val="28"/>
          <w:szCs w:val="28"/>
        </w:rPr>
        <w:t>027</w:t>
      </w:r>
      <w:r>
        <w:rPr>
          <w:rFonts w:hint="eastAsia" w:ascii="仿宋_GB2312" w:eastAsia="仿宋_GB2312"/>
          <w:sz w:val="28"/>
          <w:szCs w:val="28"/>
          <w:lang w:val="en-US" w:eastAsia="zh-CN"/>
        </w:rPr>
        <w:t>,</w:t>
      </w:r>
      <w:r>
        <w:rPr>
          <w:rFonts w:hint="eastAsia" w:ascii="仿宋_GB2312" w:eastAsia="仿宋_GB2312"/>
          <w:sz w:val="28"/>
          <w:szCs w:val="28"/>
        </w:rPr>
        <w:t>283.51元，增长</w:t>
      </w:r>
      <w:r>
        <w:rPr>
          <w:rFonts w:hint="eastAsia" w:ascii="仿宋_GB2312" w:eastAsia="仿宋_GB2312"/>
          <w:sz w:val="28"/>
          <w:szCs w:val="28"/>
          <w:lang w:val="en-US" w:eastAsia="zh-CN"/>
        </w:rPr>
        <w:t>321.6</w:t>
      </w:r>
      <w:r>
        <w:rPr>
          <w:rFonts w:hint="eastAsia" w:ascii="仿宋_GB2312" w:eastAsia="仿宋_GB2312"/>
          <w:sz w:val="28"/>
          <w:szCs w:val="28"/>
        </w:rPr>
        <w:t>%。</w:t>
      </w:r>
    </w:p>
    <w:p w14:paraId="2B4198A6">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111</w:t>
      </w:r>
      <w:r>
        <w:rPr>
          <w:rFonts w:hint="eastAsia" w:ascii="仿宋_GB2312" w:eastAsia="仿宋_GB2312"/>
          <w:sz w:val="28"/>
          <w:szCs w:val="28"/>
          <w:lang w:val="en-US" w:eastAsia="zh-CN"/>
        </w:rPr>
        <w:t>,</w:t>
      </w:r>
      <w:r>
        <w:rPr>
          <w:rFonts w:ascii="仿宋_GB2312" w:eastAsia="仿宋_GB2312"/>
          <w:sz w:val="28"/>
          <w:szCs w:val="28"/>
        </w:rPr>
        <w:t>462</w:t>
      </w:r>
      <w:r>
        <w:rPr>
          <w:rFonts w:hint="eastAsia" w:ascii="仿宋_GB2312" w:eastAsia="仿宋_GB2312"/>
          <w:sz w:val="28"/>
          <w:szCs w:val="28"/>
          <w:lang w:val="en-US" w:eastAsia="zh-CN"/>
        </w:rPr>
        <w:t>,</w:t>
      </w:r>
      <w:r>
        <w:rPr>
          <w:rFonts w:ascii="仿宋_GB2312" w:eastAsia="仿宋_GB2312"/>
          <w:sz w:val="28"/>
          <w:szCs w:val="28"/>
        </w:rPr>
        <w:t>942.87</w:t>
      </w:r>
      <w:r>
        <w:rPr>
          <w:rFonts w:hint="eastAsia" w:ascii="仿宋_GB2312" w:eastAsia="仿宋_GB2312"/>
          <w:sz w:val="28"/>
          <w:szCs w:val="28"/>
        </w:rPr>
        <w:t>元，占收入合计的100%。其中：一般公共预算财政拨款收入</w:t>
      </w:r>
      <w:r>
        <w:rPr>
          <w:rFonts w:ascii="仿宋_GB2312" w:eastAsia="仿宋_GB2312"/>
          <w:sz w:val="28"/>
          <w:szCs w:val="28"/>
        </w:rPr>
        <w:t>111</w:t>
      </w:r>
      <w:r>
        <w:rPr>
          <w:rFonts w:hint="eastAsia" w:ascii="仿宋_GB2312" w:eastAsia="仿宋_GB2312"/>
          <w:sz w:val="28"/>
          <w:szCs w:val="28"/>
          <w:lang w:val="en-US" w:eastAsia="zh-CN"/>
        </w:rPr>
        <w:t>,</w:t>
      </w:r>
      <w:r>
        <w:rPr>
          <w:rFonts w:ascii="仿宋_GB2312" w:eastAsia="仿宋_GB2312"/>
          <w:sz w:val="28"/>
          <w:szCs w:val="28"/>
        </w:rPr>
        <w:t>462</w:t>
      </w:r>
      <w:r>
        <w:rPr>
          <w:rFonts w:hint="eastAsia" w:ascii="仿宋_GB2312" w:eastAsia="仿宋_GB2312"/>
          <w:sz w:val="28"/>
          <w:szCs w:val="28"/>
          <w:lang w:val="en-US" w:eastAsia="zh-CN"/>
        </w:rPr>
        <w:t>,</w:t>
      </w:r>
      <w:r>
        <w:rPr>
          <w:rFonts w:ascii="仿宋_GB2312" w:eastAsia="仿宋_GB2312"/>
          <w:sz w:val="28"/>
          <w:szCs w:val="28"/>
        </w:rPr>
        <w:t>942.87</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14:paraId="077523B8">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14:paraId="2225DEB1">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14:paraId="1A7AF594">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14:paraId="2B4421A6">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14:paraId="74EDC714">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14:paraId="066B162E">
      <w:pPr>
        <w:pStyle w:val="2"/>
        <w:jc w:val="center"/>
      </w:pPr>
      <w:r>
        <w:rPr>
          <w:rFonts w:hint="eastAsia" w:ascii="仿宋_GB2312" w:eastAsia="仿宋_GB2312"/>
          <w:color w:val="000000"/>
          <w:sz w:val="32"/>
        </w:rPr>
        <w:t>图1：收入决算</w:t>
      </w:r>
    </w:p>
    <w:p w14:paraId="5F88A68C">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9AB774B">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3D68980C">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111</w:t>
      </w:r>
      <w:r>
        <w:rPr>
          <w:rFonts w:hint="eastAsia" w:ascii="仿宋_GB2312" w:eastAsia="仿宋_GB2312"/>
          <w:sz w:val="28"/>
          <w:szCs w:val="28"/>
          <w:lang w:val="en-US" w:eastAsia="zh-CN"/>
        </w:rPr>
        <w:t>,</w:t>
      </w:r>
      <w:r>
        <w:rPr>
          <w:rFonts w:ascii="仿宋_GB2312" w:eastAsia="仿宋_GB2312"/>
          <w:sz w:val="28"/>
          <w:szCs w:val="28"/>
        </w:rPr>
        <w:t>562</w:t>
      </w:r>
      <w:r>
        <w:rPr>
          <w:rFonts w:hint="eastAsia" w:ascii="仿宋_GB2312" w:eastAsia="仿宋_GB2312"/>
          <w:sz w:val="28"/>
          <w:szCs w:val="28"/>
          <w:lang w:val="en-US" w:eastAsia="zh-CN"/>
        </w:rPr>
        <w:t>,</w:t>
      </w:r>
      <w:r>
        <w:rPr>
          <w:rFonts w:ascii="仿宋_GB2312" w:eastAsia="仿宋_GB2312"/>
          <w:sz w:val="28"/>
          <w:szCs w:val="28"/>
        </w:rPr>
        <w:t>942.87</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80,169,242.06</w:t>
      </w:r>
      <w:r>
        <w:rPr>
          <w:rFonts w:hint="eastAsia" w:ascii="仿宋_GB2312" w:eastAsia="仿宋_GB2312"/>
          <w:sz w:val="28"/>
          <w:szCs w:val="28"/>
        </w:rPr>
        <w:t>元，增长</w:t>
      </w:r>
      <w:r>
        <w:rPr>
          <w:rFonts w:hint="eastAsia" w:ascii="仿宋_GB2312" w:eastAsia="仿宋_GB2312"/>
          <w:sz w:val="28"/>
          <w:szCs w:val="28"/>
          <w:lang w:val="en-US" w:eastAsia="zh-CN"/>
        </w:rPr>
        <w:t>255.4</w:t>
      </w:r>
      <w:r>
        <w:rPr>
          <w:rFonts w:hint="eastAsia" w:ascii="仿宋_GB2312" w:eastAsia="仿宋_GB2312"/>
          <w:sz w:val="28"/>
          <w:szCs w:val="28"/>
        </w:rPr>
        <w:t>%，其中：基本支出</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682</w:t>
      </w:r>
      <w:r>
        <w:rPr>
          <w:rFonts w:hint="eastAsia" w:ascii="仿宋_GB2312" w:eastAsia="仿宋_GB2312"/>
          <w:sz w:val="28"/>
          <w:szCs w:val="28"/>
          <w:lang w:val="en-US" w:eastAsia="zh-CN"/>
        </w:rPr>
        <w:t>,</w:t>
      </w:r>
      <w:r>
        <w:rPr>
          <w:rFonts w:ascii="仿宋_GB2312" w:eastAsia="仿宋_GB2312"/>
          <w:sz w:val="28"/>
          <w:szCs w:val="28"/>
        </w:rPr>
        <w:t>872.09</w:t>
      </w:r>
      <w:r>
        <w:rPr>
          <w:rFonts w:hint="eastAsia" w:ascii="仿宋_GB2312" w:eastAsia="仿宋_GB2312"/>
          <w:sz w:val="28"/>
          <w:szCs w:val="28"/>
        </w:rPr>
        <w:t>元，占支出合计的7.8%；项目支出</w:t>
      </w:r>
      <w:r>
        <w:rPr>
          <w:rFonts w:ascii="仿宋_GB2312" w:eastAsia="仿宋_GB2312"/>
          <w:sz w:val="28"/>
          <w:szCs w:val="28"/>
        </w:rPr>
        <w:t>102</w:t>
      </w:r>
      <w:r>
        <w:rPr>
          <w:rFonts w:hint="eastAsia" w:ascii="仿宋_GB2312" w:eastAsia="仿宋_GB2312"/>
          <w:sz w:val="28"/>
          <w:szCs w:val="28"/>
          <w:lang w:val="en-US" w:eastAsia="zh-CN"/>
        </w:rPr>
        <w:t>,</w:t>
      </w:r>
      <w:r>
        <w:rPr>
          <w:rFonts w:ascii="仿宋_GB2312" w:eastAsia="仿宋_GB2312"/>
          <w:sz w:val="28"/>
          <w:szCs w:val="28"/>
        </w:rPr>
        <w:t>880</w:t>
      </w:r>
      <w:r>
        <w:rPr>
          <w:rFonts w:hint="eastAsia" w:ascii="仿宋_GB2312" w:eastAsia="仿宋_GB2312"/>
          <w:sz w:val="28"/>
          <w:szCs w:val="28"/>
          <w:lang w:val="en-US" w:eastAsia="zh-CN"/>
        </w:rPr>
        <w:t>,</w:t>
      </w:r>
      <w:r>
        <w:rPr>
          <w:rFonts w:ascii="仿宋_GB2312" w:eastAsia="仿宋_GB2312"/>
          <w:sz w:val="28"/>
          <w:szCs w:val="28"/>
        </w:rPr>
        <w:t>070.78</w:t>
      </w:r>
      <w:r>
        <w:rPr>
          <w:rFonts w:hint="eastAsia" w:ascii="仿宋_GB2312" w:eastAsia="仿宋_GB2312"/>
          <w:sz w:val="28"/>
          <w:szCs w:val="28"/>
        </w:rPr>
        <w:t>元，占支出合计的92.2%;上缴上级支出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14:paraId="4D1EF3F8">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14:paraId="433A4516">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8C3C427">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32094040">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111</w:t>
      </w:r>
      <w:r>
        <w:rPr>
          <w:rFonts w:hint="eastAsia" w:ascii="仿宋_GB2312" w:eastAsia="仿宋_GB2312"/>
          <w:sz w:val="28"/>
          <w:szCs w:val="28"/>
          <w:lang w:val="en-US" w:eastAsia="zh-CN"/>
        </w:rPr>
        <w:t>,</w:t>
      </w:r>
      <w:r>
        <w:rPr>
          <w:rFonts w:ascii="仿宋_GB2312" w:eastAsia="仿宋_GB2312"/>
          <w:sz w:val="28"/>
          <w:szCs w:val="28"/>
        </w:rPr>
        <w:t>562</w:t>
      </w:r>
      <w:r>
        <w:rPr>
          <w:rFonts w:hint="eastAsia" w:ascii="仿宋_GB2312" w:eastAsia="仿宋_GB2312"/>
          <w:sz w:val="28"/>
          <w:szCs w:val="28"/>
          <w:lang w:val="en-US" w:eastAsia="zh-CN"/>
        </w:rPr>
        <w:t>,</w:t>
      </w:r>
      <w:r>
        <w:rPr>
          <w:rFonts w:ascii="仿宋_GB2312" w:eastAsia="仿宋_GB2312"/>
          <w:sz w:val="28"/>
          <w:szCs w:val="28"/>
        </w:rPr>
        <w:t>942.87</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80,169,242.06</w:t>
      </w:r>
      <w:r>
        <w:rPr>
          <w:rFonts w:hint="eastAsia" w:ascii="仿宋_GB2312" w:eastAsia="仿宋_GB2312"/>
          <w:sz w:val="28"/>
          <w:szCs w:val="28"/>
        </w:rPr>
        <w:t>元，增长</w:t>
      </w:r>
      <w:r>
        <w:rPr>
          <w:rFonts w:hint="eastAsia" w:ascii="仿宋_GB2312" w:eastAsia="仿宋_GB2312"/>
          <w:sz w:val="28"/>
          <w:szCs w:val="28"/>
          <w:lang w:val="en-US" w:eastAsia="zh-CN"/>
        </w:rPr>
        <w:t>255.4</w:t>
      </w:r>
      <w:r>
        <w:rPr>
          <w:rFonts w:hint="eastAsia" w:ascii="仿宋_GB2312" w:eastAsia="仿宋_GB2312"/>
          <w:sz w:val="28"/>
          <w:szCs w:val="28"/>
        </w:rPr>
        <w:t>%。主要原因：</w:t>
      </w:r>
      <w:r>
        <w:rPr>
          <w:rFonts w:hint="eastAsia" w:ascii="仿宋_GB2312" w:eastAsia="仿宋_GB2312"/>
          <w:sz w:val="28"/>
          <w:szCs w:val="28"/>
          <w:lang w:val="en-US" w:eastAsia="zh-CN"/>
        </w:rPr>
        <w:t>2025年</w:t>
      </w:r>
      <w:r>
        <w:rPr>
          <w:rFonts w:hint="eastAsia" w:ascii="仿宋_GB2312" w:eastAsia="仿宋_GB2312"/>
          <w:color w:val="000000"/>
          <w:sz w:val="28"/>
          <w:szCs w:val="28"/>
          <w:lang w:eastAsia="zh-CN"/>
        </w:rPr>
        <w:t>门头沟区政务服务业务用房装修、信息化及配套工程</w:t>
      </w:r>
      <w:r>
        <w:rPr>
          <w:rFonts w:hint="eastAsia" w:ascii="仿宋_GB2312" w:eastAsia="仿宋_GB2312"/>
          <w:sz w:val="28"/>
          <w:szCs w:val="28"/>
          <w:lang w:eastAsia="zh-CN"/>
        </w:rPr>
        <w:t>项目收支增加</w:t>
      </w:r>
      <w:r>
        <w:rPr>
          <w:rFonts w:hint="eastAsia" w:ascii="仿宋_GB2312" w:eastAsia="仿宋_GB2312"/>
          <w:sz w:val="28"/>
          <w:szCs w:val="28"/>
        </w:rPr>
        <w:t>。</w:t>
      </w:r>
    </w:p>
    <w:p w14:paraId="2ADE5808">
      <w:pPr>
        <w:tabs>
          <w:tab w:val="center" w:pos="6979"/>
        </w:tabs>
        <w:spacing w:line="580" w:lineRule="exact"/>
        <w:ind w:firstLine="570"/>
        <w:rPr>
          <w:rFonts w:ascii="仿宋_GB2312" w:eastAsia="仿宋_GB2312"/>
          <w:sz w:val="28"/>
          <w:szCs w:val="28"/>
        </w:rPr>
      </w:pPr>
    </w:p>
    <w:p w14:paraId="0D9F83C7">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14:paraId="57EDDEA8">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0D840BB3">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111</w:t>
      </w:r>
      <w:r>
        <w:rPr>
          <w:rFonts w:hint="eastAsia" w:ascii="仿宋_GB2312" w:eastAsia="仿宋_GB2312"/>
          <w:sz w:val="28"/>
          <w:szCs w:val="28"/>
          <w:lang w:val="en-US" w:eastAsia="zh-CN"/>
        </w:rPr>
        <w:t>,</w:t>
      </w:r>
      <w:r>
        <w:rPr>
          <w:rFonts w:ascii="仿宋_GB2312" w:eastAsia="仿宋_GB2312"/>
          <w:sz w:val="28"/>
          <w:szCs w:val="28"/>
        </w:rPr>
        <w:t>562</w:t>
      </w:r>
      <w:r>
        <w:rPr>
          <w:rFonts w:hint="eastAsia" w:ascii="仿宋_GB2312" w:eastAsia="仿宋_GB2312"/>
          <w:sz w:val="28"/>
          <w:szCs w:val="28"/>
          <w:lang w:val="en-US" w:eastAsia="zh-CN"/>
        </w:rPr>
        <w:t>,</w:t>
      </w:r>
      <w:r>
        <w:rPr>
          <w:rFonts w:ascii="仿宋_GB2312" w:eastAsia="仿宋_GB2312"/>
          <w:sz w:val="28"/>
          <w:szCs w:val="28"/>
        </w:rPr>
        <w:t>942.87</w:t>
      </w:r>
      <w:r>
        <w:rPr>
          <w:rFonts w:hint="eastAsia" w:ascii="仿宋_GB2312" w:eastAsia="仿宋_GB2312"/>
          <w:sz w:val="28"/>
          <w:szCs w:val="28"/>
        </w:rPr>
        <w:t>元，主要用于以下方面（按大类）：一般公共服务支出</w:t>
      </w:r>
      <w:r>
        <w:rPr>
          <w:rFonts w:hint="eastAsia" w:ascii="仿宋_GB2312" w:eastAsia="仿宋_GB2312"/>
          <w:sz w:val="28"/>
          <w:szCs w:val="28"/>
          <w:lang w:val="en-US" w:eastAsia="zh-CN"/>
        </w:rPr>
        <w:t>111,535,324.54</w:t>
      </w:r>
      <w:r>
        <w:rPr>
          <w:rFonts w:hint="eastAsia" w:ascii="仿宋_GB2312" w:eastAsia="仿宋_GB2312"/>
          <w:sz w:val="28"/>
          <w:szCs w:val="28"/>
        </w:rPr>
        <w:t>元，占本年财政拨款支出</w:t>
      </w:r>
      <w:r>
        <w:rPr>
          <w:rFonts w:hint="eastAsia" w:ascii="仿宋_GB2312" w:eastAsia="仿宋_GB2312"/>
          <w:sz w:val="28"/>
          <w:szCs w:val="28"/>
          <w:lang w:val="en-US" w:eastAsia="zh-CN"/>
        </w:rPr>
        <w:t>100.0</w:t>
      </w:r>
      <w:r>
        <w:rPr>
          <w:rFonts w:hint="eastAsia" w:ascii="仿宋_GB2312" w:eastAsia="仿宋_GB2312"/>
          <w:sz w:val="28"/>
          <w:szCs w:val="28"/>
        </w:rPr>
        <w:t>%；社会保障和就业支出</w:t>
      </w:r>
      <w:r>
        <w:rPr>
          <w:rFonts w:hint="eastAsia" w:ascii="仿宋_GB2312" w:eastAsia="仿宋_GB2312"/>
          <w:sz w:val="28"/>
          <w:szCs w:val="28"/>
          <w:lang w:val="en-US" w:eastAsia="zh-CN"/>
        </w:rPr>
        <w:t>21,078.33元，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0.0</w:t>
      </w:r>
      <w:r>
        <w:rPr>
          <w:rFonts w:hint="eastAsia" w:ascii="仿宋_GB2312" w:eastAsia="仿宋_GB2312"/>
          <w:sz w:val="28"/>
          <w:szCs w:val="28"/>
        </w:rPr>
        <w:t>%；</w:t>
      </w:r>
      <w:r>
        <w:rPr>
          <w:rFonts w:hint="eastAsia" w:ascii="仿宋_GB2312" w:eastAsia="仿宋_GB2312"/>
          <w:sz w:val="28"/>
          <w:szCs w:val="28"/>
          <w:lang w:eastAsia="zh-CN"/>
        </w:rPr>
        <w:t>资源勘探工业信息等支出</w:t>
      </w:r>
      <w:r>
        <w:rPr>
          <w:rFonts w:hint="eastAsia" w:ascii="仿宋_GB2312" w:eastAsia="仿宋_GB2312"/>
          <w:sz w:val="28"/>
          <w:szCs w:val="28"/>
          <w:lang w:val="en-US" w:eastAsia="zh-CN"/>
        </w:rPr>
        <w:t>6,540.00元，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0.0</w:t>
      </w:r>
      <w:r>
        <w:rPr>
          <w:rFonts w:hint="eastAsia" w:ascii="仿宋_GB2312" w:eastAsia="仿宋_GB2312"/>
          <w:sz w:val="28"/>
          <w:szCs w:val="28"/>
        </w:rPr>
        <w:t>%。</w:t>
      </w:r>
    </w:p>
    <w:p w14:paraId="15166405">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14:paraId="5A94D756">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1、“一般公共服务支出”（类）2025年度年初预算</w:t>
      </w:r>
      <w:r>
        <w:rPr>
          <w:rFonts w:hint="eastAsia" w:ascii="仿宋_GB2312" w:eastAsia="仿宋_GB2312"/>
          <w:sz w:val="28"/>
          <w:szCs w:val="28"/>
          <w:lang w:val="en-US" w:eastAsia="zh-CN"/>
        </w:rPr>
        <w:t>15,470,162.10</w:t>
      </w:r>
      <w:r>
        <w:rPr>
          <w:rFonts w:hint="eastAsia" w:ascii="仿宋_GB2312" w:eastAsia="仿宋_GB2312"/>
          <w:sz w:val="28"/>
          <w:szCs w:val="28"/>
        </w:rPr>
        <w:t>元，2025年度决算</w:t>
      </w:r>
      <w:r>
        <w:rPr>
          <w:rFonts w:hint="eastAsia" w:ascii="仿宋_GB2312" w:eastAsia="仿宋_GB2312"/>
          <w:sz w:val="28"/>
          <w:szCs w:val="28"/>
          <w:lang w:val="en-US" w:eastAsia="zh-CN"/>
        </w:rPr>
        <w:t>111,535,324.54</w:t>
      </w:r>
      <w:r>
        <w:rPr>
          <w:rFonts w:hint="eastAsia" w:ascii="仿宋_GB2312" w:eastAsia="仿宋_GB2312"/>
          <w:sz w:val="28"/>
          <w:szCs w:val="28"/>
        </w:rPr>
        <w:t>元，完成年初预算的</w:t>
      </w:r>
      <w:r>
        <w:rPr>
          <w:rFonts w:hint="eastAsia" w:ascii="仿宋_GB2312" w:eastAsia="仿宋_GB2312"/>
          <w:sz w:val="28"/>
          <w:szCs w:val="28"/>
          <w:lang w:val="en-US" w:eastAsia="zh-CN"/>
        </w:rPr>
        <w:t>721.0</w:t>
      </w:r>
      <w:r>
        <w:rPr>
          <w:rFonts w:hint="eastAsia" w:ascii="仿宋_GB2312" w:eastAsia="仿宋_GB2312"/>
          <w:sz w:val="28"/>
          <w:szCs w:val="28"/>
        </w:rPr>
        <w:t>%。其中：</w:t>
      </w:r>
    </w:p>
    <w:p w14:paraId="208AA3EA">
      <w:pPr>
        <w:spacing w:line="580" w:lineRule="exact"/>
        <w:ind w:firstLine="560" w:firstLineChars="200"/>
        <w:rPr>
          <w:rFonts w:ascii="仿宋_GB2312" w:eastAsia="仿宋_GB2312"/>
          <w:sz w:val="28"/>
          <w:szCs w:val="28"/>
        </w:rPr>
      </w:pPr>
      <w:r>
        <w:rPr>
          <w:rFonts w:hint="eastAsia" w:ascii="仿宋_GB2312" w:eastAsia="仿宋_GB2312"/>
          <w:sz w:val="28"/>
          <w:szCs w:val="28"/>
          <w:highlight w:val="none"/>
        </w:rPr>
        <w:t>“政府办公厅（室）及相关机构事务”（款）</w:t>
      </w:r>
      <w:r>
        <w:rPr>
          <w:rFonts w:hint="eastAsia" w:ascii="仿宋_GB2312" w:eastAsia="仿宋_GB2312"/>
          <w:sz w:val="28"/>
          <w:szCs w:val="28"/>
        </w:rPr>
        <w:t>2025年度年初预算</w:t>
      </w:r>
      <w:r>
        <w:rPr>
          <w:rFonts w:hint="eastAsia" w:ascii="仿宋_GB2312" w:eastAsia="仿宋_GB2312"/>
          <w:sz w:val="28"/>
          <w:szCs w:val="28"/>
          <w:lang w:val="en-US" w:eastAsia="zh-CN"/>
        </w:rPr>
        <w:t>11,965,378.15</w:t>
      </w:r>
      <w:r>
        <w:rPr>
          <w:rFonts w:hint="eastAsia" w:ascii="仿宋_GB2312" w:eastAsia="仿宋_GB2312"/>
          <w:sz w:val="28"/>
          <w:szCs w:val="28"/>
        </w:rPr>
        <w:t>元，2025年度决算</w:t>
      </w:r>
      <w:r>
        <w:rPr>
          <w:rFonts w:hint="eastAsia" w:ascii="仿宋_GB2312" w:eastAsia="仿宋_GB2312"/>
          <w:sz w:val="28"/>
          <w:szCs w:val="28"/>
          <w:lang w:val="en-US" w:eastAsia="zh-CN"/>
        </w:rPr>
        <w:t>109,132,655.81</w:t>
      </w:r>
      <w:r>
        <w:rPr>
          <w:rFonts w:hint="eastAsia" w:ascii="仿宋_GB2312" w:eastAsia="仿宋_GB2312"/>
          <w:sz w:val="28"/>
          <w:szCs w:val="28"/>
        </w:rPr>
        <w:t>元，完成年初预算的</w:t>
      </w:r>
      <w:r>
        <w:rPr>
          <w:rFonts w:hint="eastAsia" w:ascii="仿宋_GB2312" w:eastAsia="仿宋_GB2312"/>
          <w:sz w:val="28"/>
          <w:szCs w:val="28"/>
          <w:lang w:val="en-US" w:eastAsia="zh-CN"/>
        </w:rPr>
        <w:t>912.1</w:t>
      </w:r>
      <w:r>
        <w:rPr>
          <w:rFonts w:hint="eastAsia" w:ascii="仿宋_GB2312" w:eastAsia="仿宋_GB2312"/>
          <w:sz w:val="28"/>
          <w:szCs w:val="28"/>
        </w:rPr>
        <w:t>%。主要原因：</w:t>
      </w:r>
      <w:r>
        <w:rPr>
          <w:rFonts w:hint="eastAsia" w:ascii="仿宋_GB2312" w:eastAsia="仿宋_GB2312"/>
          <w:sz w:val="28"/>
          <w:szCs w:val="28"/>
          <w:lang w:val="en-US" w:eastAsia="zh-CN"/>
        </w:rPr>
        <w:t>2025年</w:t>
      </w:r>
      <w:r>
        <w:rPr>
          <w:rFonts w:hint="eastAsia" w:ascii="仿宋_GB2312" w:eastAsia="仿宋_GB2312"/>
          <w:color w:val="000000"/>
          <w:sz w:val="28"/>
          <w:szCs w:val="28"/>
          <w:lang w:eastAsia="zh-CN"/>
        </w:rPr>
        <w:t>门头沟区政务服务业务用房装修、信息化及配套工程</w:t>
      </w:r>
      <w:r>
        <w:rPr>
          <w:rFonts w:hint="eastAsia" w:ascii="仿宋_GB2312" w:eastAsia="仿宋_GB2312"/>
          <w:sz w:val="28"/>
          <w:szCs w:val="28"/>
          <w:lang w:eastAsia="zh-CN"/>
        </w:rPr>
        <w:t>项目</w:t>
      </w:r>
      <w:r>
        <w:rPr>
          <w:rFonts w:hint="eastAsia" w:ascii="仿宋_GB2312" w:eastAsia="仿宋_GB2312"/>
          <w:sz w:val="28"/>
          <w:szCs w:val="28"/>
        </w:rPr>
        <w:t>支出增加。</w:t>
      </w:r>
    </w:p>
    <w:p w14:paraId="26FBA0B5">
      <w:pPr>
        <w:spacing w:line="580" w:lineRule="exact"/>
        <w:ind w:firstLine="560" w:firstLineChars="200"/>
        <w:rPr>
          <w:rFonts w:hint="eastAsia" w:ascii="仿宋_GB2312" w:eastAsia="仿宋_GB2312"/>
          <w:sz w:val="28"/>
          <w:szCs w:val="28"/>
        </w:rPr>
      </w:pPr>
      <w:r>
        <w:rPr>
          <w:rFonts w:hint="eastAsia" w:ascii="仿宋_GB2312" w:eastAsia="仿宋_GB2312"/>
          <w:sz w:val="28"/>
          <w:szCs w:val="28"/>
          <w:highlight w:val="none"/>
        </w:rPr>
        <w:t>“发展与改革事务”（款）</w:t>
      </w:r>
      <w:r>
        <w:rPr>
          <w:rFonts w:hint="eastAsia" w:ascii="仿宋_GB2312" w:eastAsia="仿宋_GB2312"/>
          <w:sz w:val="28"/>
          <w:szCs w:val="28"/>
        </w:rPr>
        <w:t>2025年度年初预算</w:t>
      </w:r>
      <w:r>
        <w:rPr>
          <w:rFonts w:hint="eastAsia" w:ascii="仿宋_GB2312" w:eastAsia="仿宋_GB2312"/>
          <w:sz w:val="28"/>
          <w:szCs w:val="28"/>
          <w:lang w:val="en-US" w:eastAsia="zh-CN"/>
        </w:rPr>
        <w:t>800,883.95</w:t>
      </w:r>
      <w:r>
        <w:rPr>
          <w:rFonts w:hint="eastAsia" w:ascii="仿宋_GB2312" w:eastAsia="仿宋_GB2312"/>
          <w:sz w:val="28"/>
          <w:szCs w:val="28"/>
        </w:rPr>
        <w:t>元，2025年度决算</w:t>
      </w:r>
      <w:r>
        <w:rPr>
          <w:rFonts w:hint="eastAsia" w:ascii="仿宋_GB2312" w:eastAsia="仿宋_GB2312"/>
          <w:sz w:val="28"/>
          <w:szCs w:val="28"/>
          <w:lang w:val="en-US" w:eastAsia="zh-CN"/>
        </w:rPr>
        <w:t>933,793.73</w:t>
      </w:r>
      <w:r>
        <w:rPr>
          <w:rFonts w:hint="eastAsia" w:ascii="仿宋_GB2312" w:eastAsia="仿宋_GB2312"/>
          <w:sz w:val="28"/>
          <w:szCs w:val="28"/>
        </w:rPr>
        <w:t>元，完成年初预算的</w:t>
      </w:r>
      <w:r>
        <w:rPr>
          <w:rFonts w:hint="eastAsia" w:ascii="仿宋_GB2312" w:eastAsia="仿宋_GB2312"/>
          <w:sz w:val="28"/>
          <w:szCs w:val="28"/>
          <w:lang w:val="en-US" w:eastAsia="zh-CN"/>
        </w:rPr>
        <w:t>116.6</w:t>
      </w:r>
      <w:r>
        <w:rPr>
          <w:rFonts w:hint="eastAsia" w:ascii="仿宋_GB2312" w:eastAsia="仿宋_GB2312"/>
          <w:sz w:val="28"/>
          <w:szCs w:val="28"/>
        </w:rPr>
        <w:t>%。主要原因：</w:t>
      </w:r>
      <w:r>
        <w:rPr>
          <w:rFonts w:hint="eastAsia" w:ascii="仿宋_GB2312" w:eastAsia="仿宋_GB2312"/>
          <w:sz w:val="28"/>
          <w:szCs w:val="28"/>
          <w:highlight w:val="none"/>
          <w:lang w:eastAsia="zh-CN"/>
        </w:rPr>
        <w:t>人员工资保险增长</w:t>
      </w:r>
      <w:r>
        <w:rPr>
          <w:rFonts w:hint="eastAsia" w:ascii="仿宋_GB2312" w:eastAsia="仿宋_GB2312"/>
          <w:sz w:val="28"/>
          <w:szCs w:val="28"/>
        </w:rPr>
        <w:t>。</w:t>
      </w:r>
    </w:p>
    <w:p w14:paraId="25C540B6">
      <w:pPr>
        <w:spacing w:line="580" w:lineRule="exact"/>
        <w:ind w:firstLine="560" w:firstLineChars="200"/>
        <w:rPr>
          <w:rFonts w:hint="eastAsia" w:ascii="仿宋_GB2312" w:eastAsia="仿宋_GB2312"/>
          <w:sz w:val="28"/>
          <w:szCs w:val="28"/>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市场监督管理事务</w:t>
      </w:r>
      <w:r>
        <w:rPr>
          <w:rFonts w:hint="eastAsia" w:ascii="仿宋_GB2312" w:eastAsia="仿宋_GB2312"/>
          <w:sz w:val="28"/>
          <w:szCs w:val="28"/>
          <w:highlight w:val="none"/>
        </w:rPr>
        <w:t>”（款）</w:t>
      </w:r>
      <w:r>
        <w:rPr>
          <w:rFonts w:hint="eastAsia" w:ascii="仿宋_GB2312" w:eastAsia="仿宋_GB2312"/>
          <w:sz w:val="28"/>
          <w:szCs w:val="28"/>
        </w:rPr>
        <w:t>2025年度年初预算</w:t>
      </w:r>
      <w:r>
        <w:rPr>
          <w:rFonts w:hint="eastAsia" w:ascii="仿宋_GB2312" w:eastAsia="仿宋_GB2312"/>
          <w:sz w:val="28"/>
          <w:szCs w:val="28"/>
          <w:lang w:val="en-US" w:eastAsia="zh-CN"/>
        </w:rPr>
        <w:t>2,703,900.00</w:t>
      </w:r>
      <w:r>
        <w:rPr>
          <w:rFonts w:hint="eastAsia" w:ascii="仿宋_GB2312" w:eastAsia="仿宋_GB2312"/>
          <w:sz w:val="28"/>
          <w:szCs w:val="28"/>
        </w:rPr>
        <w:t>元，2025年度决算</w:t>
      </w:r>
      <w:r>
        <w:rPr>
          <w:rFonts w:hint="eastAsia" w:ascii="仿宋_GB2312" w:eastAsia="仿宋_GB2312"/>
          <w:sz w:val="28"/>
          <w:szCs w:val="28"/>
          <w:lang w:val="en-US" w:eastAsia="zh-CN"/>
        </w:rPr>
        <w:t>1,468,875.00</w:t>
      </w:r>
      <w:r>
        <w:rPr>
          <w:rFonts w:hint="eastAsia" w:ascii="仿宋_GB2312" w:eastAsia="仿宋_GB2312"/>
          <w:sz w:val="28"/>
          <w:szCs w:val="28"/>
        </w:rPr>
        <w:t>元，完成年初预算的</w:t>
      </w:r>
      <w:r>
        <w:rPr>
          <w:rFonts w:hint="eastAsia" w:ascii="仿宋_GB2312" w:eastAsia="仿宋_GB2312"/>
          <w:sz w:val="28"/>
          <w:szCs w:val="28"/>
          <w:lang w:val="en-US" w:eastAsia="zh-CN"/>
        </w:rPr>
        <w:t>54.3</w:t>
      </w:r>
      <w:r>
        <w:rPr>
          <w:rFonts w:hint="eastAsia" w:ascii="仿宋_GB2312" w:eastAsia="仿宋_GB2312"/>
          <w:sz w:val="28"/>
          <w:szCs w:val="28"/>
        </w:rPr>
        <w:t>%。主要原因：</w:t>
      </w:r>
      <w:r>
        <w:rPr>
          <w:rFonts w:hint="eastAsia" w:ascii="仿宋_GB2312" w:eastAsia="仿宋_GB2312"/>
          <w:sz w:val="28"/>
          <w:szCs w:val="28"/>
          <w:lang w:eastAsia="zh-CN"/>
        </w:rPr>
        <w:t>涉及政务服务中心新企业开办刻章补助项目，该项目</w:t>
      </w:r>
      <w:r>
        <w:rPr>
          <w:rFonts w:hint="eastAsia" w:ascii="仿宋_GB2312" w:eastAsia="仿宋_GB2312"/>
          <w:sz w:val="28"/>
          <w:szCs w:val="28"/>
          <w:lang w:val="en-US" w:eastAsia="zh-CN"/>
        </w:rPr>
        <w:t>2025年支出时先用的2024年结转资金，后用的2025年初预算资金，故只完成</w:t>
      </w:r>
      <w:r>
        <w:rPr>
          <w:rFonts w:hint="eastAsia" w:ascii="仿宋_GB2312" w:eastAsia="仿宋_GB2312"/>
          <w:sz w:val="28"/>
          <w:szCs w:val="28"/>
        </w:rPr>
        <w:t>年初预算的</w:t>
      </w:r>
      <w:r>
        <w:rPr>
          <w:rFonts w:hint="eastAsia" w:ascii="仿宋_GB2312" w:eastAsia="仿宋_GB2312"/>
          <w:sz w:val="28"/>
          <w:szCs w:val="28"/>
          <w:lang w:val="en-US" w:eastAsia="zh-CN"/>
        </w:rPr>
        <w:t>54.3</w:t>
      </w:r>
      <w:r>
        <w:rPr>
          <w:rFonts w:hint="eastAsia" w:ascii="仿宋_GB2312" w:eastAsia="仿宋_GB2312"/>
          <w:sz w:val="28"/>
          <w:szCs w:val="28"/>
        </w:rPr>
        <w:t>%。</w:t>
      </w:r>
    </w:p>
    <w:p w14:paraId="2D17145E">
      <w:pPr>
        <w:numPr>
          <w:ilvl w:val="0"/>
          <w:numId w:val="2"/>
        </w:num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“社会保障和就业支出”(类)2025年度年初预算</w:t>
      </w:r>
      <w:r>
        <w:rPr>
          <w:rFonts w:hint="eastAsia" w:ascii="仿宋_GB2312" w:eastAsia="仿宋_GB2312"/>
          <w:sz w:val="28"/>
          <w:szCs w:val="28"/>
          <w:lang w:val="en-US" w:eastAsia="zh-CN"/>
        </w:rPr>
        <w:t>19,750.00</w:t>
      </w:r>
      <w:r>
        <w:rPr>
          <w:rFonts w:hint="eastAsia" w:ascii="仿宋_GB2312" w:eastAsia="仿宋_GB2312"/>
          <w:sz w:val="28"/>
          <w:szCs w:val="28"/>
        </w:rPr>
        <w:t>元，2025年度决算</w:t>
      </w:r>
      <w:r>
        <w:rPr>
          <w:rFonts w:hint="eastAsia" w:ascii="仿宋_GB2312" w:eastAsia="仿宋_GB2312"/>
          <w:sz w:val="28"/>
          <w:szCs w:val="28"/>
          <w:lang w:val="en-US" w:eastAsia="zh-CN"/>
        </w:rPr>
        <w:t>21,078.33</w:t>
      </w:r>
      <w:r>
        <w:rPr>
          <w:rFonts w:hint="eastAsia" w:ascii="仿宋_GB2312" w:eastAsia="仿宋_GB2312"/>
          <w:sz w:val="28"/>
          <w:szCs w:val="28"/>
        </w:rPr>
        <w:t>元，完成年初预算的</w:t>
      </w:r>
      <w:r>
        <w:rPr>
          <w:rFonts w:hint="eastAsia" w:ascii="仿宋_GB2312" w:eastAsia="仿宋_GB2312"/>
          <w:sz w:val="28"/>
          <w:szCs w:val="28"/>
          <w:lang w:val="en-US" w:eastAsia="zh-CN"/>
        </w:rPr>
        <w:t>106.7</w:t>
      </w:r>
      <w:r>
        <w:rPr>
          <w:rFonts w:hint="eastAsia" w:ascii="仿宋_GB2312" w:eastAsia="仿宋_GB2312"/>
          <w:sz w:val="28"/>
          <w:szCs w:val="28"/>
        </w:rPr>
        <w:t>%。</w:t>
      </w:r>
      <w:r>
        <w:rPr>
          <w:rFonts w:hint="eastAsia" w:ascii="仿宋_GB2312" w:eastAsia="仿宋_GB2312"/>
          <w:sz w:val="28"/>
          <w:szCs w:val="28"/>
          <w:lang w:eastAsia="zh-CN"/>
        </w:rPr>
        <w:t>其中：</w:t>
      </w:r>
    </w:p>
    <w:p w14:paraId="450B8123">
      <w:pPr>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rPr>
        <w:t>“行政事业单位养老支出”（款）2025年度年初预算</w:t>
      </w:r>
      <w:r>
        <w:rPr>
          <w:rFonts w:hint="eastAsia" w:ascii="仿宋_GB2312" w:eastAsia="仿宋_GB2312"/>
          <w:sz w:val="28"/>
          <w:szCs w:val="28"/>
          <w:lang w:val="en-US" w:eastAsia="zh-CN"/>
        </w:rPr>
        <w:t>19,750.00</w:t>
      </w:r>
      <w:r>
        <w:rPr>
          <w:rFonts w:hint="eastAsia" w:ascii="仿宋_GB2312" w:eastAsia="仿宋_GB2312"/>
          <w:sz w:val="28"/>
          <w:szCs w:val="28"/>
        </w:rPr>
        <w:t>元，2025年度决算</w:t>
      </w:r>
      <w:r>
        <w:rPr>
          <w:rFonts w:hint="eastAsia" w:ascii="仿宋_GB2312" w:eastAsia="仿宋_GB2312"/>
          <w:sz w:val="28"/>
          <w:szCs w:val="28"/>
          <w:lang w:val="en-US" w:eastAsia="zh-CN"/>
        </w:rPr>
        <w:t>21,078.33</w:t>
      </w:r>
      <w:r>
        <w:rPr>
          <w:rFonts w:hint="eastAsia" w:ascii="仿宋_GB2312" w:eastAsia="仿宋_GB2312"/>
          <w:sz w:val="28"/>
          <w:szCs w:val="28"/>
        </w:rPr>
        <w:t>元，完成年初预算的</w:t>
      </w:r>
      <w:r>
        <w:rPr>
          <w:rFonts w:hint="eastAsia" w:ascii="仿宋_GB2312" w:eastAsia="仿宋_GB2312"/>
          <w:sz w:val="28"/>
          <w:szCs w:val="28"/>
          <w:lang w:val="en-US" w:eastAsia="zh-CN"/>
        </w:rPr>
        <w:t>106.7</w:t>
      </w:r>
      <w:r>
        <w:rPr>
          <w:rFonts w:hint="eastAsia" w:ascii="仿宋_GB2312" w:eastAsia="仿宋_GB2312"/>
          <w:sz w:val="28"/>
          <w:szCs w:val="28"/>
        </w:rPr>
        <w:t>%。主要原因：</w:t>
      </w:r>
      <w:r>
        <w:rPr>
          <w:rFonts w:hint="eastAsia" w:ascii="仿宋_GB2312" w:eastAsia="仿宋_GB2312"/>
          <w:sz w:val="28"/>
          <w:szCs w:val="28"/>
          <w:lang w:eastAsia="zh-CN"/>
        </w:rPr>
        <w:t>部分退休人员经费从外单位调入。</w:t>
      </w:r>
    </w:p>
    <w:p w14:paraId="4B914730">
      <w:pPr>
        <w:numPr>
          <w:ilvl w:val="0"/>
          <w:numId w:val="2"/>
        </w:numPr>
        <w:spacing w:line="580" w:lineRule="exact"/>
        <w:ind w:left="0" w:leftChars="0" w:firstLine="560" w:firstLineChars="200"/>
        <w:rPr>
          <w:rFonts w:hint="eastAsia" w:ascii="仿宋_GB2312" w:eastAsia="仿宋_GB2312"/>
          <w:sz w:val="28"/>
          <w:szCs w:val="28"/>
        </w:rPr>
      </w:pPr>
      <w:r>
        <w:rPr>
          <w:rFonts w:hint="eastAsia" w:ascii="仿宋_GB2312" w:eastAsia="仿宋_GB2312"/>
          <w:sz w:val="28"/>
          <w:szCs w:val="28"/>
        </w:rPr>
        <w:t>“资源勘探工业信息等支出”（</w:t>
      </w:r>
      <w:r>
        <w:rPr>
          <w:rFonts w:hint="eastAsia" w:ascii="仿宋_GB2312" w:eastAsia="仿宋_GB2312"/>
          <w:sz w:val="28"/>
          <w:szCs w:val="28"/>
          <w:lang w:eastAsia="zh-CN"/>
        </w:rPr>
        <w:t>类</w:t>
      </w:r>
      <w:r>
        <w:rPr>
          <w:rFonts w:hint="eastAsia" w:ascii="仿宋_GB2312" w:eastAsia="仿宋_GB2312"/>
          <w:sz w:val="28"/>
          <w:szCs w:val="28"/>
        </w:rPr>
        <w:t>）2025年度年初预算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6,540.00</w:t>
      </w:r>
      <w:r>
        <w:rPr>
          <w:rFonts w:hint="eastAsia" w:ascii="仿宋_GB2312" w:eastAsia="仿宋_GB2312"/>
          <w:sz w:val="28"/>
          <w:szCs w:val="28"/>
        </w:rPr>
        <w:t>元。</w:t>
      </w:r>
      <w:r>
        <w:rPr>
          <w:rFonts w:hint="eastAsia" w:ascii="仿宋_GB2312" w:eastAsia="仿宋_GB2312"/>
          <w:sz w:val="28"/>
          <w:szCs w:val="28"/>
          <w:lang w:eastAsia="zh-CN"/>
        </w:rPr>
        <w:t>其中：</w:t>
      </w:r>
    </w:p>
    <w:p w14:paraId="6DFFD588">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制造业</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6,540.00</w:t>
      </w:r>
      <w:r>
        <w:rPr>
          <w:rFonts w:hint="eastAsia" w:ascii="仿宋_GB2312" w:eastAsia="仿宋_GB2312"/>
          <w:color w:val="auto"/>
          <w:sz w:val="28"/>
          <w:szCs w:val="28"/>
        </w:rPr>
        <w:t>元。主要原因：</w:t>
      </w:r>
      <w:r>
        <w:rPr>
          <w:rFonts w:hint="eastAsia" w:ascii="仿宋_GB2312" w:eastAsia="仿宋_GB2312"/>
          <w:color w:val="auto"/>
          <w:sz w:val="28"/>
          <w:szCs w:val="28"/>
          <w:lang w:eastAsia="zh-CN"/>
        </w:rPr>
        <w:t>此经费为追加项目经费</w:t>
      </w:r>
      <w:r>
        <w:rPr>
          <w:rFonts w:hint="eastAsia" w:ascii="仿宋_GB2312" w:eastAsia="仿宋_GB2312"/>
          <w:color w:val="auto"/>
          <w:sz w:val="28"/>
          <w:szCs w:val="28"/>
        </w:rPr>
        <w:t>。</w:t>
      </w:r>
    </w:p>
    <w:p w14:paraId="1BDC3ADC">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14:paraId="16D6087B">
      <w:pPr>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rPr>
        <w:t>本</w:t>
      </w:r>
      <w:r>
        <w:rPr>
          <w:rFonts w:hint="eastAsia" w:ascii="仿宋_GB2312" w:eastAsia="仿宋_GB2312"/>
          <w:sz w:val="28"/>
          <w:szCs w:val="28"/>
          <w:lang w:eastAsia="zh-CN"/>
        </w:rPr>
        <w:t>部门</w:t>
      </w:r>
      <w:r>
        <w:rPr>
          <w:rFonts w:hint="eastAsia" w:ascii="仿宋_GB2312" w:eastAsia="仿宋_GB2312"/>
          <w:sz w:val="28"/>
          <w:szCs w:val="28"/>
        </w:rPr>
        <w:t>无此项支出</w:t>
      </w:r>
      <w:r>
        <w:rPr>
          <w:rFonts w:hint="eastAsia" w:ascii="仿宋_GB2312" w:eastAsia="仿宋_GB2312"/>
          <w:sz w:val="28"/>
          <w:szCs w:val="28"/>
          <w:lang w:eastAsia="zh-CN"/>
        </w:rPr>
        <w:t>。</w:t>
      </w:r>
    </w:p>
    <w:p w14:paraId="736EF6AA">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6DF29E55">
      <w:pPr>
        <w:spacing w:line="580" w:lineRule="exact"/>
        <w:ind w:firstLine="560" w:firstLineChars="200"/>
        <w:rPr>
          <w:rFonts w:ascii="仿宋_GB2312" w:eastAsia="仿宋_GB2312"/>
          <w:sz w:val="28"/>
          <w:szCs w:val="28"/>
        </w:rPr>
      </w:pPr>
      <w:r>
        <w:rPr>
          <w:rFonts w:hint="eastAsia" w:ascii="仿宋_GB2312" w:eastAsia="仿宋_GB2312"/>
          <w:sz w:val="28"/>
          <w:szCs w:val="28"/>
        </w:rPr>
        <w:t>本</w:t>
      </w:r>
      <w:r>
        <w:rPr>
          <w:rFonts w:hint="eastAsia" w:ascii="仿宋_GB2312" w:eastAsia="仿宋_GB2312"/>
          <w:sz w:val="28"/>
          <w:szCs w:val="28"/>
          <w:lang w:eastAsia="zh-CN"/>
        </w:rPr>
        <w:t>部门</w:t>
      </w:r>
      <w:r>
        <w:rPr>
          <w:rFonts w:hint="eastAsia" w:ascii="仿宋_GB2312" w:eastAsia="仿宋_GB2312"/>
          <w:sz w:val="28"/>
          <w:szCs w:val="28"/>
        </w:rPr>
        <w:t>无此项支出</w:t>
      </w:r>
      <w:r>
        <w:rPr>
          <w:rFonts w:hint="eastAsia" w:ascii="仿宋_GB2312" w:eastAsia="仿宋_GB2312"/>
          <w:sz w:val="28"/>
          <w:szCs w:val="28"/>
          <w:lang w:eastAsia="zh-CN"/>
        </w:rPr>
        <w:t>。</w:t>
      </w:r>
    </w:p>
    <w:p w14:paraId="747703F3">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14:paraId="13B8D79F">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682</w:t>
      </w:r>
      <w:r>
        <w:rPr>
          <w:rFonts w:hint="eastAsia" w:ascii="仿宋_GB2312" w:eastAsia="仿宋_GB2312"/>
          <w:sz w:val="28"/>
          <w:szCs w:val="28"/>
          <w:lang w:val="en-US" w:eastAsia="zh-CN"/>
        </w:rPr>
        <w:t>,</w:t>
      </w:r>
      <w:r>
        <w:rPr>
          <w:rFonts w:ascii="仿宋_GB2312" w:eastAsia="仿宋_GB2312"/>
          <w:sz w:val="28"/>
          <w:szCs w:val="28"/>
        </w:rPr>
        <w:t>872.09</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14:paraId="452E6A8E">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14:paraId="0DD064CB">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4799EDE8">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372951B8">
      <w:pPr>
        <w:tabs>
          <w:tab w:val="center" w:pos="6979"/>
        </w:tabs>
        <w:ind w:firstLine="554" w:firstLineChars="198"/>
        <w:rPr>
          <w:rFonts w:hint="eastAsia" w:ascii="仿宋_GB2312" w:eastAsia="仿宋_GB2312"/>
          <w:sz w:val="28"/>
          <w:szCs w:val="28"/>
          <w:lang w:eastAsia="zh-CN"/>
        </w:rPr>
      </w:pPr>
      <w:r>
        <w:rPr>
          <w:rFonts w:hint="eastAsia" w:ascii="仿宋_GB2312" w:eastAsia="仿宋_GB2312"/>
          <w:sz w:val="28"/>
          <w:szCs w:val="28"/>
        </w:rPr>
        <w:t>本</w:t>
      </w:r>
      <w:r>
        <w:rPr>
          <w:rFonts w:hint="eastAsia" w:ascii="仿宋_GB2312" w:eastAsia="仿宋_GB2312"/>
          <w:sz w:val="28"/>
          <w:szCs w:val="28"/>
          <w:lang w:eastAsia="zh-CN"/>
        </w:rPr>
        <w:t>部门</w:t>
      </w:r>
      <w:r>
        <w:rPr>
          <w:rFonts w:hint="eastAsia" w:ascii="仿宋_GB2312" w:eastAsia="仿宋_GB2312"/>
          <w:sz w:val="28"/>
          <w:szCs w:val="28"/>
        </w:rPr>
        <w:t>无此项支出</w:t>
      </w:r>
      <w:r>
        <w:rPr>
          <w:rFonts w:hint="eastAsia" w:ascii="仿宋_GB2312" w:eastAsia="仿宋_GB2312"/>
          <w:sz w:val="28"/>
          <w:szCs w:val="28"/>
          <w:lang w:eastAsia="zh-CN"/>
        </w:rPr>
        <w:t>。</w:t>
      </w:r>
    </w:p>
    <w:p w14:paraId="1C5C516A">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14:paraId="4C660A9F">
      <w:pPr>
        <w:ind w:firstLine="537" w:firstLineChars="192"/>
        <w:rPr>
          <w:rFonts w:ascii="仿宋_GB2312" w:eastAsia="仿宋_GB2312"/>
          <w:sz w:val="28"/>
          <w:szCs w:val="28"/>
        </w:rPr>
      </w:pPr>
      <w:r>
        <w:rPr>
          <w:rFonts w:hint="eastAsia" w:ascii="仿宋_GB2312" w:eastAsia="仿宋_GB2312"/>
          <w:sz w:val="28"/>
          <w:szCs w:val="28"/>
        </w:rPr>
        <w:t>2025年度机关运行经费支出合计507</w:t>
      </w:r>
      <w:r>
        <w:rPr>
          <w:rFonts w:hint="eastAsia" w:ascii="仿宋_GB2312" w:eastAsia="仿宋_GB2312"/>
          <w:sz w:val="28"/>
          <w:szCs w:val="28"/>
          <w:lang w:val="en-US" w:eastAsia="zh-CN"/>
        </w:rPr>
        <w:t>,</w:t>
      </w:r>
      <w:r>
        <w:rPr>
          <w:rFonts w:hint="eastAsia" w:ascii="仿宋_GB2312" w:eastAsia="仿宋_GB2312"/>
          <w:sz w:val="28"/>
          <w:szCs w:val="28"/>
        </w:rPr>
        <w:t>975.03元，比上年增加减少</w:t>
      </w:r>
      <w:r>
        <w:rPr>
          <w:rFonts w:hint="eastAsia" w:ascii="仿宋_GB2312" w:eastAsia="仿宋_GB2312"/>
          <w:sz w:val="28"/>
          <w:szCs w:val="28"/>
          <w:lang w:val="en-US" w:eastAsia="zh-CN"/>
        </w:rPr>
        <w:t>4,097.95</w:t>
      </w:r>
      <w:r>
        <w:rPr>
          <w:rFonts w:hint="eastAsia" w:ascii="仿宋_GB2312" w:eastAsia="仿宋_GB2312"/>
          <w:sz w:val="28"/>
          <w:szCs w:val="28"/>
        </w:rPr>
        <w:t>元，减少原因：落实习惯过</w:t>
      </w:r>
      <w:r>
        <w:rPr>
          <w:rFonts w:hint="eastAsia" w:ascii="仿宋_GB2312" w:eastAsia="仿宋_GB2312"/>
          <w:sz w:val="28"/>
          <w:szCs w:val="28"/>
          <w:lang w:eastAsia="zh-CN"/>
        </w:rPr>
        <w:t>“</w:t>
      </w:r>
      <w:r>
        <w:rPr>
          <w:rFonts w:hint="eastAsia" w:ascii="仿宋_GB2312" w:eastAsia="仿宋_GB2312"/>
          <w:sz w:val="28"/>
          <w:szCs w:val="28"/>
        </w:rPr>
        <w:t>紧日子</w:t>
      </w:r>
      <w:r>
        <w:rPr>
          <w:rFonts w:hint="eastAsia" w:ascii="仿宋_GB2312" w:eastAsia="仿宋_GB2312"/>
          <w:sz w:val="28"/>
          <w:szCs w:val="28"/>
          <w:lang w:eastAsia="zh-CN"/>
        </w:rPr>
        <w:t>”</w:t>
      </w:r>
      <w:r>
        <w:rPr>
          <w:rFonts w:hint="eastAsia" w:ascii="仿宋_GB2312" w:eastAsia="仿宋_GB2312"/>
          <w:sz w:val="28"/>
          <w:szCs w:val="28"/>
        </w:rPr>
        <w:t>要求，</w:t>
      </w:r>
      <w:r>
        <w:rPr>
          <w:rFonts w:hint="eastAsia" w:ascii="仿宋_GB2312" w:eastAsia="仿宋_GB2312"/>
          <w:sz w:val="28"/>
          <w:szCs w:val="28"/>
          <w:lang w:eastAsia="zh-CN"/>
        </w:rPr>
        <w:t>公用支出减少</w:t>
      </w:r>
      <w:r>
        <w:rPr>
          <w:rFonts w:hint="eastAsia" w:ascii="仿宋_GB2312" w:eastAsia="仿宋_GB2312"/>
          <w:sz w:val="28"/>
          <w:szCs w:val="28"/>
        </w:rPr>
        <w:t>。</w:t>
      </w:r>
    </w:p>
    <w:p w14:paraId="0C0D0CD6">
      <w:pPr>
        <w:ind w:left="540"/>
        <w:rPr>
          <w:rFonts w:ascii="黑体" w:eastAsia="黑体"/>
          <w:sz w:val="28"/>
          <w:szCs w:val="28"/>
        </w:rPr>
      </w:pPr>
      <w:r>
        <w:rPr>
          <w:rFonts w:hint="eastAsia" w:ascii="黑体" w:eastAsia="黑体"/>
          <w:sz w:val="28"/>
          <w:szCs w:val="28"/>
        </w:rPr>
        <w:t>三、政府采购支出情况</w:t>
      </w:r>
    </w:p>
    <w:p w14:paraId="64E71484">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32</w:t>
      </w:r>
      <w:r>
        <w:rPr>
          <w:rFonts w:hint="eastAsia" w:ascii="仿宋_GB2312" w:eastAsia="仿宋_GB2312"/>
          <w:sz w:val="28"/>
          <w:szCs w:val="28"/>
          <w:lang w:val="en-US" w:eastAsia="zh-CN"/>
        </w:rPr>
        <w:t>,</w:t>
      </w:r>
      <w:r>
        <w:rPr>
          <w:rFonts w:ascii="仿宋_GB2312" w:eastAsia="仿宋_GB2312"/>
          <w:sz w:val="28"/>
          <w:szCs w:val="28"/>
        </w:rPr>
        <w:t>184</w:t>
      </w:r>
      <w:r>
        <w:rPr>
          <w:rFonts w:hint="eastAsia" w:ascii="仿宋_GB2312" w:eastAsia="仿宋_GB2312"/>
          <w:sz w:val="28"/>
          <w:szCs w:val="28"/>
          <w:lang w:val="en-US" w:eastAsia="zh-CN"/>
        </w:rPr>
        <w:t>,</w:t>
      </w:r>
      <w:r>
        <w:rPr>
          <w:rFonts w:ascii="仿宋_GB2312" w:eastAsia="仿宋_GB2312"/>
          <w:sz w:val="28"/>
          <w:szCs w:val="28"/>
        </w:rPr>
        <w:t>539.01</w:t>
      </w:r>
      <w:r>
        <w:rPr>
          <w:rFonts w:hint="eastAsia" w:ascii="仿宋_GB2312" w:eastAsia="仿宋_GB2312"/>
          <w:sz w:val="28"/>
          <w:szCs w:val="28"/>
        </w:rPr>
        <w:t>元，其中：政府采购货物支出</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216</w:t>
      </w:r>
      <w:r>
        <w:rPr>
          <w:rFonts w:hint="eastAsia" w:ascii="仿宋_GB2312" w:eastAsia="仿宋_GB2312"/>
          <w:sz w:val="28"/>
          <w:szCs w:val="28"/>
          <w:lang w:val="en-US" w:eastAsia="zh-CN"/>
        </w:rPr>
        <w:t>,</w:t>
      </w:r>
      <w:r>
        <w:rPr>
          <w:rFonts w:ascii="仿宋_GB2312" w:eastAsia="仿宋_GB2312"/>
          <w:sz w:val="28"/>
          <w:szCs w:val="28"/>
        </w:rPr>
        <w:t>065</w:t>
      </w:r>
      <w:r>
        <w:rPr>
          <w:rFonts w:hint="eastAsia" w:ascii="仿宋_GB2312" w:eastAsia="仿宋_GB2312"/>
          <w:sz w:val="28"/>
          <w:szCs w:val="28"/>
          <w:lang w:val="en-US" w:eastAsia="zh-CN"/>
        </w:rPr>
        <w:t>.00</w:t>
      </w:r>
      <w:r>
        <w:rPr>
          <w:rFonts w:hint="eastAsia" w:ascii="仿宋_GB2312" w:eastAsia="仿宋_GB2312"/>
          <w:sz w:val="28"/>
          <w:szCs w:val="28"/>
        </w:rPr>
        <w:t>元，政府采购工程支出</w:t>
      </w:r>
      <w:r>
        <w:rPr>
          <w:rFonts w:ascii="仿宋_GB2312" w:eastAsia="仿宋_GB2312"/>
          <w:sz w:val="28"/>
          <w:szCs w:val="28"/>
        </w:rPr>
        <w:t>25</w:t>
      </w:r>
      <w:r>
        <w:rPr>
          <w:rFonts w:hint="eastAsia" w:ascii="仿宋_GB2312" w:eastAsia="仿宋_GB2312"/>
          <w:sz w:val="28"/>
          <w:szCs w:val="28"/>
          <w:lang w:val="en-US" w:eastAsia="zh-CN"/>
        </w:rPr>
        <w:t>,</w:t>
      </w:r>
      <w:r>
        <w:rPr>
          <w:rFonts w:ascii="仿宋_GB2312" w:eastAsia="仿宋_GB2312"/>
          <w:sz w:val="28"/>
          <w:szCs w:val="28"/>
        </w:rPr>
        <w:t>747</w:t>
      </w:r>
      <w:r>
        <w:rPr>
          <w:rFonts w:hint="eastAsia" w:ascii="仿宋_GB2312" w:eastAsia="仿宋_GB2312"/>
          <w:sz w:val="28"/>
          <w:szCs w:val="28"/>
          <w:lang w:val="en-US" w:eastAsia="zh-CN"/>
        </w:rPr>
        <w:t>,</w:t>
      </w:r>
      <w:r>
        <w:rPr>
          <w:rFonts w:ascii="仿宋_GB2312" w:eastAsia="仿宋_GB2312"/>
          <w:sz w:val="28"/>
          <w:szCs w:val="28"/>
        </w:rPr>
        <w:t>312.01</w:t>
      </w:r>
      <w:r>
        <w:rPr>
          <w:rFonts w:hint="eastAsia" w:ascii="仿宋_GB2312" w:eastAsia="仿宋_GB2312"/>
          <w:sz w:val="28"/>
          <w:szCs w:val="28"/>
        </w:rPr>
        <w:t>元，政府采购服务支出</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221</w:t>
      </w:r>
      <w:r>
        <w:rPr>
          <w:rFonts w:hint="eastAsia" w:ascii="仿宋_GB2312" w:eastAsia="仿宋_GB2312"/>
          <w:sz w:val="28"/>
          <w:szCs w:val="28"/>
          <w:lang w:val="en-US" w:eastAsia="zh-CN"/>
        </w:rPr>
        <w:t>,</w:t>
      </w:r>
      <w:r>
        <w:rPr>
          <w:rFonts w:ascii="仿宋_GB2312" w:eastAsia="仿宋_GB2312"/>
          <w:sz w:val="28"/>
          <w:szCs w:val="28"/>
        </w:rPr>
        <w:t>162</w:t>
      </w:r>
      <w:r>
        <w:rPr>
          <w:rFonts w:hint="eastAsia" w:ascii="仿宋_GB2312" w:eastAsia="仿宋_GB2312"/>
          <w:sz w:val="28"/>
          <w:szCs w:val="28"/>
          <w:lang w:val="en-US" w:eastAsia="zh-CN"/>
        </w:rPr>
        <w:t>.00</w:t>
      </w:r>
      <w:r>
        <w:rPr>
          <w:rFonts w:hint="eastAsia" w:ascii="仿宋_GB2312" w:eastAsia="仿宋_GB2312"/>
          <w:sz w:val="28"/>
          <w:szCs w:val="28"/>
        </w:rPr>
        <w:t>元。授予中小企业合同金额</w:t>
      </w:r>
      <w:r>
        <w:rPr>
          <w:rFonts w:ascii="仿宋_GB2312" w:eastAsia="仿宋_GB2312"/>
          <w:sz w:val="28"/>
          <w:szCs w:val="28"/>
        </w:rPr>
        <w:t>10</w:t>
      </w:r>
      <w:r>
        <w:rPr>
          <w:rFonts w:hint="eastAsia" w:ascii="仿宋_GB2312" w:eastAsia="仿宋_GB2312"/>
          <w:sz w:val="28"/>
          <w:szCs w:val="28"/>
          <w:lang w:val="en-US" w:eastAsia="zh-CN"/>
        </w:rPr>
        <w:t>,</w:t>
      </w:r>
      <w:r>
        <w:rPr>
          <w:rFonts w:ascii="仿宋_GB2312" w:eastAsia="仿宋_GB2312"/>
          <w:sz w:val="28"/>
          <w:szCs w:val="28"/>
        </w:rPr>
        <w:t>181</w:t>
      </w:r>
      <w:r>
        <w:rPr>
          <w:rFonts w:hint="eastAsia" w:ascii="仿宋_GB2312" w:eastAsia="仿宋_GB2312"/>
          <w:sz w:val="28"/>
          <w:szCs w:val="28"/>
          <w:lang w:val="en-US" w:eastAsia="zh-CN"/>
        </w:rPr>
        <w:t>,</w:t>
      </w:r>
      <w:r>
        <w:rPr>
          <w:rFonts w:ascii="仿宋_GB2312" w:eastAsia="仿宋_GB2312"/>
          <w:sz w:val="28"/>
          <w:szCs w:val="28"/>
        </w:rPr>
        <w:t>064.88</w:t>
      </w:r>
      <w:r>
        <w:rPr>
          <w:rFonts w:hint="eastAsia" w:ascii="仿宋_GB2312" w:eastAsia="仿宋_GB2312"/>
          <w:sz w:val="28"/>
          <w:szCs w:val="28"/>
        </w:rPr>
        <w:t>元，占政府采购支出总额的31.6%，其中：授予小微企业合同金额</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419</w:t>
      </w:r>
      <w:r>
        <w:rPr>
          <w:rFonts w:hint="eastAsia" w:ascii="仿宋_GB2312" w:eastAsia="仿宋_GB2312"/>
          <w:sz w:val="28"/>
          <w:szCs w:val="28"/>
          <w:lang w:val="en-US" w:eastAsia="zh-CN"/>
        </w:rPr>
        <w:t>,</w:t>
      </w:r>
      <w:r>
        <w:rPr>
          <w:rFonts w:ascii="仿宋_GB2312" w:eastAsia="仿宋_GB2312"/>
          <w:sz w:val="28"/>
          <w:szCs w:val="28"/>
        </w:rPr>
        <w:t>227</w:t>
      </w:r>
      <w:r>
        <w:rPr>
          <w:rFonts w:hint="eastAsia" w:ascii="仿宋_GB2312" w:eastAsia="仿宋_GB2312"/>
          <w:sz w:val="28"/>
          <w:szCs w:val="28"/>
          <w:lang w:val="en-US" w:eastAsia="zh-CN"/>
        </w:rPr>
        <w:t>.00</w:t>
      </w:r>
      <w:r>
        <w:rPr>
          <w:rFonts w:hint="eastAsia" w:ascii="仿宋_GB2312" w:eastAsia="仿宋_GB2312"/>
          <w:sz w:val="28"/>
          <w:szCs w:val="28"/>
        </w:rPr>
        <w:t>元，占政府采购支出总额的</w:t>
      </w:r>
      <w:r>
        <w:rPr>
          <w:rFonts w:hint="eastAsia" w:ascii="仿宋_GB2312" w:eastAsia="仿宋_GB2312"/>
          <w:sz w:val="28"/>
          <w:szCs w:val="28"/>
          <w:lang w:val="en-US" w:eastAsia="zh-CN"/>
        </w:rPr>
        <w:t>19.9</w:t>
      </w:r>
      <w:r>
        <w:rPr>
          <w:rFonts w:hint="eastAsia" w:ascii="仿宋_GB2312" w:eastAsia="仿宋_GB2312"/>
          <w:sz w:val="28"/>
          <w:szCs w:val="28"/>
        </w:rPr>
        <w:t>%。</w:t>
      </w:r>
    </w:p>
    <w:p w14:paraId="06BDDB0C">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454B6A9E">
      <w:pPr>
        <w:ind w:firstLine="560" w:firstLineChars="200"/>
        <w:rPr>
          <w:rFonts w:ascii="仿宋_GB2312" w:eastAsia="仿宋_GB2312"/>
          <w:sz w:val="32"/>
          <w:szCs w:val="32"/>
        </w:rPr>
      </w:pPr>
      <w:r>
        <w:rPr>
          <w:rFonts w:hint="eastAsia" w:ascii="仿宋_GB2312" w:eastAsia="仿宋_GB2312"/>
          <w:sz w:val="28"/>
          <w:szCs w:val="28"/>
        </w:rPr>
        <w:t>截至12月31日，北京市门头沟区政务服务管理局（部门）共有车辆0台；单位价值100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14:paraId="4D7989B7">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2DEFBD42">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3B7A55CE">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323FCB4F">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2E26A459">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17C0EB71">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3F3AED0F">
      <w:pPr>
        <w:spacing w:line="520" w:lineRule="exact"/>
        <w:ind w:firstLine="560" w:firstLineChars="20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6.一般公共服务支出（类）政府办公厅（室）及相关机构事务（款）行政运行（项）：反映行政单位（包括实行公务员管理的事业单位）的基本支出。</w:t>
      </w:r>
    </w:p>
    <w:p w14:paraId="20D8F460">
      <w:pPr>
        <w:spacing w:line="520" w:lineRule="exact"/>
        <w:ind w:firstLine="560" w:firstLineChars="20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7.一般公共服务支出（类）政府办公厅（室）及相关机构事务（款）一般行政管理事务（项）：反映行政单位（包括实行公务员管理的事业单位）未单独设置项级科目的其他项目支出。</w:t>
      </w:r>
    </w:p>
    <w:p w14:paraId="666AE62F">
      <w:pPr>
        <w:spacing w:line="520" w:lineRule="exact"/>
        <w:ind w:firstLine="560" w:firstLineChars="20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8.一般公共服务支出（类）政府办公厅（室）及相关机构事务（款）事业运行（项）：反映事业单位的基本支出，不包括行政单位（包括实行公务员管理的事业单位）后勤服务中心、医务室等附属事业单位。</w:t>
      </w:r>
    </w:p>
    <w:p w14:paraId="4631BAB6">
      <w:pPr>
        <w:spacing w:line="520" w:lineRule="exact"/>
        <w:ind w:firstLine="560" w:firstLineChars="20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9.一般公共服务支出（类）政府办公厅（室）及相关机构事务（款）其他政府办公厅（室）及相关机构事务支出（项）：反映除上述项目以外的其他政府办公厅（室）及相关机构事务支出。</w:t>
      </w:r>
    </w:p>
    <w:p w14:paraId="4F70DF4A">
      <w:pPr>
        <w:spacing w:line="520" w:lineRule="exact"/>
        <w:ind w:firstLine="560" w:firstLineChars="20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10.一般公共服务支出（类）发展与改革事务（款）事业运行（项）：反映事业单位的基本支出，不包括行政单位（包括实行公务员管理的事业单位）后勤服务中心、医务室等附属事业单位。</w:t>
      </w:r>
    </w:p>
    <w:p w14:paraId="703688D3">
      <w:pPr>
        <w:spacing w:line="520" w:lineRule="exact"/>
        <w:ind w:firstLine="560" w:firstLineChars="20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11.一般公共服务支出（类）市场监督管理事务（款）其他市场监督管理事务（项）：反映用于除上述项目以外其他市场监督管理事务方面的支出。</w:t>
      </w:r>
    </w:p>
    <w:p w14:paraId="5527FEBA">
      <w:pPr>
        <w:spacing w:line="520" w:lineRule="exact"/>
        <w:ind w:firstLine="560" w:firstLineChars="20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12.社会保障和就业支出（类）行政事业单位养老支出（款）行政单位离退休（项）：反映行政单位（包括实行公务员管理的事业单位）开支的离退休经费。</w:t>
      </w:r>
    </w:p>
    <w:p w14:paraId="79A78C8E">
      <w:pPr>
        <w:spacing w:line="520" w:lineRule="exact"/>
        <w:ind w:firstLine="560" w:firstLineChars="20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13.社会保障和就业支出（类）行政事业单位养老支出（款）事业单位离退休（项）：反映事业单位开支的离退休经费。</w:t>
      </w:r>
    </w:p>
    <w:p w14:paraId="266D3ACD">
      <w:pPr>
        <w:spacing w:line="520" w:lineRule="exact"/>
        <w:ind w:firstLine="560" w:firstLineChars="200"/>
        <w:rPr>
          <w:rFonts w:ascii="宋体" w:hAnsi="宋体" w:cs="宋体"/>
          <w:b/>
          <w:bCs/>
          <w:kern w:val="0"/>
          <w:sz w:val="28"/>
          <w:szCs w:val="28"/>
        </w:rPr>
      </w:pPr>
      <w:r>
        <w:rPr>
          <w:rFonts w:hint="eastAsia" w:ascii="仿宋_GB2312" w:eastAsia="仿宋_GB2312" w:cs="Times New Roman"/>
          <w:sz w:val="28"/>
          <w:szCs w:val="28"/>
          <w:lang w:val="en-US" w:eastAsia="zh-CN"/>
        </w:rPr>
        <w:t>14.资源勘探工业信息等支出（类）制造业（款）其他制造业支出（项）：反映除上述项目以外其他用于制造业方面的支出。</w:t>
      </w:r>
    </w:p>
    <w:p w14:paraId="3F77FAB4">
      <w:pPr>
        <w:tabs>
          <w:tab w:val="center" w:pos="6979"/>
        </w:tabs>
        <w:spacing w:line="380" w:lineRule="exact"/>
        <w:jc w:val="center"/>
        <w:rPr>
          <w:rFonts w:ascii="宋体" w:hAnsi="宋体" w:cs="宋体"/>
          <w:b/>
          <w:bCs/>
          <w:kern w:val="0"/>
          <w:sz w:val="28"/>
          <w:szCs w:val="28"/>
        </w:rPr>
      </w:pPr>
    </w:p>
    <w:p w14:paraId="78DEEE16">
      <w:pPr>
        <w:rPr>
          <w:rFonts w:ascii="黑体" w:eastAsia="黑体"/>
          <w:sz w:val="32"/>
          <w:szCs w:val="32"/>
        </w:rPr>
      </w:pPr>
    </w:p>
    <w:p w14:paraId="0A637DED">
      <w:pPr>
        <w:ind w:firstLine="640" w:firstLineChars="200"/>
        <w:jc w:val="center"/>
        <w:rPr>
          <w:rFonts w:ascii="黑体" w:eastAsia="黑体"/>
          <w:sz w:val="32"/>
          <w:szCs w:val="32"/>
        </w:rPr>
      </w:pPr>
    </w:p>
    <w:p w14:paraId="29A9FD26">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14:paraId="27887CD2">
      <w:pPr>
        <w:tabs>
          <w:tab w:val="center" w:pos="6979"/>
        </w:tabs>
        <w:spacing w:line="580" w:lineRule="exact"/>
        <w:ind w:firstLine="560" w:firstLineChars="200"/>
        <w:jc w:val="center"/>
        <w:rPr>
          <w:rFonts w:hint="eastAsia" w:ascii="华文中宋" w:hAnsi="华文中宋" w:eastAsia="华文中宋"/>
          <w:sz w:val="28"/>
          <w:szCs w:val="28"/>
        </w:rPr>
      </w:pPr>
    </w:p>
    <w:p w14:paraId="55F45EA1">
      <w:pPr>
        <w:spacing w:line="580" w:lineRule="exact"/>
        <w:ind w:firstLine="640" w:firstLineChars="200"/>
        <w:rPr>
          <w:rFonts w:hint="eastAsia" w:ascii="黑体" w:hAnsi="黑体" w:eastAsia="黑体"/>
          <w:sz w:val="28"/>
          <w:szCs w:val="28"/>
        </w:rPr>
      </w:pPr>
      <w:r>
        <w:rPr>
          <w:rFonts w:hint="eastAsia" w:ascii="黑体" w:eastAsia="黑体"/>
          <w:sz w:val="32"/>
          <w:szCs w:val="32"/>
        </w:rPr>
        <w:t xml:space="preserve"> </w:t>
      </w:r>
      <w:r>
        <w:rPr>
          <w:rFonts w:hint="eastAsia" w:ascii="黑体" w:hAnsi="黑体" w:eastAsia="黑体"/>
          <w:sz w:val="28"/>
          <w:szCs w:val="28"/>
        </w:rPr>
        <w:t>一、部门整体绩效评价报告</w:t>
      </w:r>
    </w:p>
    <w:p w14:paraId="4C0CA7A7">
      <w:pPr>
        <w:spacing w:line="580" w:lineRule="exact"/>
        <w:ind w:firstLine="640"/>
        <w:rPr>
          <w:rFonts w:hint="eastAsia" w:ascii="楷体_GB2312" w:hAnsi="Calibri" w:eastAsia="楷体_GB2312"/>
          <w:b/>
          <w:sz w:val="28"/>
          <w:szCs w:val="28"/>
        </w:rPr>
      </w:pPr>
      <w:r>
        <w:rPr>
          <w:rFonts w:hint="eastAsia" w:ascii="楷体_GB2312" w:eastAsia="楷体_GB2312"/>
          <w:b/>
          <w:sz w:val="28"/>
          <w:szCs w:val="28"/>
        </w:rPr>
        <w:t>（一）部门概况</w:t>
      </w:r>
    </w:p>
    <w:p w14:paraId="44959100">
      <w:pPr>
        <w:spacing w:line="580" w:lineRule="exact"/>
        <w:ind w:firstLine="640"/>
        <w:rPr>
          <w:rFonts w:hint="eastAsia" w:ascii="仿宋_GB2312" w:eastAsia="仿宋_GB2312"/>
          <w:sz w:val="28"/>
          <w:szCs w:val="28"/>
        </w:rPr>
      </w:pPr>
      <w:bookmarkStart w:id="0" w:name="_Toc268005755"/>
      <w:r>
        <w:rPr>
          <w:rFonts w:hint="eastAsia" w:ascii="仿宋_GB2312" w:eastAsia="仿宋_GB2312"/>
          <w:sz w:val="28"/>
          <w:szCs w:val="28"/>
        </w:rPr>
        <w:t>1.部门职责情况</w:t>
      </w:r>
    </w:p>
    <w:p w14:paraId="7597B087">
      <w:pPr>
        <w:adjustRightInd w:val="0"/>
        <w:snapToGrid w:val="0"/>
        <w:spacing w:line="520" w:lineRule="exact"/>
        <w:ind w:firstLine="560" w:firstLineChars="200"/>
        <w:rPr>
          <w:rFonts w:hint="eastAsia" w:ascii="仿宋_GB2312" w:eastAsia="仿宋_GB2312"/>
          <w:sz w:val="28"/>
          <w:szCs w:val="28"/>
        </w:rPr>
      </w:pPr>
      <w:r>
        <w:rPr>
          <w:rFonts w:hint="eastAsia" w:ascii="仿宋_GB2312" w:hAnsi="仿宋" w:eastAsia="仿宋_GB2312" w:cs="Times New Roman"/>
          <w:sz w:val="28"/>
          <w:szCs w:val="28"/>
          <w:lang w:eastAsia="zh-CN"/>
        </w:rPr>
        <w:t>门头沟区政务服务管理局负责统筹推进本区简政放权、放管结合、优化服务改革和行政审批制度改革工作，负责协调推进本区政务服务体系建设，负责本区“互联网＋政务服务”工作，统筹规划政务服务“一张网”建设，负责推进、指导、协调、监督本区政府信息公开和政务公开工作等。</w:t>
      </w:r>
    </w:p>
    <w:p w14:paraId="1089FCB1">
      <w:pPr>
        <w:numPr>
          <w:ilvl w:val="0"/>
          <w:numId w:val="0"/>
        </w:num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部门机构设置情况</w:t>
      </w:r>
    </w:p>
    <w:p w14:paraId="6755855C">
      <w:pPr>
        <w:adjustRightInd w:val="0"/>
        <w:snapToGrid w:val="0"/>
        <w:spacing w:line="520" w:lineRule="exact"/>
        <w:ind w:firstLine="560" w:firstLineChars="200"/>
        <w:rPr>
          <w:rFonts w:hint="eastAsia" w:ascii="仿宋_GB2312" w:eastAsia="仿宋_GB2312"/>
          <w:sz w:val="28"/>
          <w:szCs w:val="28"/>
        </w:rPr>
      </w:pPr>
      <w:r>
        <w:rPr>
          <w:rFonts w:hint="eastAsia" w:ascii="仿宋_GB2312" w:hAnsi="仿宋" w:eastAsia="仿宋_GB2312" w:cs="Times New Roman"/>
          <w:sz w:val="28"/>
          <w:szCs w:val="28"/>
          <w:lang w:eastAsia="zh-CN"/>
        </w:rPr>
        <w:t>门头沟区政务服务管理局下设</w:t>
      </w:r>
      <w:r>
        <w:rPr>
          <w:rFonts w:hint="eastAsia" w:ascii="仿宋_GB2312" w:hAnsi="仿宋" w:eastAsia="仿宋_GB2312" w:cs="Times New Roman"/>
          <w:sz w:val="28"/>
          <w:szCs w:val="28"/>
          <w:lang w:val="en-US" w:eastAsia="zh-CN"/>
        </w:rPr>
        <w:t>3</w:t>
      </w:r>
      <w:r>
        <w:rPr>
          <w:rFonts w:hint="eastAsia" w:ascii="仿宋_GB2312" w:hAnsi="仿宋" w:eastAsia="仿宋_GB2312" w:cs="Times New Roman"/>
          <w:sz w:val="28"/>
          <w:szCs w:val="28"/>
          <w:lang w:eastAsia="zh-CN"/>
        </w:rPr>
        <w:t>个事业单位：门头沟区政务服务中心、门头沟区公共资源交易中心及门头沟区政府采购中心。</w:t>
      </w:r>
    </w:p>
    <w:p w14:paraId="64F140F9">
      <w:pPr>
        <w:spacing w:line="580" w:lineRule="exact"/>
        <w:ind w:firstLine="640"/>
        <w:rPr>
          <w:rFonts w:hint="eastAsia" w:ascii="仿宋_GB2312" w:eastAsia="仿宋_GB2312"/>
          <w:sz w:val="28"/>
          <w:szCs w:val="28"/>
        </w:rPr>
      </w:pPr>
      <w:r>
        <w:rPr>
          <w:rFonts w:hint="eastAsia" w:ascii="仿宋_GB2312" w:eastAsia="仿宋_GB2312"/>
          <w:sz w:val="28"/>
          <w:szCs w:val="28"/>
        </w:rPr>
        <w:t>3.2025年主要工作任务</w:t>
      </w:r>
    </w:p>
    <w:p w14:paraId="2962DF1C">
      <w:pPr>
        <w:widowControl/>
        <w:adjustRightInd w:val="0"/>
        <w:snapToGrid w:val="0"/>
        <w:spacing w:line="520" w:lineRule="exact"/>
        <w:ind w:firstLine="560" w:firstLineChars="200"/>
        <w:rPr>
          <w:rFonts w:hint="eastAsia" w:ascii="仿宋_GB2312" w:eastAsia="仿宋_GB2312"/>
          <w:sz w:val="28"/>
          <w:szCs w:val="28"/>
        </w:rPr>
      </w:pPr>
      <w:r>
        <w:rPr>
          <w:rFonts w:hint="eastAsia" w:ascii="仿宋_GB2312" w:hAnsi="仿宋" w:eastAsia="仿宋_GB2312" w:cs="Times New Roman"/>
          <w:sz w:val="28"/>
          <w:szCs w:val="28"/>
          <w:lang w:val="en-US" w:eastAsia="zh-CN"/>
        </w:rPr>
        <w:t>2025年，门头沟区政务服务管理局继续深化“放管服”改革，切实加强政务服务建设，全力打造一流营商环境；扎实做好政务公开工作，全面提升优质服务水平；进一步规范公共资源交易服务，深化公共资源交易领域改革，全力抓好各项任务落实，助力区域营商环境持续优化。</w:t>
      </w:r>
    </w:p>
    <w:bookmarkEnd w:id="0"/>
    <w:p w14:paraId="7AC0CBA6">
      <w:pPr>
        <w:spacing w:line="580" w:lineRule="exact"/>
        <w:ind w:firstLine="640"/>
        <w:rPr>
          <w:rFonts w:hint="eastAsia" w:ascii="仿宋_GB2312" w:eastAsia="仿宋_GB2312"/>
          <w:sz w:val="28"/>
          <w:szCs w:val="28"/>
        </w:rPr>
      </w:pPr>
      <w:bookmarkStart w:id="1" w:name="_Toc268005759"/>
      <w:bookmarkStart w:id="2" w:name="_Toc263686375"/>
      <w:r>
        <w:rPr>
          <w:rFonts w:hint="eastAsia" w:ascii="仿宋_GB2312" w:eastAsia="仿宋_GB2312"/>
          <w:sz w:val="28"/>
          <w:szCs w:val="28"/>
        </w:rPr>
        <w:t>4.部门</w:t>
      </w:r>
      <w:bookmarkEnd w:id="1"/>
      <w:r>
        <w:rPr>
          <w:rFonts w:hint="eastAsia" w:ascii="仿宋_GB2312" w:eastAsia="仿宋_GB2312"/>
          <w:sz w:val="28"/>
          <w:szCs w:val="28"/>
        </w:rPr>
        <w:t>整体绩效目标设立情况</w:t>
      </w:r>
    </w:p>
    <w:tbl>
      <w:tblPr>
        <w:tblStyle w:val="10"/>
        <w:tblW w:w="5000" w:type="pct"/>
        <w:tblInd w:w="0" w:type="dxa"/>
        <w:tblLayout w:type="fixed"/>
        <w:tblCellMar>
          <w:top w:w="0" w:type="dxa"/>
          <w:left w:w="108" w:type="dxa"/>
          <w:bottom w:w="0" w:type="dxa"/>
          <w:right w:w="108" w:type="dxa"/>
        </w:tblCellMar>
      </w:tblPr>
      <w:tblGrid>
        <w:gridCol w:w="1095"/>
        <w:gridCol w:w="5054"/>
        <w:gridCol w:w="1467"/>
        <w:gridCol w:w="4123"/>
        <w:gridCol w:w="1636"/>
        <w:gridCol w:w="1412"/>
      </w:tblGrid>
      <w:tr w14:paraId="5F533F57">
        <w:tblPrEx>
          <w:tblCellMar>
            <w:top w:w="0" w:type="dxa"/>
            <w:left w:w="108" w:type="dxa"/>
            <w:bottom w:w="0" w:type="dxa"/>
            <w:right w:w="108" w:type="dxa"/>
          </w:tblCellMar>
        </w:tblPrEx>
        <w:trPr>
          <w:cantSplit/>
          <w:trHeight w:val="637" w:hRule="atLeast"/>
        </w:trPr>
        <w:tc>
          <w:tcPr>
            <w:tcW w:w="370" w:type="pct"/>
            <w:tcBorders>
              <w:top w:val="single" w:color="auto" w:sz="4" w:space="0"/>
              <w:left w:val="single" w:color="auto" w:sz="4" w:space="0"/>
              <w:bottom w:val="single" w:color="auto" w:sz="4" w:space="0"/>
              <w:right w:val="single" w:color="auto" w:sz="4" w:space="0"/>
            </w:tcBorders>
            <w:noWrap/>
            <w:vAlign w:val="center"/>
          </w:tcPr>
          <w:p w14:paraId="0EC52E8A">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ascii="仿宋_GB2312" w:hAnsi="仿宋" w:eastAsia="仿宋_GB2312" w:cs="Times New Roman"/>
                <w:sz w:val="28"/>
                <w:szCs w:val="28"/>
              </w:rPr>
            </w:pPr>
            <w:r>
              <w:rPr>
                <w:rFonts w:hint="eastAsia" w:ascii="仿宋_GB2312" w:hAnsi="仿宋" w:eastAsia="仿宋_GB2312" w:cs="Times New Roman"/>
                <w:sz w:val="28"/>
                <w:szCs w:val="28"/>
              </w:rPr>
              <w:t>序号</w:t>
            </w:r>
          </w:p>
        </w:tc>
        <w:tc>
          <w:tcPr>
            <w:tcW w:w="1708" w:type="pct"/>
            <w:tcBorders>
              <w:top w:val="single" w:color="auto" w:sz="4" w:space="0"/>
              <w:left w:val="nil"/>
              <w:bottom w:val="single" w:color="auto" w:sz="4" w:space="0"/>
              <w:right w:val="single" w:color="auto" w:sz="4" w:space="0"/>
            </w:tcBorders>
            <w:noWrap/>
            <w:vAlign w:val="center"/>
          </w:tcPr>
          <w:p w14:paraId="481EA741">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ascii="仿宋_GB2312" w:hAnsi="仿宋" w:eastAsia="仿宋_GB2312" w:cs="Times New Roman"/>
                <w:sz w:val="28"/>
                <w:szCs w:val="28"/>
              </w:rPr>
            </w:pPr>
            <w:r>
              <w:rPr>
                <w:rFonts w:hint="eastAsia" w:ascii="仿宋_GB2312" w:hAnsi="仿宋" w:eastAsia="仿宋_GB2312" w:cs="Times New Roman"/>
                <w:sz w:val="28"/>
                <w:szCs w:val="28"/>
              </w:rPr>
              <w:t>三级指标</w:t>
            </w:r>
          </w:p>
        </w:tc>
        <w:tc>
          <w:tcPr>
            <w:tcW w:w="496" w:type="pct"/>
            <w:tcBorders>
              <w:top w:val="single" w:color="auto" w:sz="4" w:space="0"/>
              <w:left w:val="nil"/>
              <w:bottom w:val="single" w:color="auto" w:sz="4" w:space="0"/>
              <w:right w:val="single" w:color="auto" w:sz="4" w:space="0"/>
            </w:tcBorders>
            <w:noWrap/>
            <w:vAlign w:val="center"/>
          </w:tcPr>
          <w:p w14:paraId="34DA2B81">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ascii="仿宋_GB2312" w:hAnsi="仿宋" w:eastAsia="仿宋_GB2312" w:cs="Times New Roman"/>
                <w:sz w:val="28"/>
                <w:szCs w:val="28"/>
              </w:rPr>
            </w:pPr>
            <w:r>
              <w:rPr>
                <w:rFonts w:hint="eastAsia" w:ascii="仿宋_GB2312" w:hAnsi="仿宋" w:eastAsia="仿宋_GB2312" w:cs="Times New Roman"/>
                <w:sz w:val="28"/>
                <w:szCs w:val="28"/>
              </w:rPr>
              <w:t>指标性质</w:t>
            </w:r>
          </w:p>
        </w:tc>
        <w:tc>
          <w:tcPr>
            <w:tcW w:w="1394" w:type="pct"/>
            <w:tcBorders>
              <w:top w:val="single" w:color="auto" w:sz="4" w:space="0"/>
              <w:left w:val="nil"/>
              <w:bottom w:val="single" w:color="auto" w:sz="4" w:space="0"/>
              <w:right w:val="single" w:color="auto" w:sz="4" w:space="0"/>
            </w:tcBorders>
            <w:noWrap/>
            <w:vAlign w:val="center"/>
          </w:tcPr>
          <w:p w14:paraId="1ADA795D">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ascii="仿宋_GB2312" w:hAnsi="仿宋" w:eastAsia="仿宋_GB2312" w:cs="Times New Roman"/>
                <w:sz w:val="28"/>
                <w:szCs w:val="28"/>
              </w:rPr>
            </w:pPr>
            <w:r>
              <w:rPr>
                <w:rFonts w:hint="eastAsia" w:ascii="仿宋_GB2312" w:hAnsi="仿宋" w:eastAsia="仿宋_GB2312" w:cs="Times New Roman"/>
                <w:sz w:val="28"/>
                <w:szCs w:val="28"/>
              </w:rPr>
              <w:t>指标值</w:t>
            </w:r>
          </w:p>
        </w:tc>
        <w:tc>
          <w:tcPr>
            <w:tcW w:w="553" w:type="pct"/>
            <w:tcBorders>
              <w:top w:val="single" w:color="auto" w:sz="4" w:space="0"/>
              <w:left w:val="nil"/>
              <w:bottom w:val="single" w:color="auto" w:sz="4" w:space="0"/>
              <w:right w:val="single" w:color="auto" w:sz="4" w:space="0"/>
            </w:tcBorders>
            <w:vAlign w:val="center"/>
          </w:tcPr>
          <w:p w14:paraId="68C4114B">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ascii="仿宋_GB2312" w:hAnsi="仿宋" w:eastAsia="仿宋_GB2312" w:cs="Times New Roman"/>
                <w:sz w:val="28"/>
                <w:szCs w:val="28"/>
              </w:rPr>
            </w:pPr>
            <w:r>
              <w:rPr>
                <w:rFonts w:hint="eastAsia" w:ascii="仿宋_GB2312" w:hAnsi="仿宋" w:eastAsia="仿宋_GB2312" w:cs="Times New Roman"/>
                <w:sz w:val="28"/>
                <w:szCs w:val="28"/>
              </w:rPr>
              <w:t>度量单位</w:t>
            </w:r>
          </w:p>
        </w:tc>
        <w:tc>
          <w:tcPr>
            <w:tcW w:w="477" w:type="pct"/>
            <w:tcBorders>
              <w:top w:val="single" w:color="auto" w:sz="4" w:space="0"/>
              <w:left w:val="nil"/>
              <w:bottom w:val="single" w:color="auto" w:sz="4" w:space="0"/>
              <w:right w:val="single" w:color="auto" w:sz="4" w:space="0"/>
            </w:tcBorders>
            <w:vAlign w:val="center"/>
          </w:tcPr>
          <w:p w14:paraId="295ED8FF">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ascii="仿宋_GB2312" w:hAnsi="仿宋" w:eastAsia="仿宋_GB2312" w:cs="Times New Roman"/>
                <w:sz w:val="28"/>
                <w:szCs w:val="28"/>
              </w:rPr>
            </w:pPr>
            <w:r>
              <w:rPr>
                <w:rFonts w:hint="eastAsia" w:ascii="仿宋_GB2312" w:hAnsi="仿宋" w:eastAsia="仿宋_GB2312" w:cs="Times New Roman"/>
                <w:sz w:val="28"/>
                <w:szCs w:val="28"/>
              </w:rPr>
              <w:t>指标权重</w:t>
            </w:r>
          </w:p>
        </w:tc>
      </w:tr>
      <w:tr w14:paraId="2A447871">
        <w:tblPrEx>
          <w:tblCellMar>
            <w:top w:w="0" w:type="dxa"/>
            <w:left w:w="108" w:type="dxa"/>
            <w:bottom w:w="0" w:type="dxa"/>
            <w:right w:w="108" w:type="dxa"/>
          </w:tblCellMar>
        </w:tblPrEx>
        <w:trPr>
          <w:trHeight w:val="275" w:hRule="atLeast"/>
        </w:trPr>
        <w:tc>
          <w:tcPr>
            <w:tcW w:w="370" w:type="pct"/>
            <w:tcBorders>
              <w:top w:val="nil"/>
              <w:left w:val="single" w:color="auto" w:sz="4" w:space="0"/>
              <w:bottom w:val="single" w:color="auto" w:sz="4" w:space="0"/>
              <w:right w:val="single" w:color="auto" w:sz="4" w:space="0"/>
            </w:tcBorders>
            <w:noWrap/>
            <w:vAlign w:val="bottom"/>
          </w:tcPr>
          <w:p w14:paraId="5AB14F8D">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708" w:type="pct"/>
            <w:tcBorders>
              <w:top w:val="nil"/>
              <w:left w:val="nil"/>
              <w:bottom w:val="single" w:color="auto" w:sz="4" w:space="0"/>
              <w:right w:val="single" w:color="auto" w:sz="4" w:space="0"/>
            </w:tcBorders>
            <w:noWrap/>
            <w:vAlign w:val="center"/>
          </w:tcPr>
          <w:p w14:paraId="081AA1B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推进审批制度改革，精简审批事项，清理隐形壁垒</w:t>
            </w:r>
          </w:p>
        </w:tc>
        <w:tc>
          <w:tcPr>
            <w:tcW w:w="496" w:type="pct"/>
            <w:tcBorders>
              <w:top w:val="nil"/>
              <w:left w:val="nil"/>
              <w:bottom w:val="single" w:color="auto" w:sz="4" w:space="0"/>
              <w:right w:val="single" w:color="auto" w:sz="4" w:space="0"/>
            </w:tcBorders>
            <w:noWrap/>
            <w:vAlign w:val="center"/>
          </w:tcPr>
          <w:p w14:paraId="6C16E48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定性</w:t>
            </w:r>
          </w:p>
        </w:tc>
        <w:tc>
          <w:tcPr>
            <w:tcW w:w="1394" w:type="pct"/>
            <w:tcBorders>
              <w:top w:val="nil"/>
              <w:left w:val="nil"/>
              <w:bottom w:val="single" w:color="auto" w:sz="4" w:space="0"/>
              <w:right w:val="single" w:color="auto" w:sz="4" w:space="0"/>
            </w:tcBorders>
            <w:noWrap/>
            <w:vAlign w:val="center"/>
          </w:tcPr>
          <w:p w14:paraId="6B942F8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积极落实国务院和北京市要求</w:t>
            </w:r>
          </w:p>
        </w:tc>
        <w:tc>
          <w:tcPr>
            <w:tcW w:w="553" w:type="pct"/>
            <w:tcBorders>
              <w:top w:val="nil"/>
              <w:left w:val="nil"/>
              <w:bottom w:val="single" w:color="auto" w:sz="4" w:space="0"/>
              <w:right w:val="single" w:color="auto" w:sz="4" w:space="0"/>
            </w:tcBorders>
            <w:vAlign w:val="center"/>
          </w:tcPr>
          <w:p w14:paraId="37C1EC46">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_GB2312" w:hAnsi="仿宋_GB2312" w:eastAsia="仿宋_GB2312" w:cs="仿宋_GB2312"/>
                <w:sz w:val="28"/>
                <w:szCs w:val="28"/>
              </w:rPr>
            </w:pPr>
          </w:p>
        </w:tc>
        <w:tc>
          <w:tcPr>
            <w:tcW w:w="477" w:type="pct"/>
            <w:tcBorders>
              <w:top w:val="nil"/>
              <w:left w:val="nil"/>
              <w:bottom w:val="single" w:color="auto" w:sz="4" w:space="0"/>
              <w:right w:val="single" w:color="auto" w:sz="4" w:space="0"/>
            </w:tcBorders>
            <w:vAlign w:val="center"/>
          </w:tcPr>
          <w:p w14:paraId="3DC6866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9</w:t>
            </w:r>
          </w:p>
        </w:tc>
      </w:tr>
      <w:tr w14:paraId="0139FF25">
        <w:tblPrEx>
          <w:tblCellMar>
            <w:top w:w="0" w:type="dxa"/>
            <w:left w:w="108" w:type="dxa"/>
            <w:bottom w:w="0" w:type="dxa"/>
            <w:right w:w="108" w:type="dxa"/>
          </w:tblCellMar>
        </w:tblPrEx>
        <w:trPr>
          <w:trHeight w:val="275" w:hRule="atLeast"/>
        </w:trPr>
        <w:tc>
          <w:tcPr>
            <w:tcW w:w="370" w:type="pct"/>
            <w:tcBorders>
              <w:top w:val="single" w:color="auto" w:sz="4" w:space="0"/>
              <w:left w:val="single" w:color="auto" w:sz="4" w:space="0"/>
              <w:bottom w:val="single" w:color="auto" w:sz="4" w:space="0"/>
              <w:right w:val="single" w:color="auto" w:sz="4" w:space="0"/>
            </w:tcBorders>
            <w:noWrap/>
            <w:vAlign w:val="center"/>
          </w:tcPr>
          <w:p w14:paraId="7256CB75">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708" w:type="pct"/>
            <w:tcBorders>
              <w:top w:val="single" w:color="auto" w:sz="4" w:space="0"/>
              <w:left w:val="single" w:color="auto" w:sz="4" w:space="0"/>
              <w:bottom w:val="single" w:color="auto" w:sz="4" w:space="0"/>
              <w:right w:val="single" w:color="auto" w:sz="4" w:space="0"/>
            </w:tcBorders>
            <w:noWrap/>
            <w:vAlign w:val="center"/>
          </w:tcPr>
          <w:p w14:paraId="2661DF1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政务服务标准化，推进“全城通办”、“跨省通办”，推动综窗2.0改革</w:t>
            </w:r>
          </w:p>
        </w:tc>
        <w:tc>
          <w:tcPr>
            <w:tcW w:w="496" w:type="pct"/>
            <w:tcBorders>
              <w:top w:val="single" w:color="auto" w:sz="4" w:space="0"/>
              <w:left w:val="single" w:color="auto" w:sz="4" w:space="0"/>
              <w:bottom w:val="single" w:color="auto" w:sz="4" w:space="0"/>
              <w:right w:val="single" w:color="auto" w:sz="4" w:space="0"/>
            </w:tcBorders>
            <w:noWrap/>
            <w:vAlign w:val="center"/>
          </w:tcPr>
          <w:p w14:paraId="183F224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定性</w:t>
            </w:r>
          </w:p>
        </w:tc>
        <w:tc>
          <w:tcPr>
            <w:tcW w:w="1394" w:type="pct"/>
            <w:tcBorders>
              <w:top w:val="single" w:color="auto" w:sz="4" w:space="0"/>
              <w:left w:val="single" w:color="auto" w:sz="4" w:space="0"/>
              <w:bottom w:val="single" w:color="auto" w:sz="4" w:space="0"/>
              <w:right w:val="single" w:color="auto" w:sz="4" w:space="0"/>
            </w:tcBorders>
            <w:noWrap/>
            <w:vAlign w:val="center"/>
          </w:tcPr>
          <w:p w14:paraId="3AF53C8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提升三级政务服务体系规范化标准化水平</w:t>
            </w:r>
          </w:p>
        </w:tc>
        <w:tc>
          <w:tcPr>
            <w:tcW w:w="553" w:type="pct"/>
            <w:tcBorders>
              <w:top w:val="single" w:color="auto" w:sz="4" w:space="0"/>
              <w:left w:val="single" w:color="auto" w:sz="4" w:space="0"/>
              <w:bottom w:val="single" w:color="auto" w:sz="4" w:space="0"/>
              <w:right w:val="single" w:color="auto" w:sz="4" w:space="0"/>
            </w:tcBorders>
            <w:vAlign w:val="center"/>
          </w:tcPr>
          <w:p w14:paraId="161503D4">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_GB2312" w:hAnsi="仿宋_GB2312" w:eastAsia="仿宋_GB2312" w:cs="仿宋_GB2312"/>
                <w:sz w:val="28"/>
                <w:szCs w:val="28"/>
              </w:rPr>
            </w:pPr>
          </w:p>
        </w:tc>
        <w:tc>
          <w:tcPr>
            <w:tcW w:w="477" w:type="pct"/>
            <w:tcBorders>
              <w:top w:val="single" w:color="auto" w:sz="4" w:space="0"/>
              <w:left w:val="single" w:color="auto" w:sz="4" w:space="0"/>
              <w:bottom w:val="single" w:color="auto" w:sz="4" w:space="0"/>
              <w:right w:val="single" w:color="auto" w:sz="4" w:space="0"/>
            </w:tcBorders>
            <w:vAlign w:val="center"/>
          </w:tcPr>
          <w:p w14:paraId="0909C47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r>
      <w:tr w14:paraId="1D1A0FD8">
        <w:tblPrEx>
          <w:tblCellMar>
            <w:top w:w="0" w:type="dxa"/>
            <w:left w:w="108" w:type="dxa"/>
            <w:bottom w:w="0" w:type="dxa"/>
            <w:right w:w="108" w:type="dxa"/>
          </w:tblCellMar>
        </w:tblPrEx>
        <w:trPr>
          <w:trHeight w:val="275" w:hRule="atLeast"/>
        </w:trPr>
        <w:tc>
          <w:tcPr>
            <w:tcW w:w="370" w:type="pct"/>
            <w:tcBorders>
              <w:top w:val="single" w:color="auto" w:sz="4" w:space="0"/>
              <w:left w:val="single" w:color="auto" w:sz="4" w:space="0"/>
              <w:bottom w:val="single" w:color="auto" w:sz="4" w:space="0"/>
              <w:right w:val="single" w:color="auto" w:sz="4" w:space="0"/>
            </w:tcBorders>
            <w:noWrap/>
            <w:vAlign w:val="bottom"/>
          </w:tcPr>
          <w:p w14:paraId="38AE5D07">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708" w:type="pct"/>
            <w:tcBorders>
              <w:top w:val="single" w:color="auto" w:sz="4" w:space="0"/>
              <w:left w:val="single" w:color="auto" w:sz="4" w:space="0"/>
              <w:bottom w:val="single" w:color="auto" w:sz="4" w:space="0"/>
              <w:right w:val="single" w:color="auto" w:sz="4" w:space="0"/>
            </w:tcBorders>
            <w:noWrap/>
            <w:vAlign w:val="center"/>
          </w:tcPr>
          <w:p w14:paraId="33AA76A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基础设施设备、运维、人员日常办公保障</w:t>
            </w:r>
          </w:p>
        </w:tc>
        <w:tc>
          <w:tcPr>
            <w:tcW w:w="496" w:type="pct"/>
            <w:tcBorders>
              <w:top w:val="single" w:color="auto" w:sz="4" w:space="0"/>
              <w:left w:val="single" w:color="auto" w:sz="4" w:space="0"/>
              <w:bottom w:val="single" w:color="auto" w:sz="4" w:space="0"/>
              <w:right w:val="single" w:color="auto" w:sz="4" w:space="0"/>
            </w:tcBorders>
            <w:noWrap/>
            <w:vAlign w:val="center"/>
          </w:tcPr>
          <w:p w14:paraId="52713D5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定性</w:t>
            </w:r>
          </w:p>
        </w:tc>
        <w:tc>
          <w:tcPr>
            <w:tcW w:w="1394" w:type="pct"/>
            <w:tcBorders>
              <w:top w:val="single" w:color="auto" w:sz="4" w:space="0"/>
              <w:left w:val="single" w:color="auto" w:sz="4" w:space="0"/>
              <w:bottom w:val="single" w:color="auto" w:sz="4" w:space="0"/>
              <w:right w:val="single" w:color="auto" w:sz="4" w:space="0"/>
            </w:tcBorders>
            <w:noWrap/>
            <w:vAlign w:val="center"/>
          </w:tcPr>
          <w:p w14:paraId="723B877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保障日常运行</w:t>
            </w:r>
          </w:p>
        </w:tc>
        <w:tc>
          <w:tcPr>
            <w:tcW w:w="553" w:type="pct"/>
            <w:tcBorders>
              <w:top w:val="single" w:color="auto" w:sz="4" w:space="0"/>
              <w:left w:val="single" w:color="auto" w:sz="4" w:space="0"/>
              <w:bottom w:val="single" w:color="auto" w:sz="4" w:space="0"/>
              <w:right w:val="single" w:color="auto" w:sz="4" w:space="0"/>
            </w:tcBorders>
            <w:vAlign w:val="center"/>
          </w:tcPr>
          <w:p w14:paraId="127C4EFC">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_GB2312" w:hAnsi="仿宋_GB2312" w:eastAsia="仿宋_GB2312" w:cs="仿宋_GB2312"/>
                <w:sz w:val="28"/>
                <w:szCs w:val="28"/>
              </w:rPr>
            </w:pPr>
          </w:p>
        </w:tc>
        <w:tc>
          <w:tcPr>
            <w:tcW w:w="477" w:type="pct"/>
            <w:tcBorders>
              <w:top w:val="single" w:color="auto" w:sz="4" w:space="0"/>
              <w:left w:val="single" w:color="auto" w:sz="4" w:space="0"/>
              <w:bottom w:val="single" w:color="auto" w:sz="4" w:space="0"/>
              <w:right w:val="single" w:color="auto" w:sz="4" w:space="0"/>
            </w:tcBorders>
            <w:vAlign w:val="center"/>
          </w:tcPr>
          <w:p w14:paraId="24F52C8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r>
      <w:tr w14:paraId="197E927F">
        <w:tblPrEx>
          <w:tblCellMar>
            <w:top w:w="0" w:type="dxa"/>
            <w:left w:w="108" w:type="dxa"/>
            <w:bottom w:w="0" w:type="dxa"/>
            <w:right w:w="108" w:type="dxa"/>
          </w:tblCellMar>
        </w:tblPrEx>
        <w:trPr>
          <w:trHeight w:val="275" w:hRule="atLeast"/>
        </w:trPr>
        <w:tc>
          <w:tcPr>
            <w:tcW w:w="370" w:type="pct"/>
            <w:tcBorders>
              <w:top w:val="single" w:color="auto" w:sz="4" w:space="0"/>
              <w:left w:val="single" w:color="auto" w:sz="4" w:space="0"/>
              <w:bottom w:val="single" w:color="auto" w:sz="4" w:space="0"/>
              <w:right w:val="single" w:color="auto" w:sz="4" w:space="0"/>
            </w:tcBorders>
            <w:noWrap/>
            <w:vAlign w:val="bottom"/>
          </w:tcPr>
          <w:p w14:paraId="17DB0D03">
            <w:pPr>
              <w:widowControl/>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4</w:t>
            </w:r>
          </w:p>
        </w:tc>
        <w:tc>
          <w:tcPr>
            <w:tcW w:w="1708" w:type="pct"/>
            <w:tcBorders>
              <w:top w:val="single" w:color="auto" w:sz="4" w:space="0"/>
              <w:left w:val="single" w:color="auto" w:sz="4" w:space="0"/>
              <w:bottom w:val="single" w:color="auto" w:sz="4" w:space="0"/>
              <w:right w:val="single" w:color="auto" w:sz="4" w:space="0"/>
            </w:tcBorders>
            <w:noWrap/>
            <w:vAlign w:val="center"/>
          </w:tcPr>
          <w:p w14:paraId="00B86B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综合窗口服务质量和效率</w:t>
            </w:r>
          </w:p>
        </w:tc>
        <w:tc>
          <w:tcPr>
            <w:tcW w:w="496" w:type="pct"/>
            <w:tcBorders>
              <w:top w:val="single" w:color="auto" w:sz="4" w:space="0"/>
              <w:left w:val="single" w:color="auto" w:sz="4" w:space="0"/>
              <w:bottom w:val="single" w:color="auto" w:sz="4" w:space="0"/>
              <w:right w:val="single" w:color="auto" w:sz="4" w:space="0"/>
            </w:tcBorders>
            <w:noWrap/>
            <w:vAlign w:val="center"/>
          </w:tcPr>
          <w:p w14:paraId="3148E5D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定性</w:t>
            </w:r>
          </w:p>
        </w:tc>
        <w:tc>
          <w:tcPr>
            <w:tcW w:w="1394" w:type="pct"/>
            <w:tcBorders>
              <w:top w:val="single" w:color="auto" w:sz="4" w:space="0"/>
              <w:left w:val="single" w:color="auto" w:sz="4" w:space="0"/>
              <w:bottom w:val="single" w:color="auto" w:sz="4" w:space="0"/>
              <w:right w:val="single" w:color="auto" w:sz="4" w:space="0"/>
            </w:tcBorders>
            <w:noWrap/>
            <w:vAlign w:val="center"/>
          </w:tcPr>
          <w:p w14:paraId="1F0E57E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优化政务服务环境</w:t>
            </w:r>
          </w:p>
        </w:tc>
        <w:tc>
          <w:tcPr>
            <w:tcW w:w="553" w:type="pct"/>
            <w:tcBorders>
              <w:top w:val="single" w:color="auto" w:sz="4" w:space="0"/>
              <w:left w:val="single" w:color="auto" w:sz="4" w:space="0"/>
              <w:bottom w:val="single" w:color="auto" w:sz="4" w:space="0"/>
              <w:right w:val="single" w:color="auto" w:sz="4" w:space="0"/>
            </w:tcBorders>
            <w:vAlign w:val="center"/>
          </w:tcPr>
          <w:p w14:paraId="676BEE7E">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_GB2312" w:hAnsi="仿宋_GB2312" w:eastAsia="仿宋_GB2312" w:cs="仿宋_GB2312"/>
                <w:sz w:val="28"/>
                <w:szCs w:val="28"/>
              </w:rPr>
            </w:pPr>
          </w:p>
        </w:tc>
        <w:tc>
          <w:tcPr>
            <w:tcW w:w="477" w:type="pct"/>
            <w:tcBorders>
              <w:top w:val="single" w:color="auto" w:sz="4" w:space="0"/>
              <w:left w:val="single" w:color="auto" w:sz="4" w:space="0"/>
              <w:bottom w:val="single" w:color="auto" w:sz="4" w:space="0"/>
              <w:right w:val="single" w:color="auto" w:sz="4" w:space="0"/>
            </w:tcBorders>
            <w:vAlign w:val="center"/>
          </w:tcPr>
          <w:p w14:paraId="26B32E2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9</w:t>
            </w:r>
          </w:p>
        </w:tc>
      </w:tr>
      <w:tr w14:paraId="165E7A07">
        <w:tblPrEx>
          <w:tblCellMar>
            <w:top w:w="0" w:type="dxa"/>
            <w:left w:w="108" w:type="dxa"/>
            <w:bottom w:w="0" w:type="dxa"/>
            <w:right w:w="108" w:type="dxa"/>
          </w:tblCellMar>
        </w:tblPrEx>
        <w:trPr>
          <w:trHeight w:val="275" w:hRule="atLeast"/>
        </w:trPr>
        <w:tc>
          <w:tcPr>
            <w:tcW w:w="370" w:type="pct"/>
            <w:tcBorders>
              <w:top w:val="single" w:color="auto" w:sz="4" w:space="0"/>
              <w:left w:val="single" w:color="auto" w:sz="4" w:space="0"/>
              <w:bottom w:val="single" w:color="auto" w:sz="4" w:space="0"/>
              <w:right w:val="single" w:color="auto" w:sz="4" w:space="0"/>
            </w:tcBorders>
            <w:noWrap/>
            <w:vAlign w:val="bottom"/>
          </w:tcPr>
          <w:p w14:paraId="26D1BADE">
            <w:pPr>
              <w:widowControl/>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1708" w:type="pct"/>
            <w:tcBorders>
              <w:top w:val="single" w:color="auto" w:sz="4" w:space="0"/>
              <w:left w:val="single" w:color="auto" w:sz="4" w:space="0"/>
              <w:bottom w:val="single" w:color="auto" w:sz="4" w:space="0"/>
              <w:right w:val="single" w:color="auto" w:sz="4" w:space="0"/>
            </w:tcBorders>
            <w:noWrap/>
            <w:vAlign w:val="center"/>
          </w:tcPr>
          <w:p w14:paraId="680F19A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企业群众满意度</w:t>
            </w:r>
          </w:p>
        </w:tc>
        <w:tc>
          <w:tcPr>
            <w:tcW w:w="496" w:type="pct"/>
            <w:tcBorders>
              <w:top w:val="single" w:color="auto" w:sz="4" w:space="0"/>
              <w:left w:val="single" w:color="auto" w:sz="4" w:space="0"/>
              <w:bottom w:val="single" w:color="auto" w:sz="4" w:space="0"/>
              <w:right w:val="single" w:color="auto" w:sz="4" w:space="0"/>
            </w:tcBorders>
            <w:noWrap/>
            <w:vAlign w:val="center"/>
          </w:tcPr>
          <w:p w14:paraId="34BB4A5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w:t>
            </w:r>
          </w:p>
        </w:tc>
        <w:tc>
          <w:tcPr>
            <w:tcW w:w="1394" w:type="pct"/>
            <w:tcBorders>
              <w:top w:val="single" w:color="auto" w:sz="4" w:space="0"/>
              <w:left w:val="single" w:color="auto" w:sz="4" w:space="0"/>
              <w:bottom w:val="single" w:color="auto" w:sz="4" w:space="0"/>
              <w:right w:val="single" w:color="auto" w:sz="4" w:space="0"/>
            </w:tcBorders>
            <w:noWrap/>
            <w:vAlign w:val="center"/>
          </w:tcPr>
          <w:p w14:paraId="5C67091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90</w:t>
            </w:r>
          </w:p>
        </w:tc>
        <w:tc>
          <w:tcPr>
            <w:tcW w:w="553" w:type="pct"/>
            <w:tcBorders>
              <w:top w:val="single" w:color="auto" w:sz="4" w:space="0"/>
              <w:left w:val="single" w:color="auto" w:sz="4" w:space="0"/>
              <w:bottom w:val="single" w:color="auto" w:sz="4" w:space="0"/>
              <w:right w:val="single" w:color="auto" w:sz="4" w:space="0"/>
            </w:tcBorders>
            <w:vAlign w:val="center"/>
          </w:tcPr>
          <w:p w14:paraId="13CE5C3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w:t>
            </w:r>
          </w:p>
        </w:tc>
        <w:tc>
          <w:tcPr>
            <w:tcW w:w="477" w:type="pct"/>
            <w:tcBorders>
              <w:top w:val="single" w:color="auto" w:sz="4" w:space="0"/>
              <w:left w:val="single" w:color="auto" w:sz="4" w:space="0"/>
              <w:bottom w:val="single" w:color="auto" w:sz="4" w:space="0"/>
              <w:right w:val="single" w:color="auto" w:sz="4" w:space="0"/>
            </w:tcBorders>
            <w:vAlign w:val="center"/>
          </w:tcPr>
          <w:p w14:paraId="0125A3D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r>
      <w:tr w14:paraId="13DF5460">
        <w:tblPrEx>
          <w:tblCellMar>
            <w:top w:w="0" w:type="dxa"/>
            <w:left w:w="108" w:type="dxa"/>
            <w:bottom w:w="0" w:type="dxa"/>
            <w:right w:w="108" w:type="dxa"/>
          </w:tblCellMar>
        </w:tblPrEx>
        <w:trPr>
          <w:trHeight w:val="275" w:hRule="atLeast"/>
        </w:trPr>
        <w:tc>
          <w:tcPr>
            <w:tcW w:w="370" w:type="pct"/>
            <w:tcBorders>
              <w:top w:val="single" w:color="auto" w:sz="4" w:space="0"/>
              <w:left w:val="single" w:color="auto" w:sz="4" w:space="0"/>
              <w:bottom w:val="single" w:color="auto" w:sz="4" w:space="0"/>
              <w:right w:val="single" w:color="auto" w:sz="4" w:space="0"/>
            </w:tcBorders>
            <w:noWrap/>
            <w:vAlign w:val="bottom"/>
          </w:tcPr>
          <w:p w14:paraId="742BA970">
            <w:pPr>
              <w:widowControl/>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1708" w:type="pct"/>
            <w:tcBorders>
              <w:top w:val="single" w:color="auto" w:sz="4" w:space="0"/>
              <w:left w:val="single" w:color="auto" w:sz="4" w:space="0"/>
              <w:bottom w:val="single" w:color="auto" w:sz="4" w:space="0"/>
              <w:right w:val="single" w:color="auto" w:sz="4" w:space="0"/>
            </w:tcBorders>
            <w:noWrap/>
            <w:vAlign w:val="center"/>
          </w:tcPr>
          <w:p w14:paraId="1451E93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办事智能化</w:t>
            </w:r>
          </w:p>
        </w:tc>
        <w:tc>
          <w:tcPr>
            <w:tcW w:w="496" w:type="pct"/>
            <w:tcBorders>
              <w:top w:val="single" w:color="auto" w:sz="4" w:space="0"/>
              <w:left w:val="single" w:color="auto" w:sz="4" w:space="0"/>
              <w:bottom w:val="single" w:color="auto" w:sz="4" w:space="0"/>
              <w:right w:val="single" w:color="auto" w:sz="4" w:space="0"/>
            </w:tcBorders>
            <w:noWrap/>
            <w:vAlign w:val="center"/>
          </w:tcPr>
          <w:p w14:paraId="497FF0B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定性</w:t>
            </w:r>
          </w:p>
        </w:tc>
        <w:tc>
          <w:tcPr>
            <w:tcW w:w="1394" w:type="pct"/>
            <w:tcBorders>
              <w:top w:val="single" w:color="auto" w:sz="4" w:space="0"/>
              <w:left w:val="single" w:color="auto" w:sz="4" w:space="0"/>
              <w:bottom w:val="single" w:color="auto" w:sz="4" w:space="0"/>
              <w:right w:val="single" w:color="auto" w:sz="4" w:space="0"/>
            </w:tcBorders>
            <w:noWrap/>
            <w:vAlign w:val="center"/>
          </w:tcPr>
          <w:p w14:paraId="125BBD4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不断提高</w:t>
            </w:r>
          </w:p>
        </w:tc>
        <w:tc>
          <w:tcPr>
            <w:tcW w:w="553" w:type="pct"/>
            <w:tcBorders>
              <w:top w:val="single" w:color="auto" w:sz="4" w:space="0"/>
              <w:left w:val="single" w:color="auto" w:sz="4" w:space="0"/>
              <w:bottom w:val="single" w:color="auto" w:sz="4" w:space="0"/>
              <w:right w:val="single" w:color="auto" w:sz="4" w:space="0"/>
            </w:tcBorders>
            <w:vAlign w:val="center"/>
          </w:tcPr>
          <w:p w14:paraId="3F4AB2D1">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_GB2312" w:hAnsi="仿宋_GB2312" w:eastAsia="仿宋_GB2312" w:cs="仿宋_GB2312"/>
                <w:sz w:val="28"/>
                <w:szCs w:val="28"/>
              </w:rPr>
            </w:pPr>
          </w:p>
        </w:tc>
        <w:tc>
          <w:tcPr>
            <w:tcW w:w="477" w:type="pct"/>
            <w:tcBorders>
              <w:top w:val="single" w:color="auto" w:sz="4" w:space="0"/>
              <w:left w:val="single" w:color="auto" w:sz="4" w:space="0"/>
              <w:bottom w:val="single" w:color="auto" w:sz="4" w:space="0"/>
              <w:right w:val="single" w:color="auto" w:sz="4" w:space="0"/>
            </w:tcBorders>
            <w:vAlign w:val="center"/>
          </w:tcPr>
          <w:p w14:paraId="6C739DD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9</w:t>
            </w:r>
          </w:p>
        </w:tc>
      </w:tr>
      <w:tr w14:paraId="5D32FC1C">
        <w:tblPrEx>
          <w:tblCellMar>
            <w:top w:w="0" w:type="dxa"/>
            <w:left w:w="108" w:type="dxa"/>
            <w:bottom w:w="0" w:type="dxa"/>
            <w:right w:w="108" w:type="dxa"/>
          </w:tblCellMar>
        </w:tblPrEx>
        <w:trPr>
          <w:trHeight w:val="275" w:hRule="atLeast"/>
        </w:trPr>
        <w:tc>
          <w:tcPr>
            <w:tcW w:w="370" w:type="pct"/>
            <w:tcBorders>
              <w:top w:val="single" w:color="auto" w:sz="4" w:space="0"/>
              <w:left w:val="single" w:color="auto" w:sz="4" w:space="0"/>
              <w:bottom w:val="single" w:color="auto" w:sz="4" w:space="0"/>
              <w:right w:val="single" w:color="auto" w:sz="4" w:space="0"/>
            </w:tcBorders>
            <w:noWrap/>
            <w:vAlign w:val="bottom"/>
          </w:tcPr>
          <w:p w14:paraId="6F45B34D">
            <w:pPr>
              <w:widowControl/>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1708" w:type="pct"/>
            <w:tcBorders>
              <w:top w:val="single" w:color="auto" w:sz="4" w:space="0"/>
              <w:left w:val="single" w:color="auto" w:sz="4" w:space="0"/>
              <w:bottom w:val="single" w:color="auto" w:sz="4" w:space="0"/>
              <w:right w:val="single" w:color="auto" w:sz="4" w:space="0"/>
            </w:tcBorders>
            <w:noWrap/>
            <w:vAlign w:val="center"/>
          </w:tcPr>
          <w:p w14:paraId="7B767E8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系统稳定运行</w:t>
            </w:r>
          </w:p>
        </w:tc>
        <w:tc>
          <w:tcPr>
            <w:tcW w:w="496" w:type="pct"/>
            <w:tcBorders>
              <w:top w:val="single" w:color="auto" w:sz="4" w:space="0"/>
              <w:left w:val="single" w:color="auto" w:sz="4" w:space="0"/>
              <w:bottom w:val="single" w:color="auto" w:sz="4" w:space="0"/>
              <w:right w:val="single" w:color="auto" w:sz="4" w:space="0"/>
            </w:tcBorders>
            <w:noWrap/>
            <w:vAlign w:val="center"/>
          </w:tcPr>
          <w:p w14:paraId="0089ECD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定性</w:t>
            </w:r>
          </w:p>
        </w:tc>
        <w:tc>
          <w:tcPr>
            <w:tcW w:w="1394" w:type="pct"/>
            <w:tcBorders>
              <w:top w:val="single" w:color="auto" w:sz="4" w:space="0"/>
              <w:left w:val="single" w:color="auto" w:sz="4" w:space="0"/>
              <w:bottom w:val="single" w:color="auto" w:sz="4" w:space="0"/>
              <w:right w:val="single" w:color="auto" w:sz="4" w:space="0"/>
            </w:tcBorders>
            <w:noWrap/>
            <w:vAlign w:val="center"/>
          </w:tcPr>
          <w:p w14:paraId="630DC2A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保障系统稳定运行</w:t>
            </w:r>
          </w:p>
        </w:tc>
        <w:tc>
          <w:tcPr>
            <w:tcW w:w="553" w:type="pct"/>
            <w:tcBorders>
              <w:top w:val="single" w:color="auto" w:sz="4" w:space="0"/>
              <w:left w:val="single" w:color="auto" w:sz="4" w:space="0"/>
              <w:bottom w:val="single" w:color="auto" w:sz="4" w:space="0"/>
              <w:right w:val="single" w:color="auto" w:sz="4" w:space="0"/>
            </w:tcBorders>
            <w:vAlign w:val="center"/>
          </w:tcPr>
          <w:p w14:paraId="63E69905">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_GB2312" w:hAnsi="仿宋_GB2312" w:eastAsia="仿宋_GB2312" w:cs="仿宋_GB2312"/>
                <w:sz w:val="28"/>
                <w:szCs w:val="28"/>
              </w:rPr>
            </w:pPr>
          </w:p>
        </w:tc>
        <w:tc>
          <w:tcPr>
            <w:tcW w:w="477" w:type="pct"/>
            <w:tcBorders>
              <w:top w:val="single" w:color="auto" w:sz="4" w:space="0"/>
              <w:left w:val="single" w:color="auto" w:sz="4" w:space="0"/>
              <w:bottom w:val="single" w:color="auto" w:sz="4" w:space="0"/>
              <w:right w:val="single" w:color="auto" w:sz="4" w:space="0"/>
            </w:tcBorders>
            <w:vAlign w:val="center"/>
          </w:tcPr>
          <w:p w14:paraId="5B8BFD2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9</w:t>
            </w:r>
          </w:p>
        </w:tc>
      </w:tr>
      <w:tr w14:paraId="043FEA78">
        <w:tblPrEx>
          <w:tblCellMar>
            <w:top w:w="0" w:type="dxa"/>
            <w:left w:w="108" w:type="dxa"/>
            <w:bottom w:w="0" w:type="dxa"/>
            <w:right w:w="108" w:type="dxa"/>
          </w:tblCellMar>
        </w:tblPrEx>
        <w:trPr>
          <w:trHeight w:val="275" w:hRule="atLeast"/>
        </w:trPr>
        <w:tc>
          <w:tcPr>
            <w:tcW w:w="370" w:type="pct"/>
            <w:tcBorders>
              <w:top w:val="single" w:color="auto" w:sz="4" w:space="0"/>
              <w:left w:val="single" w:color="auto" w:sz="4" w:space="0"/>
              <w:bottom w:val="single" w:color="auto" w:sz="4" w:space="0"/>
              <w:right w:val="single" w:color="auto" w:sz="4" w:space="0"/>
            </w:tcBorders>
            <w:noWrap/>
            <w:vAlign w:val="bottom"/>
          </w:tcPr>
          <w:p w14:paraId="07126C0D">
            <w:pPr>
              <w:widowControl/>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1708" w:type="pct"/>
            <w:tcBorders>
              <w:top w:val="single" w:color="auto" w:sz="4" w:space="0"/>
              <w:left w:val="single" w:color="auto" w:sz="4" w:space="0"/>
              <w:bottom w:val="single" w:color="auto" w:sz="4" w:space="0"/>
              <w:right w:val="single" w:color="auto" w:sz="4" w:space="0"/>
            </w:tcBorders>
            <w:noWrap/>
            <w:vAlign w:val="center"/>
          </w:tcPr>
          <w:p w14:paraId="5A1D10B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政府信息公开率</w:t>
            </w:r>
          </w:p>
        </w:tc>
        <w:tc>
          <w:tcPr>
            <w:tcW w:w="496" w:type="pct"/>
            <w:tcBorders>
              <w:top w:val="single" w:color="auto" w:sz="4" w:space="0"/>
              <w:left w:val="single" w:color="auto" w:sz="4" w:space="0"/>
              <w:bottom w:val="single" w:color="auto" w:sz="4" w:space="0"/>
              <w:right w:val="single" w:color="auto" w:sz="4" w:space="0"/>
            </w:tcBorders>
            <w:noWrap/>
            <w:vAlign w:val="center"/>
          </w:tcPr>
          <w:p w14:paraId="33DBF4F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定性</w:t>
            </w:r>
          </w:p>
        </w:tc>
        <w:tc>
          <w:tcPr>
            <w:tcW w:w="1394" w:type="pct"/>
            <w:tcBorders>
              <w:top w:val="single" w:color="auto" w:sz="4" w:space="0"/>
              <w:left w:val="single" w:color="auto" w:sz="4" w:space="0"/>
              <w:bottom w:val="single" w:color="auto" w:sz="4" w:space="0"/>
              <w:right w:val="single" w:color="auto" w:sz="4" w:space="0"/>
            </w:tcBorders>
            <w:noWrap/>
            <w:vAlign w:val="center"/>
          </w:tcPr>
          <w:p w14:paraId="2E4E953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不断提高</w:t>
            </w:r>
          </w:p>
        </w:tc>
        <w:tc>
          <w:tcPr>
            <w:tcW w:w="553" w:type="pct"/>
            <w:tcBorders>
              <w:top w:val="single" w:color="auto" w:sz="4" w:space="0"/>
              <w:left w:val="single" w:color="auto" w:sz="4" w:space="0"/>
              <w:bottom w:val="single" w:color="auto" w:sz="4" w:space="0"/>
              <w:right w:val="single" w:color="auto" w:sz="4" w:space="0"/>
            </w:tcBorders>
            <w:vAlign w:val="center"/>
          </w:tcPr>
          <w:p w14:paraId="2E630A93">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_GB2312" w:hAnsi="仿宋_GB2312" w:eastAsia="仿宋_GB2312" w:cs="仿宋_GB2312"/>
                <w:sz w:val="28"/>
                <w:szCs w:val="28"/>
              </w:rPr>
            </w:pPr>
          </w:p>
        </w:tc>
        <w:tc>
          <w:tcPr>
            <w:tcW w:w="477" w:type="pct"/>
            <w:tcBorders>
              <w:top w:val="single" w:color="auto" w:sz="4" w:space="0"/>
              <w:left w:val="single" w:color="auto" w:sz="4" w:space="0"/>
              <w:bottom w:val="single" w:color="auto" w:sz="4" w:space="0"/>
              <w:right w:val="single" w:color="auto" w:sz="4" w:space="0"/>
            </w:tcBorders>
            <w:vAlign w:val="center"/>
          </w:tcPr>
          <w:p w14:paraId="28DCB67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9</w:t>
            </w:r>
          </w:p>
        </w:tc>
      </w:tr>
      <w:tr w14:paraId="1563C160">
        <w:tblPrEx>
          <w:tblCellMar>
            <w:top w:w="0" w:type="dxa"/>
            <w:left w:w="108" w:type="dxa"/>
            <w:bottom w:w="0" w:type="dxa"/>
            <w:right w:w="108" w:type="dxa"/>
          </w:tblCellMar>
        </w:tblPrEx>
        <w:trPr>
          <w:trHeight w:val="275" w:hRule="atLeast"/>
        </w:trPr>
        <w:tc>
          <w:tcPr>
            <w:tcW w:w="370" w:type="pct"/>
            <w:tcBorders>
              <w:top w:val="single" w:color="auto" w:sz="4" w:space="0"/>
              <w:left w:val="single" w:color="auto" w:sz="4" w:space="0"/>
              <w:bottom w:val="single" w:color="auto" w:sz="4" w:space="0"/>
              <w:right w:val="single" w:color="auto" w:sz="4" w:space="0"/>
            </w:tcBorders>
            <w:noWrap/>
            <w:vAlign w:val="bottom"/>
          </w:tcPr>
          <w:p w14:paraId="5D0F229D">
            <w:pPr>
              <w:widowControl/>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1708" w:type="pct"/>
            <w:tcBorders>
              <w:top w:val="single" w:color="auto" w:sz="4" w:space="0"/>
              <w:left w:val="single" w:color="auto" w:sz="4" w:space="0"/>
              <w:bottom w:val="single" w:color="auto" w:sz="4" w:space="0"/>
              <w:right w:val="single" w:color="auto" w:sz="4" w:space="0"/>
            </w:tcBorders>
            <w:noWrap/>
            <w:vAlign w:val="center"/>
          </w:tcPr>
          <w:p w14:paraId="60F0780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信息内容更新</w:t>
            </w:r>
          </w:p>
        </w:tc>
        <w:tc>
          <w:tcPr>
            <w:tcW w:w="496" w:type="pct"/>
            <w:tcBorders>
              <w:top w:val="single" w:color="auto" w:sz="4" w:space="0"/>
              <w:left w:val="single" w:color="auto" w:sz="4" w:space="0"/>
              <w:bottom w:val="single" w:color="auto" w:sz="4" w:space="0"/>
              <w:right w:val="single" w:color="auto" w:sz="4" w:space="0"/>
            </w:tcBorders>
            <w:noWrap/>
            <w:vAlign w:val="center"/>
          </w:tcPr>
          <w:p w14:paraId="45CC46A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定性</w:t>
            </w:r>
          </w:p>
        </w:tc>
        <w:tc>
          <w:tcPr>
            <w:tcW w:w="1394" w:type="pct"/>
            <w:tcBorders>
              <w:top w:val="single" w:color="auto" w:sz="4" w:space="0"/>
              <w:left w:val="single" w:color="auto" w:sz="4" w:space="0"/>
              <w:bottom w:val="single" w:color="auto" w:sz="4" w:space="0"/>
              <w:right w:val="single" w:color="auto" w:sz="4" w:space="0"/>
            </w:tcBorders>
            <w:noWrap/>
            <w:vAlign w:val="center"/>
          </w:tcPr>
          <w:p w14:paraId="65DE69F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及时准确</w:t>
            </w:r>
          </w:p>
        </w:tc>
        <w:tc>
          <w:tcPr>
            <w:tcW w:w="553" w:type="pct"/>
            <w:tcBorders>
              <w:top w:val="single" w:color="auto" w:sz="4" w:space="0"/>
              <w:left w:val="single" w:color="auto" w:sz="4" w:space="0"/>
              <w:bottom w:val="single" w:color="auto" w:sz="4" w:space="0"/>
              <w:right w:val="single" w:color="auto" w:sz="4" w:space="0"/>
            </w:tcBorders>
            <w:vAlign w:val="center"/>
          </w:tcPr>
          <w:p w14:paraId="6F2302C6">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_GB2312" w:hAnsi="仿宋_GB2312" w:eastAsia="仿宋_GB2312" w:cs="仿宋_GB2312"/>
                <w:sz w:val="28"/>
                <w:szCs w:val="28"/>
              </w:rPr>
            </w:pPr>
          </w:p>
        </w:tc>
        <w:tc>
          <w:tcPr>
            <w:tcW w:w="477" w:type="pct"/>
            <w:tcBorders>
              <w:top w:val="single" w:color="auto" w:sz="4" w:space="0"/>
              <w:left w:val="single" w:color="auto" w:sz="4" w:space="0"/>
              <w:bottom w:val="single" w:color="auto" w:sz="4" w:space="0"/>
              <w:right w:val="single" w:color="auto" w:sz="4" w:space="0"/>
            </w:tcBorders>
            <w:vAlign w:val="center"/>
          </w:tcPr>
          <w:p w14:paraId="75A7D33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r>
      <w:tr w14:paraId="19A5B32B">
        <w:tblPrEx>
          <w:tblCellMar>
            <w:top w:w="0" w:type="dxa"/>
            <w:left w:w="108" w:type="dxa"/>
            <w:bottom w:w="0" w:type="dxa"/>
            <w:right w:w="108" w:type="dxa"/>
          </w:tblCellMar>
        </w:tblPrEx>
        <w:trPr>
          <w:trHeight w:val="275" w:hRule="atLeast"/>
        </w:trPr>
        <w:tc>
          <w:tcPr>
            <w:tcW w:w="370" w:type="pct"/>
            <w:tcBorders>
              <w:top w:val="single" w:color="auto" w:sz="4" w:space="0"/>
              <w:left w:val="single" w:color="auto" w:sz="4" w:space="0"/>
              <w:bottom w:val="single" w:color="auto" w:sz="4" w:space="0"/>
              <w:right w:val="single" w:color="auto" w:sz="4" w:space="0"/>
            </w:tcBorders>
            <w:noWrap/>
            <w:vAlign w:val="bottom"/>
          </w:tcPr>
          <w:p w14:paraId="50EE5C59">
            <w:pPr>
              <w:widowControl/>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1708" w:type="pct"/>
            <w:tcBorders>
              <w:top w:val="single" w:color="auto" w:sz="4" w:space="0"/>
              <w:left w:val="single" w:color="auto" w:sz="4" w:space="0"/>
              <w:bottom w:val="single" w:color="auto" w:sz="4" w:space="0"/>
              <w:right w:val="single" w:color="auto" w:sz="4" w:space="0"/>
            </w:tcBorders>
            <w:noWrap/>
            <w:vAlign w:val="center"/>
          </w:tcPr>
          <w:p w14:paraId="5595F97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推进政府信息公开法定义务落实</w:t>
            </w:r>
          </w:p>
        </w:tc>
        <w:tc>
          <w:tcPr>
            <w:tcW w:w="496" w:type="pct"/>
            <w:tcBorders>
              <w:top w:val="single" w:color="auto" w:sz="4" w:space="0"/>
              <w:left w:val="single" w:color="auto" w:sz="4" w:space="0"/>
              <w:bottom w:val="single" w:color="auto" w:sz="4" w:space="0"/>
              <w:right w:val="single" w:color="auto" w:sz="4" w:space="0"/>
            </w:tcBorders>
            <w:noWrap/>
            <w:vAlign w:val="center"/>
          </w:tcPr>
          <w:p w14:paraId="6F0650D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定性</w:t>
            </w:r>
          </w:p>
        </w:tc>
        <w:tc>
          <w:tcPr>
            <w:tcW w:w="1394" w:type="pct"/>
            <w:tcBorders>
              <w:top w:val="single" w:color="auto" w:sz="4" w:space="0"/>
              <w:left w:val="single" w:color="auto" w:sz="4" w:space="0"/>
              <w:bottom w:val="single" w:color="auto" w:sz="4" w:space="0"/>
              <w:right w:val="single" w:color="auto" w:sz="4" w:space="0"/>
            </w:tcBorders>
            <w:noWrap/>
            <w:vAlign w:val="center"/>
          </w:tcPr>
          <w:p w14:paraId="17D5C76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及时办结</w:t>
            </w:r>
          </w:p>
        </w:tc>
        <w:tc>
          <w:tcPr>
            <w:tcW w:w="553" w:type="pct"/>
            <w:tcBorders>
              <w:top w:val="single" w:color="auto" w:sz="4" w:space="0"/>
              <w:left w:val="single" w:color="auto" w:sz="4" w:space="0"/>
              <w:bottom w:val="single" w:color="auto" w:sz="4" w:space="0"/>
              <w:right w:val="single" w:color="auto" w:sz="4" w:space="0"/>
            </w:tcBorders>
            <w:vAlign w:val="center"/>
          </w:tcPr>
          <w:p w14:paraId="1632F36C">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_GB2312" w:hAnsi="仿宋_GB2312" w:eastAsia="仿宋_GB2312" w:cs="仿宋_GB2312"/>
                <w:sz w:val="28"/>
                <w:szCs w:val="28"/>
              </w:rPr>
            </w:pPr>
          </w:p>
        </w:tc>
        <w:tc>
          <w:tcPr>
            <w:tcW w:w="477" w:type="pct"/>
            <w:tcBorders>
              <w:top w:val="single" w:color="auto" w:sz="4" w:space="0"/>
              <w:left w:val="single" w:color="auto" w:sz="4" w:space="0"/>
              <w:bottom w:val="single" w:color="auto" w:sz="4" w:space="0"/>
              <w:right w:val="single" w:color="auto" w:sz="4" w:space="0"/>
            </w:tcBorders>
            <w:vAlign w:val="center"/>
          </w:tcPr>
          <w:p w14:paraId="5ECE189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r>
      <w:tr w14:paraId="2F660A6B">
        <w:tblPrEx>
          <w:tblCellMar>
            <w:top w:w="0" w:type="dxa"/>
            <w:left w:w="108" w:type="dxa"/>
            <w:bottom w:w="0" w:type="dxa"/>
            <w:right w:w="108" w:type="dxa"/>
          </w:tblCellMar>
        </w:tblPrEx>
        <w:trPr>
          <w:trHeight w:val="275" w:hRule="atLeast"/>
        </w:trPr>
        <w:tc>
          <w:tcPr>
            <w:tcW w:w="370" w:type="pct"/>
            <w:tcBorders>
              <w:top w:val="single" w:color="auto" w:sz="4" w:space="0"/>
              <w:left w:val="single" w:color="auto" w:sz="4" w:space="0"/>
              <w:bottom w:val="single" w:color="auto" w:sz="4" w:space="0"/>
              <w:right w:val="single" w:color="auto" w:sz="4" w:space="0"/>
            </w:tcBorders>
            <w:noWrap/>
            <w:vAlign w:val="bottom"/>
          </w:tcPr>
          <w:p w14:paraId="63B6D2D4">
            <w:pPr>
              <w:widowControl/>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1708" w:type="pct"/>
            <w:tcBorders>
              <w:top w:val="single" w:color="auto" w:sz="4" w:space="0"/>
              <w:left w:val="single" w:color="auto" w:sz="4" w:space="0"/>
              <w:bottom w:val="single" w:color="auto" w:sz="4" w:space="0"/>
              <w:right w:val="single" w:color="auto" w:sz="4" w:space="0"/>
            </w:tcBorders>
            <w:noWrap/>
            <w:vAlign w:val="bottom"/>
          </w:tcPr>
          <w:p w14:paraId="533D9AF3">
            <w:pPr>
              <w:widowControl/>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采购服务对象</w:t>
            </w:r>
          </w:p>
        </w:tc>
        <w:tc>
          <w:tcPr>
            <w:tcW w:w="496" w:type="pct"/>
            <w:tcBorders>
              <w:top w:val="single" w:color="auto" w:sz="4" w:space="0"/>
              <w:left w:val="single" w:color="auto" w:sz="4" w:space="0"/>
              <w:bottom w:val="single" w:color="auto" w:sz="4" w:space="0"/>
              <w:right w:val="single" w:color="auto" w:sz="4" w:space="0"/>
            </w:tcBorders>
            <w:noWrap/>
            <w:vAlign w:val="bottom"/>
          </w:tcPr>
          <w:p w14:paraId="5682F3D0">
            <w:pPr>
              <w:widowControl/>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定性</w:t>
            </w:r>
          </w:p>
        </w:tc>
        <w:tc>
          <w:tcPr>
            <w:tcW w:w="1394" w:type="pct"/>
            <w:tcBorders>
              <w:top w:val="single" w:color="auto" w:sz="4" w:space="0"/>
              <w:left w:val="single" w:color="auto" w:sz="4" w:space="0"/>
              <w:bottom w:val="single" w:color="auto" w:sz="4" w:space="0"/>
              <w:right w:val="single" w:color="auto" w:sz="4" w:space="0"/>
            </w:tcBorders>
            <w:noWrap/>
            <w:vAlign w:val="bottom"/>
          </w:tcPr>
          <w:p w14:paraId="1B282CC7">
            <w:pPr>
              <w:widowControl/>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满意</w:t>
            </w:r>
          </w:p>
        </w:tc>
        <w:tc>
          <w:tcPr>
            <w:tcW w:w="553" w:type="pct"/>
            <w:tcBorders>
              <w:top w:val="single" w:color="auto" w:sz="4" w:space="0"/>
              <w:left w:val="single" w:color="auto" w:sz="4" w:space="0"/>
              <w:bottom w:val="single" w:color="auto" w:sz="4" w:space="0"/>
              <w:right w:val="single" w:color="auto" w:sz="4" w:space="0"/>
            </w:tcBorders>
          </w:tcPr>
          <w:p w14:paraId="5897E7DD">
            <w:pPr>
              <w:widowControl/>
              <w:jc w:val="left"/>
              <w:rPr>
                <w:rFonts w:hint="eastAsia" w:ascii="仿宋_GB2312" w:hAnsi="仿宋_GB2312" w:eastAsia="仿宋_GB2312" w:cs="仿宋_GB2312"/>
                <w:sz w:val="28"/>
                <w:szCs w:val="28"/>
              </w:rPr>
            </w:pPr>
          </w:p>
        </w:tc>
        <w:tc>
          <w:tcPr>
            <w:tcW w:w="477" w:type="pct"/>
            <w:tcBorders>
              <w:top w:val="single" w:color="auto" w:sz="4" w:space="0"/>
              <w:left w:val="single" w:color="auto" w:sz="4" w:space="0"/>
              <w:bottom w:val="single" w:color="auto" w:sz="4" w:space="0"/>
              <w:right w:val="single" w:color="auto" w:sz="4" w:space="0"/>
            </w:tcBorders>
          </w:tcPr>
          <w:p w14:paraId="0E16A40D">
            <w:pPr>
              <w:widowControl/>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r>
      <w:tr w14:paraId="311FE962">
        <w:tblPrEx>
          <w:tblCellMar>
            <w:top w:w="0" w:type="dxa"/>
            <w:left w:w="108" w:type="dxa"/>
            <w:bottom w:w="0" w:type="dxa"/>
            <w:right w:w="108" w:type="dxa"/>
          </w:tblCellMar>
        </w:tblPrEx>
        <w:trPr>
          <w:trHeight w:val="275" w:hRule="atLeast"/>
        </w:trPr>
        <w:tc>
          <w:tcPr>
            <w:tcW w:w="370" w:type="pct"/>
            <w:tcBorders>
              <w:top w:val="single" w:color="auto" w:sz="4" w:space="0"/>
              <w:left w:val="single" w:color="auto" w:sz="4" w:space="0"/>
              <w:bottom w:val="single" w:color="auto" w:sz="4" w:space="0"/>
              <w:right w:val="single" w:color="auto" w:sz="4" w:space="0"/>
            </w:tcBorders>
            <w:noWrap/>
            <w:vAlign w:val="bottom"/>
          </w:tcPr>
          <w:p w14:paraId="59A178B9">
            <w:pPr>
              <w:widowControl/>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c>
          <w:tcPr>
            <w:tcW w:w="1708" w:type="pct"/>
            <w:tcBorders>
              <w:top w:val="single" w:color="auto" w:sz="4" w:space="0"/>
              <w:left w:val="single" w:color="auto" w:sz="4" w:space="0"/>
              <w:bottom w:val="single" w:color="auto" w:sz="4" w:space="0"/>
              <w:right w:val="single" w:color="auto" w:sz="4" w:space="0"/>
            </w:tcBorders>
            <w:noWrap/>
            <w:vAlign w:val="bottom"/>
          </w:tcPr>
          <w:p w14:paraId="38E4720B">
            <w:pPr>
              <w:widowControl/>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平台服务对象</w:t>
            </w:r>
          </w:p>
        </w:tc>
        <w:tc>
          <w:tcPr>
            <w:tcW w:w="496" w:type="pct"/>
            <w:tcBorders>
              <w:top w:val="single" w:color="auto" w:sz="4" w:space="0"/>
              <w:left w:val="single" w:color="auto" w:sz="4" w:space="0"/>
              <w:bottom w:val="single" w:color="auto" w:sz="4" w:space="0"/>
              <w:right w:val="single" w:color="auto" w:sz="4" w:space="0"/>
            </w:tcBorders>
            <w:shd w:val="clear" w:color="auto" w:fill="auto"/>
            <w:noWrap/>
            <w:vAlign w:val="bottom"/>
          </w:tcPr>
          <w:p w14:paraId="4B2FE206">
            <w:pPr>
              <w:widowControl/>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eastAsia="zh-CN"/>
              </w:rPr>
              <w:t>定性</w:t>
            </w:r>
          </w:p>
        </w:tc>
        <w:tc>
          <w:tcPr>
            <w:tcW w:w="1394" w:type="pct"/>
            <w:tcBorders>
              <w:top w:val="single" w:color="auto" w:sz="4" w:space="0"/>
              <w:left w:val="single" w:color="auto" w:sz="4" w:space="0"/>
              <w:bottom w:val="single" w:color="auto" w:sz="4" w:space="0"/>
              <w:right w:val="single" w:color="auto" w:sz="4" w:space="0"/>
            </w:tcBorders>
            <w:shd w:val="clear" w:color="auto" w:fill="auto"/>
            <w:noWrap/>
            <w:vAlign w:val="bottom"/>
          </w:tcPr>
          <w:p w14:paraId="617E69D5">
            <w:pPr>
              <w:widowControl/>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eastAsia="zh-CN"/>
              </w:rPr>
              <w:t>满意</w:t>
            </w:r>
          </w:p>
        </w:tc>
        <w:tc>
          <w:tcPr>
            <w:tcW w:w="553" w:type="pct"/>
            <w:tcBorders>
              <w:top w:val="single" w:color="auto" w:sz="4" w:space="0"/>
              <w:left w:val="single" w:color="auto" w:sz="4" w:space="0"/>
              <w:bottom w:val="single" w:color="auto" w:sz="4" w:space="0"/>
              <w:right w:val="single" w:color="auto" w:sz="4" w:space="0"/>
            </w:tcBorders>
            <w:shd w:val="clear" w:color="auto" w:fill="auto"/>
            <w:vAlign w:val="top"/>
          </w:tcPr>
          <w:p w14:paraId="77B2FA2D">
            <w:pPr>
              <w:widowControl/>
              <w:jc w:val="left"/>
              <w:rPr>
                <w:rFonts w:hint="eastAsia" w:ascii="仿宋_GB2312" w:hAnsi="仿宋_GB2312" w:eastAsia="仿宋_GB2312" w:cs="仿宋_GB2312"/>
                <w:kern w:val="2"/>
                <w:sz w:val="28"/>
                <w:szCs w:val="28"/>
                <w:lang w:val="en-US" w:eastAsia="zh-CN" w:bidi="ar-SA"/>
              </w:rPr>
            </w:pPr>
          </w:p>
        </w:tc>
        <w:tc>
          <w:tcPr>
            <w:tcW w:w="477" w:type="pct"/>
            <w:tcBorders>
              <w:top w:val="single" w:color="auto" w:sz="4" w:space="0"/>
              <w:left w:val="single" w:color="auto" w:sz="4" w:space="0"/>
              <w:bottom w:val="single" w:color="auto" w:sz="4" w:space="0"/>
              <w:right w:val="single" w:color="auto" w:sz="4" w:space="0"/>
            </w:tcBorders>
            <w:shd w:val="clear" w:color="auto" w:fill="auto"/>
            <w:vAlign w:val="top"/>
          </w:tcPr>
          <w:p w14:paraId="617CA086">
            <w:pPr>
              <w:widowControl/>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5</w:t>
            </w:r>
          </w:p>
        </w:tc>
      </w:tr>
    </w:tbl>
    <w:p w14:paraId="68E39DFF">
      <w:pPr>
        <w:spacing w:line="580" w:lineRule="exact"/>
        <w:ind w:firstLine="641"/>
        <w:rPr>
          <w:rFonts w:hint="eastAsia" w:ascii="楷体_GB2312" w:hAnsi="Calibri" w:eastAsia="楷体_GB2312"/>
          <w:b/>
          <w:sz w:val="28"/>
          <w:szCs w:val="28"/>
        </w:rPr>
      </w:pPr>
      <w:bookmarkStart w:id="3" w:name="_Toc268005761"/>
      <w:r>
        <w:rPr>
          <w:rFonts w:hint="eastAsia" w:ascii="楷体_GB2312" w:eastAsia="楷体_GB2312"/>
          <w:b/>
          <w:sz w:val="28"/>
          <w:szCs w:val="28"/>
        </w:rPr>
        <w:t>(二)当年预算执行情况</w:t>
      </w:r>
      <w:bookmarkEnd w:id="3"/>
      <w:r>
        <w:rPr>
          <w:rFonts w:hint="eastAsia" w:ascii="仿宋_GB2312" w:eastAsia="仿宋_GB2312"/>
          <w:sz w:val="28"/>
          <w:szCs w:val="28"/>
        </w:rPr>
        <w:t xml:space="preserve">  </w:t>
      </w:r>
    </w:p>
    <w:p w14:paraId="2FB34B5D">
      <w:pPr>
        <w:spacing w:line="580" w:lineRule="exact"/>
        <w:ind w:firstLine="641"/>
        <w:rPr>
          <w:rFonts w:hint="eastAsia" w:ascii="仿宋_GB2312" w:eastAsia="仿宋_GB2312"/>
          <w:sz w:val="28"/>
          <w:szCs w:val="28"/>
        </w:rPr>
      </w:pPr>
      <w:r>
        <w:rPr>
          <w:rFonts w:hint="eastAsia" w:ascii="仿宋_GB2312" w:eastAsia="仿宋_GB2312"/>
          <w:sz w:val="28"/>
          <w:szCs w:val="28"/>
        </w:rPr>
        <w:t>2025年全年预算数111,562,942.87元，其中，基本支出预算数8,682,872.09元，项目支出预算数102,880,070.78元。全年支出111,562,942.87元，其中，基本支出8,682,872.09元，项目支出102,880,070.78元。预算执行率为</w:t>
      </w:r>
      <w:r>
        <w:rPr>
          <w:rFonts w:hint="eastAsia" w:ascii="仿宋_GB2312" w:eastAsia="仿宋_GB2312"/>
          <w:sz w:val="28"/>
          <w:szCs w:val="28"/>
          <w:lang w:val="en-US" w:eastAsia="zh-CN"/>
        </w:rPr>
        <w:t>100.0</w:t>
      </w:r>
      <w:r>
        <w:rPr>
          <w:rFonts w:hint="eastAsia" w:ascii="仿宋_GB2312" w:eastAsia="仿宋_GB2312"/>
          <w:sz w:val="28"/>
          <w:szCs w:val="28"/>
        </w:rPr>
        <w:t xml:space="preserve">%。                            </w:t>
      </w:r>
    </w:p>
    <w:p w14:paraId="6A765F2E">
      <w:pPr>
        <w:spacing w:line="580" w:lineRule="exact"/>
        <w:ind w:firstLine="641"/>
        <w:rPr>
          <w:rFonts w:hint="eastAsia" w:ascii="仿宋_GB2312" w:eastAsia="仿宋_GB2312"/>
          <w:sz w:val="28"/>
          <w:szCs w:val="28"/>
        </w:rPr>
      </w:pPr>
      <w:r>
        <w:rPr>
          <w:rFonts w:hint="eastAsia" w:ascii="仿宋_GB2312" w:eastAsia="仿宋_GB2312"/>
          <w:sz w:val="28"/>
          <w:szCs w:val="28"/>
        </w:rPr>
        <w:t>2025年年末结转结余资金总额为1</w:t>
      </w:r>
      <w:r>
        <w:rPr>
          <w:rFonts w:hint="eastAsia" w:ascii="仿宋_GB2312" w:eastAsia="仿宋_GB2312"/>
          <w:sz w:val="28"/>
          <w:szCs w:val="28"/>
          <w:lang w:val="en-US" w:eastAsia="zh-CN"/>
        </w:rPr>
        <w:t>,</w:t>
      </w:r>
      <w:r>
        <w:rPr>
          <w:rFonts w:hint="eastAsia" w:ascii="仿宋_GB2312" w:eastAsia="仿宋_GB2312"/>
          <w:sz w:val="28"/>
          <w:szCs w:val="28"/>
        </w:rPr>
        <w:t>235</w:t>
      </w:r>
      <w:r>
        <w:rPr>
          <w:rFonts w:hint="eastAsia" w:ascii="仿宋_GB2312" w:eastAsia="仿宋_GB2312"/>
          <w:sz w:val="28"/>
          <w:szCs w:val="28"/>
          <w:lang w:val="en-US" w:eastAsia="zh-CN"/>
        </w:rPr>
        <w:t>,</w:t>
      </w:r>
      <w:r>
        <w:rPr>
          <w:rFonts w:hint="eastAsia" w:ascii="仿宋_GB2312" w:eastAsia="仿宋_GB2312"/>
          <w:sz w:val="28"/>
          <w:szCs w:val="28"/>
        </w:rPr>
        <w:t>025</w:t>
      </w:r>
      <w:r>
        <w:rPr>
          <w:rFonts w:hint="eastAsia" w:ascii="仿宋_GB2312" w:eastAsia="仿宋_GB2312"/>
          <w:sz w:val="28"/>
          <w:szCs w:val="28"/>
          <w:lang w:val="en-US" w:eastAsia="zh-CN"/>
        </w:rPr>
        <w:t>.00</w:t>
      </w:r>
      <w:r>
        <w:rPr>
          <w:rFonts w:hint="eastAsia" w:ascii="仿宋_GB2312" w:eastAsia="仿宋_GB2312"/>
          <w:sz w:val="28"/>
          <w:szCs w:val="28"/>
        </w:rPr>
        <w:t>元，全年支出预算数为111,562,942.87元，资金结转结余率为</w:t>
      </w:r>
      <w:r>
        <w:rPr>
          <w:rFonts w:hint="eastAsia" w:ascii="仿宋_GB2312" w:eastAsia="仿宋_GB2312"/>
          <w:sz w:val="28"/>
          <w:szCs w:val="28"/>
          <w:lang w:val="en-US" w:eastAsia="zh-CN"/>
        </w:rPr>
        <w:t>1.1</w:t>
      </w:r>
      <w:r>
        <w:rPr>
          <w:rFonts w:hint="eastAsia" w:ascii="仿宋_GB2312" w:eastAsia="仿宋_GB2312"/>
          <w:sz w:val="28"/>
          <w:szCs w:val="28"/>
        </w:rPr>
        <w:t>%；2024年年末结转结余资金总额为489</w:t>
      </w:r>
      <w:r>
        <w:rPr>
          <w:rFonts w:hint="eastAsia" w:ascii="仿宋_GB2312" w:eastAsia="仿宋_GB2312"/>
          <w:sz w:val="28"/>
          <w:szCs w:val="28"/>
          <w:lang w:val="en-US" w:eastAsia="zh-CN"/>
        </w:rPr>
        <w:t>,</w:t>
      </w:r>
      <w:r>
        <w:rPr>
          <w:rFonts w:hint="eastAsia" w:ascii="仿宋_GB2312" w:eastAsia="仿宋_GB2312"/>
          <w:sz w:val="28"/>
          <w:szCs w:val="28"/>
        </w:rPr>
        <w:t>375</w:t>
      </w:r>
      <w:r>
        <w:rPr>
          <w:rFonts w:hint="eastAsia" w:ascii="仿宋_GB2312" w:eastAsia="仿宋_GB2312"/>
          <w:sz w:val="28"/>
          <w:szCs w:val="28"/>
          <w:lang w:val="en-US" w:eastAsia="zh-CN"/>
        </w:rPr>
        <w:t>.00</w:t>
      </w:r>
      <w:r>
        <w:rPr>
          <w:rFonts w:hint="eastAsia" w:ascii="仿宋_GB2312" w:eastAsia="仿宋_GB2312"/>
          <w:sz w:val="28"/>
          <w:szCs w:val="28"/>
        </w:rPr>
        <w:t>元，全年支出预算数为31,393,700.81元，资金结转结余率为</w:t>
      </w:r>
      <w:r>
        <w:rPr>
          <w:rFonts w:hint="eastAsia" w:ascii="仿宋_GB2312" w:eastAsia="仿宋_GB2312"/>
          <w:sz w:val="28"/>
          <w:szCs w:val="28"/>
          <w:lang w:val="en-US" w:eastAsia="zh-CN"/>
        </w:rPr>
        <w:t>1.6</w:t>
      </w:r>
      <w:r>
        <w:rPr>
          <w:rFonts w:hint="eastAsia" w:ascii="仿宋_GB2312" w:eastAsia="仿宋_GB2312"/>
          <w:sz w:val="28"/>
          <w:szCs w:val="28"/>
        </w:rPr>
        <w:t>%；2025年度部门结转结余率较上一年下降了</w:t>
      </w:r>
      <w:r>
        <w:rPr>
          <w:rFonts w:hint="eastAsia" w:ascii="仿宋_GB2312" w:eastAsia="仿宋_GB2312"/>
          <w:sz w:val="28"/>
          <w:szCs w:val="28"/>
          <w:lang w:val="en-US" w:eastAsia="zh-CN"/>
        </w:rPr>
        <w:t>0.5</w:t>
      </w:r>
      <w:r>
        <w:rPr>
          <w:rFonts w:hint="eastAsia" w:ascii="仿宋_GB2312" w:eastAsia="仿宋_GB2312"/>
          <w:sz w:val="28"/>
          <w:szCs w:val="28"/>
        </w:rPr>
        <w:t>%。</w:t>
      </w:r>
    </w:p>
    <w:p w14:paraId="07B3AA48">
      <w:pPr>
        <w:spacing w:line="580" w:lineRule="exact"/>
        <w:ind w:firstLine="641"/>
        <w:rPr>
          <w:rFonts w:hint="eastAsia" w:ascii="楷体_GB2312" w:eastAsia="楷体_GB2312"/>
          <w:b/>
          <w:sz w:val="28"/>
          <w:szCs w:val="28"/>
        </w:rPr>
      </w:pPr>
      <w:r>
        <w:rPr>
          <w:rFonts w:hint="eastAsia" w:ascii="楷体_GB2312" w:eastAsia="楷体_GB2312"/>
          <w:b/>
          <w:sz w:val="28"/>
          <w:szCs w:val="28"/>
        </w:rPr>
        <w:t>（三）整体绩效目标实现情况</w:t>
      </w:r>
    </w:p>
    <w:bookmarkEnd w:id="2"/>
    <w:p w14:paraId="72EAC821">
      <w:pPr>
        <w:spacing w:line="520" w:lineRule="exact"/>
        <w:ind w:firstLine="640"/>
        <w:rPr>
          <w:rFonts w:ascii="仿宋_GB2312" w:eastAsia="仿宋_GB2312"/>
          <w:sz w:val="28"/>
          <w:szCs w:val="28"/>
        </w:rPr>
      </w:pPr>
      <w:r>
        <w:rPr>
          <w:rFonts w:hint="eastAsia" w:ascii="仿宋_GB2312" w:eastAsia="仿宋_GB2312"/>
          <w:sz w:val="28"/>
          <w:szCs w:val="28"/>
        </w:rPr>
        <w:t>1.产出完成情况分析</w:t>
      </w:r>
    </w:p>
    <w:p w14:paraId="5B13E566">
      <w:pPr>
        <w:spacing w:line="520" w:lineRule="exact"/>
        <w:ind w:firstLine="640"/>
        <w:rPr>
          <w:rFonts w:ascii="仿宋_GB2312" w:eastAsia="仿宋_GB2312"/>
          <w:sz w:val="28"/>
          <w:szCs w:val="28"/>
        </w:rPr>
      </w:pPr>
      <w:r>
        <w:rPr>
          <w:rFonts w:hint="eastAsia" w:ascii="仿宋_GB2312" w:eastAsia="仿宋_GB2312"/>
          <w:sz w:val="28"/>
          <w:szCs w:val="28"/>
        </w:rPr>
        <w:t>（1）产出数量</w:t>
      </w:r>
    </w:p>
    <w:p w14:paraId="763994B9">
      <w:pPr>
        <w:spacing w:line="520" w:lineRule="exact"/>
        <w:ind w:firstLine="640"/>
        <w:rPr>
          <w:rFonts w:hint="eastAsia" w:ascii="仿宋_GB2312" w:eastAsia="仿宋_GB2312"/>
          <w:sz w:val="28"/>
          <w:szCs w:val="28"/>
        </w:rPr>
      </w:pPr>
      <w:r>
        <w:rPr>
          <w:rFonts w:hint="eastAsia" w:ascii="仿宋_GB2312" w:hAnsi="Times New Roman" w:eastAsia="仿宋_GB2312" w:cs="Times New Roman"/>
          <w:sz w:val="28"/>
          <w:szCs w:val="28"/>
          <w:lang w:eastAsia="zh-CN"/>
        </w:rPr>
        <w:t>无。</w:t>
      </w:r>
    </w:p>
    <w:p w14:paraId="1D7353E3">
      <w:pPr>
        <w:spacing w:line="520" w:lineRule="exact"/>
        <w:ind w:firstLine="640"/>
        <w:rPr>
          <w:rFonts w:ascii="仿宋_GB2312" w:eastAsia="仿宋_GB2312"/>
          <w:sz w:val="28"/>
          <w:szCs w:val="28"/>
        </w:rPr>
      </w:pPr>
      <w:r>
        <w:rPr>
          <w:rFonts w:hint="eastAsia" w:ascii="仿宋_GB2312" w:eastAsia="仿宋_GB2312"/>
          <w:sz w:val="28"/>
          <w:szCs w:val="28"/>
        </w:rPr>
        <w:t>（2）产出质量</w:t>
      </w:r>
    </w:p>
    <w:tbl>
      <w:tblPr>
        <w:tblStyle w:val="10"/>
        <w:tblW w:w="9200" w:type="dxa"/>
        <w:tblInd w:w="108" w:type="dxa"/>
        <w:tblLayout w:type="autofit"/>
        <w:tblCellMar>
          <w:top w:w="0" w:type="dxa"/>
          <w:left w:w="108" w:type="dxa"/>
          <w:bottom w:w="0" w:type="dxa"/>
          <w:right w:w="108" w:type="dxa"/>
        </w:tblCellMar>
      </w:tblPr>
      <w:tblGrid>
        <w:gridCol w:w="800"/>
        <w:gridCol w:w="2100"/>
        <w:gridCol w:w="2100"/>
        <w:gridCol w:w="2100"/>
        <w:gridCol w:w="2100"/>
      </w:tblGrid>
      <w:tr w14:paraId="7DF42C97">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11B20633">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14:paraId="040A2F33">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14:paraId="429B526E">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14:paraId="04FF19B7">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14:paraId="1E45AB72">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75DBF352">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4759B1CB">
            <w:pPr>
              <w:keepNext w:val="0"/>
              <w:keepLines w:val="0"/>
              <w:pageBreakBefore w:val="0"/>
              <w:widowControl/>
              <w:kinsoku/>
              <w:wordWrap/>
              <w:overflowPunct/>
              <w:topLinePunct w:val="0"/>
              <w:autoSpaceDE/>
              <w:autoSpaceDN/>
              <w:bidi w:val="0"/>
              <w:adjustRightInd/>
              <w:snapToGrid/>
              <w:spacing w:line="5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w:t>
            </w:r>
          </w:p>
        </w:tc>
        <w:tc>
          <w:tcPr>
            <w:tcW w:w="2100" w:type="dxa"/>
            <w:tcBorders>
              <w:top w:val="nil"/>
              <w:left w:val="nil"/>
              <w:bottom w:val="single" w:color="auto" w:sz="4" w:space="0"/>
              <w:right w:val="single" w:color="auto" w:sz="4" w:space="0"/>
            </w:tcBorders>
            <w:vAlign w:val="center"/>
          </w:tcPr>
          <w:p w14:paraId="1D819103">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i w:val="0"/>
                <w:iCs w:val="0"/>
                <w:color w:val="000000"/>
                <w:kern w:val="0"/>
                <w:sz w:val="28"/>
                <w:szCs w:val="28"/>
                <w:u w:val="none"/>
                <w:lang w:val="en-US" w:eastAsia="zh-CN" w:bidi="ar"/>
              </w:rPr>
              <w:t>政务中心基础设施设备、运维、工作人员日常办公保障</w:t>
            </w:r>
          </w:p>
        </w:tc>
        <w:tc>
          <w:tcPr>
            <w:tcW w:w="2100" w:type="dxa"/>
            <w:tcBorders>
              <w:top w:val="nil"/>
              <w:left w:val="nil"/>
              <w:bottom w:val="single" w:color="auto" w:sz="4" w:space="0"/>
              <w:right w:val="single" w:color="auto" w:sz="4" w:space="0"/>
            </w:tcBorders>
            <w:vAlign w:val="center"/>
          </w:tcPr>
          <w:p w14:paraId="7C77EBF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i w:val="0"/>
                <w:iCs w:val="0"/>
                <w:color w:val="000000"/>
                <w:kern w:val="0"/>
                <w:sz w:val="28"/>
                <w:szCs w:val="28"/>
                <w:u w:val="none"/>
                <w:lang w:val="en-US" w:eastAsia="zh-CN" w:bidi="ar"/>
              </w:rPr>
              <w:t>保障政务中心日常运行</w:t>
            </w:r>
          </w:p>
        </w:tc>
        <w:tc>
          <w:tcPr>
            <w:tcW w:w="2100" w:type="dxa"/>
            <w:tcBorders>
              <w:top w:val="nil"/>
              <w:left w:val="nil"/>
              <w:bottom w:val="single" w:color="auto" w:sz="4" w:space="0"/>
              <w:right w:val="single" w:color="auto" w:sz="4" w:space="0"/>
            </w:tcBorders>
            <w:vAlign w:val="center"/>
          </w:tcPr>
          <w:p w14:paraId="65BC00C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i w:val="0"/>
                <w:iCs w:val="0"/>
                <w:color w:val="000000"/>
                <w:kern w:val="0"/>
                <w:sz w:val="28"/>
                <w:szCs w:val="28"/>
                <w:u w:val="none"/>
                <w:lang w:val="en-US" w:eastAsia="zh-CN" w:bidi="ar"/>
              </w:rPr>
              <w:t>完成预期指标</w:t>
            </w:r>
          </w:p>
        </w:tc>
        <w:tc>
          <w:tcPr>
            <w:tcW w:w="2100" w:type="dxa"/>
            <w:tcBorders>
              <w:top w:val="nil"/>
              <w:left w:val="nil"/>
              <w:bottom w:val="single" w:color="auto" w:sz="4" w:space="0"/>
              <w:right w:val="single" w:color="auto" w:sz="4" w:space="0"/>
            </w:tcBorders>
            <w:vAlign w:val="center"/>
          </w:tcPr>
          <w:p w14:paraId="32E32228">
            <w:pPr>
              <w:keepNext w:val="0"/>
              <w:keepLines w:val="0"/>
              <w:pageBreakBefore w:val="0"/>
              <w:widowControl/>
              <w:kinsoku/>
              <w:wordWrap/>
              <w:overflowPunct/>
              <w:topLinePunct w:val="0"/>
              <w:autoSpaceDE/>
              <w:autoSpaceDN/>
              <w:bidi w:val="0"/>
              <w:adjustRightInd/>
              <w:snapToGrid/>
              <w:spacing w:line="34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无</w:t>
            </w:r>
            <w:r>
              <w:rPr>
                <w:rFonts w:hint="eastAsia" w:ascii="仿宋_GB2312" w:hAnsi="仿宋_GB2312" w:eastAsia="仿宋_GB2312" w:cs="仿宋_GB2312"/>
                <w:color w:val="000000"/>
                <w:kern w:val="0"/>
                <w:sz w:val="28"/>
                <w:szCs w:val="28"/>
              </w:rPr>
              <w:t>　</w:t>
            </w:r>
          </w:p>
        </w:tc>
      </w:tr>
      <w:tr w14:paraId="6C5A6CA6">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70120701">
            <w:pPr>
              <w:keepNext w:val="0"/>
              <w:keepLines w:val="0"/>
              <w:pageBreakBefore w:val="0"/>
              <w:widowControl/>
              <w:kinsoku/>
              <w:wordWrap/>
              <w:overflowPunct/>
              <w:topLinePunct w:val="0"/>
              <w:autoSpaceDE/>
              <w:autoSpaceDN/>
              <w:bidi w:val="0"/>
              <w:adjustRightInd/>
              <w:snapToGrid/>
              <w:spacing w:line="5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w:t>
            </w:r>
          </w:p>
        </w:tc>
        <w:tc>
          <w:tcPr>
            <w:tcW w:w="2100" w:type="dxa"/>
            <w:tcBorders>
              <w:top w:val="nil"/>
              <w:left w:val="nil"/>
              <w:bottom w:val="single" w:color="auto" w:sz="4" w:space="0"/>
              <w:right w:val="single" w:color="auto" w:sz="4" w:space="0"/>
            </w:tcBorders>
            <w:vAlign w:val="center"/>
          </w:tcPr>
          <w:p w14:paraId="6948477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i w:val="0"/>
                <w:iCs w:val="0"/>
                <w:color w:val="000000"/>
                <w:kern w:val="0"/>
                <w:sz w:val="28"/>
                <w:szCs w:val="28"/>
                <w:u w:val="none"/>
                <w:lang w:val="en-US" w:eastAsia="zh-CN" w:bidi="ar"/>
              </w:rPr>
              <w:t>综合窗口服务质量和效率</w:t>
            </w:r>
          </w:p>
        </w:tc>
        <w:tc>
          <w:tcPr>
            <w:tcW w:w="2100" w:type="dxa"/>
            <w:tcBorders>
              <w:top w:val="nil"/>
              <w:left w:val="nil"/>
              <w:bottom w:val="single" w:color="auto" w:sz="4" w:space="0"/>
              <w:right w:val="single" w:color="auto" w:sz="4" w:space="0"/>
            </w:tcBorders>
            <w:vAlign w:val="center"/>
          </w:tcPr>
          <w:p w14:paraId="3CDFEF3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i w:val="0"/>
                <w:iCs w:val="0"/>
                <w:color w:val="000000"/>
                <w:kern w:val="0"/>
                <w:sz w:val="28"/>
                <w:szCs w:val="28"/>
                <w:u w:val="none"/>
                <w:lang w:val="en-US" w:eastAsia="zh-CN" w:bidi="ar"/>
              </w:rPr>
              <w:t>优化政务服务环境</w:t>
            </w:r>
          </w:p>
        </w:tc>
        <w:tc>
          <w:tcPr>
            <w:tcW w:w="2100" w:type="dxa"/>
            <w:tcBorders>
              <w:top w:val="nil"/>
              <w:left w:val="nil"/>
              <w:bottom w:val="single" w:color="auto" w:sz="4" w:space="0"/>
              <w:right w:val="single" w:color="auto" w:sz="4" w:space="0"/>
            </w:tcBorders>
            <w:vAlign w:val="center"/>
          </w:tcPr>
          <w:p w14:paraId="2877CE5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i w:val="0"/>
                <w:iCs w:val="0"/>
                <w:color w:val="000000"/>
                <w:kern w:val="0"/>
                <w:sz w:val="28"/>
                <w:szCs w:val="28"/>
                <w:u w:val="none"/>
                <w:lang w:val="en-US" w:eastAsia="zh-CN" w:bidi="ar"/>
              </w:rPr>
              <w:t>完成预期指标</w:t>
            </w:r>
          </w:p>
        </w:tc>
        <w:tc>
          <w:tcPr>
            <w:tcW w:w="2100" w:type="dxa"/>
            <w:tcBorders>
              <w:top w:val="nil"/>
              <w:left w:val="nil"/>
              <w:bottom w:val="single" w:color="auto" w:sz="4" w:space="0"/>
              <w:right w:val="single" w:color="auto" w:sz="4" w:space="0"/>
            </w:tcBorders>
            <w:vAlign w:val="center"/>
          </w:tcPr>
          <w:p w14:paraId="70AC5D3B">
            <w:pPr>
              <w:keepNext w:val="0"/>
              <w:keepLines w:val="0"/>
              <w:pageBreakBefore w:val="0"/>
              <w:widowControl/>
              <w:kinsoku/>
              <w:wordWrap/>
              <w:overflowPunct/>
              <w:topLinePunct w:val="0"/>
              <w:autoSpaceDE/>
              <w:autoSpaceDN/>
              <w:bidi w:val="0"/>
              <w:adjustRightInd/>
              <w:snapToGrid/>
              <w:spacing w:line="34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无</w:t>
            </w:r>
            <w:r>
              <w:rPr>
                <w:rFonts w:hint="eastAsia" w:ascii="仿宋_GB2312" w:hAnsi="仿宋_GB2312" w:eastAsia="仿宋_GB2312" w:cs="仿宋_GB2312"/>
                <w:color w:val="000000"/>
                <w:kern w:val="0"/>
                <w:sz w:val="28"/>
                <w:szCs w:val="28"/>
              </w:rPr>
              <w:t>　</w:t>
            </w:r>
          </w:p>
        </w:tc>
      </w:tr>
      <w:tr w14:paraId="3A7034C6">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00E9F446">
            <w:pPr>
              <w:keepNext w:val="0"/>
              <w:keepLines w:val="0"/>
              <w:pageBreakBefore w:val="0"/>
              <w:widowControl/>
              <w:kinsoku/>
              <w:wordWrap/>
              <w:overflowPunct/>
              <w:topLinePunct w:val="0"/>
              <w:autoSpaceDE/>
              <w:autoSpaceDN/>
              <w:bidi w:val="0"/>
              <w:adjustRightInd/>
              <w:snapToGrid/>
              <w:spacing w:line="5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3</w:t>
            </w:r>
          </w:p>
        </w:tc>
        <w:tc>
          <w:tcPr>
            <w:tcW w:w="2100" w:type="dxa"/>
            <w:tcBorders>
              <w:top w:val="nil"/>
              <w:left w:val="nil"/>
              <w:bottom w:val="single" w:color="auto" w:sz="4" w:space="0"/>
              <w:right w:val="single" w:color="auto" w:sz="4" w:space="0"/>
            </w:tcBorders>
            <w:vAlign w:val="center"/>
          </w:tcPr>
          <w:p w14:paraId="2336035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i w:val="0"/>
                <w:iCs w:val="0"/>
                <w:color w:val="000000"/>
                <w:kern w:val="0"/>
                <w:sz w:val="28"/>
                <w:szCs w:val="28"/>
                <w:u w:val="none"/>
                <w:lang w:val="en-US" w:eastAsia="zh-CN" w:bidi="ar"/>
              </w:rPr>
              <w:t>一体化在线政务服务平台系统的运行</w:t>
            </w:r>
          </w:p>
        </w:tc>
        <w:tc>
          <w:tcPr>
            <w:tcW w:w="2100" w:type="dxa"/>
            <w:tcBorders>
              <w:top w:val="nil"/>
              <w:left w:val="nil"/>
              <w:bottom w:val="single" w:color="auto" w:sz="4" w:space="0"/>
              <w:right w:val="single" w:color="auto" w:sz="4" w:space="0"/>
            </w:tcBorders>
            <w:vAlign w:val="center"/>
          </w:tcPr>
          <w:p w14:paraId="69E0EB2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i w:val="0"/>
                <w:iCs w:val="0"/>
                <w:color w:val="000000"/>
                <w:kern w:val="0"/>
                <w:sz w:val="28"/>
                <w:szCs w:val="28"/>
                <w:u w:val="none"/>
                <w:lang w:val="en-US" w:eastAsia="zh-CN" w:bidi="ar"/>
              </w:rPr>
              <w:t>保障系统稳定运行</w:t>
            </w:r>
          </w:p>
        </w:tc>
        <w:tc>
          <w:tcPr>
            <w:tcW w:w="2100" w:type="dxa"/>
            <w:tcBorders>
              <w:top w:val="nil"/>
              <w:left w:val="nil"/>
              <w:bottom w:val="single" w:color="auto" w:sz="4" w:space="0"/>
              <w:right w:val="single" w:color="auto" w:sz="4" w:space="0"/>
            </w:tcBorders>
            <w:vAlign w:val="center"/>
          </w:tcPr>
          <w:p w14:paraId="45710D5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i w:val="0"/>
                <w:iCs w:val="0"/>
                <w:color w:val="000000"/>
                <w:kern w:val="0"/>
                <w:sz w:val="28"/>
                <w:szCs w:val="28"/>
                <w:u w:val="none"/>
                <w:lang w:val="en-US" w:eastAsia="zh-CN" w:bidi="ar"/>
              </w:rPr>
              <w:t>完成预期指标</w:t>
            </w:r>
          </w:p>
        </w:tc>
        <w:tc>
          <w:tcPr>
            <w:tcW w:w="2100" w:type="dxa"/>
            <w:tcBorders>
              <w:top w:val="nil"/>
              <w:left w:val="nil"/>
              <w:bottom w:val="single" w:color="auto" w:sz="4" w:space="0"/>
              <w:right w:val="single" w:color="auto" w:sz="4" w:space="0"/>
            </w:tcBorders>
            <w:vAlign w:val="center"/>
          </w:tcPr>
          <w:p w14:paraId="67744E10">
            <w:pPr>
              <w:keepNext w:val="0"/>
              <w:keepLines w:val="0"/>
              <w:pageBreakBefore w:val="0"/>
              <w:widowControl/>
              <w:kinsoku/>
              <w:wordWrap/>
              <w:overflowPunct/>
              <w:topLinePunct w:val="0"/>
              <w:autoSpaceDE/>
              <w:autoSpaceDN/>
              <w:bidi w:val="0"/>
              <w:adjustRightInd/>
              <w:snapToGrid/>
              <w:spacing w:line="34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无</w:t>
            </w:r>
            <w:r>
              <w:rPr>
                <w:rFonts w:hint="eastAsia" w:ascii="仿宋_GB2312" w:hAnsi="仿宋_GB2312" w:eastAsia="仿宋_GB2312" w:cs="仿宋_GB2312"/>
                <w:color w:val="000000"/>
                <w:kern w:val="0"/>
                <w:sz w:val="28"/>
                <w:szCs w:val="28"/>
              </w:rPr>
              <w:t>　</w:t>
            </w:r>
          </w:p>
        </w:tc>
      </w:tr>
      <w:tr w14:paraId="24C587BA">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1036C972">
            <w:pPr>
              <w:keepNext w:val="0"/>
              <w:keepLines w:val="0"/>
              <w:pageBreakBefore w:val="0"/>
              <w:widowControl/>
              <w:kinsoku/>
              <w:wordWrap/>
              <w:overflowPunct/>
              <w:topLinePunct w:val="0"/>
              <w:autoSpaceDE/>
              <w:autoSpaceDN/>
              <w:bidi w:val="0"/>
              <w:adjustRightInd/>
              <w:snapToGrid/>
              <w:spacing w:line="520" w:lineRule="exact"/>
              <w:jc w:val="center"/>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4</w:t>
            </w:r>
          </w:p>
        </w:tc>
        <w:tc>
          <w:tcPr>
            <w:tcW w:w="2100" w:type="dxa"/>
            <w:tcBorders>
              <w:top w:val="nil"/>
              <w:left w:val="nil"/>
              <w:bottom w:val="single" w:color="auto" w:sz="4" w:space="0"/>
              <w:right w:val="single" w:color="auto" w:sz="4" w:space="0"/>
            </w:tcBorders>
            <w:vAlign w:val="center"/>
          </w:tcPr>
          <w:p w14:paraId="686E454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i w:val="0"/>
                <w:iCs w:val="0"/>
                <w:color w:val="000000"/>
                <w:kern w:val="0"/>
                <w:sz w:val="28"/>
                <w:szCs w:val="28"/>
                <w:u w:val="none"/>
                <w:lang w:val="en-US" w:eastAsia="zh-CN" w:bidi="ar"/>
              </w:rPr>
              <w:t>推进政府信息公开法定义务落实</w:t>
            </w:r>
          </w:p>
        </w:tc>
        <w:tc>
          <w:tcPr>
            <w:tcW w:w="2100" w:type="dxa"/>
            <w:tcBorders>
              <w:top w:val="nil"/>
              <w:left w:val="nil"/>
              <w:bottom w:val="single" w:color="auto" w:sz="4" w:space="0"/>
              <w:right w:val="single" w:color="auto" w:sz="4" w:space="0"/>
            </w:tcBorders>
            <w:vAlign w:val="center"/>
          </w:tcPr>
          <w:p w14:paraId="0369772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i w:val="0"/>
                <w:iCs w:val="0"/>
                <w:color w:val="000000"/>
                <w:kern w:val="0"/>
                <w:sz w:val="28"/>
                <w:szCs w:val="28"/>
                <w:u w:val="none"/>
                <w:lang w:val="en-US" w:eastAsia="zh-CN" w:bidi="ar"/>
              </w:rPr>
              <w:t>及时办结</w:t>
            </w:r>
          </w:p>
        </w:tc>
        <w:tc>
          <w:tcPr>
            <w:tcW w:w="2100" w:type="dxa"/>
            <w:tcBorders>
              <w:top w:val="nil"/>
              <w:left w:val="nil"/>
              <w:bottom w:val="single" w:color="auto" w:sz="4" w:space="0"/>
              <w:right w:val="single" w:color="auto" w:sz="4" w:space="0"/>
            </w:tcBorders>
            <w:vAlign w:val="center"/>
          </w:tcPr>
          <w:p w14:paraId="7DC3360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i w:val="0"/>
                <w:iCs w:val="0"/>
                <w:color w:val="000000"/>
                <w:kern w:val="0"/>
                <w:sz w:val="28"/>
                <w:szCs w:val="28"/>
                <w:u w:val="none"/>
                <w:lang w:val="en-US" w:eastAsia="zh-CN" w:bidi="ar"/>
              </w:rPr>
              <w:t>完成预期指标</w:t>
            </w:r>
          </w:p>
        </w:tc>
        <w:tc>
          <w:tcPr>
            <w:tcW w:w="2100" w:type="dxa"/>
            <w:tcBorders>
              <w:top w:val="nil"/>
              <w:left w:val="nil"/>
              <w:bottom w:val="single" w:color="auto" w:sz="4" w:space="0"/>
              <w:right w:val="single" w:color="auto" w:sz="4" w:space="0"/>
            </w:tcBorders>
            <w:vAlign w:val="center"/>
          </w:tcPr>
          <w:p w14:paraId="5BBE66B6">
            <w:pPr>
              <w:keepNext w:val="0"/>
              <w:keepLines w:val="0"/>
              <w:pageBreakBefore w:val="0"/>
              <w:widowControl/>
              <w:kinsoku/>
              <w:wordWrap/>
              <w:overflowPunct/>
              <w:topLinePunct w:val="0"/>
              <w:autoSpaceDE/>
              <w:autoSpaceDN/>
              <w:bidi w:val="0"/>
              <w:adjustRightInd/>
              <w:snapToGrid/>
              <w:spacing w:line="34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无</w:t>
            </w:r>
            <w:r>
              <w:rPr>
                <w:rFonts w:hint="eastAsia" w:ascii="仿宋_GB2312" w:hAnsi="仿宋_GB2312" w:eastAsia="仿宋_GB2312" w:cs="仿宋_GB2312"/>
                <w:color w:val="000000"/>
                <w:kern w:val="0"/>
                <w:sz w:val="28"/>
                <w:szCs w:val="28"/>
              </w:rPr>
              <w:t>　</w:t>
            </w:r>
          </w:p>
        </w:tc>
      </w:tr>
    </w:tbl>
    <w:p w14:paraId="109226B2">
      <w:pPr>
        <w:spacing w:line="520" w:lineRule="exact"/>
        <w:ind w:firstLine="640"/>
        <w:rPr>
          <w:rFonts w:hint="eastAsia" w:ascii="仿宋_GB2312" w:eastAsia="仿宋_GB2312"/>
          <w:sz w:val="28"/>
          <w:szCs w:val="28"/>
        </w:rPr>
      </w:pPr>
    </w:p>
    <w:p w14:paraId="4B7CEF23">
      <w:pPr>
        <w:spacing w:line="520" w:lineRule="exact"/>
        <w:ind w:firstLine="640"/>
        <w:rPr>
          <w:rFonts w:ascii="仿宋_GB2312" w:eastAsia="仿宋_GB2312"/>
          <w:sz w:val="28"/>
          <w:szCs w:val="28"/>
        </w:rPr>
      </w:pPr>
      <w:r>
        <w:rPr>
          <w:rFonts w:hint="eastAsia" w:ascii="仿宋_GB2312" w:eastAsia="仿宋_GB2312"/>
          <w:sz w:val="28"/>
          <w:szCs w:val="28"/>
        </w:rPr>
        <w:t>（3）产出进度</w:t>
      </w:r>
    </w:p>
    <w:p w14:paraId="5C4529CE">
      <w:pPr>
        <w:spacing w:line="520" w:lineRule="exact"/>
        <w:ind w:firstLine="640"/>
        <w:rPr>
          <w:rFonts w:hint="eastAsia" w:ascii="仿宋_GB2312" w:eastAsia="仿宋_GB2312"/>
          <w:sz w:val="24"/>
          <w:szCs w:val="24"/>
        </w:rPr>
      </w:pPr>
      <w:r>
        <w:rPr>
          <w:rFonts w:hint="eastAsia" w:ascii="仿宋_GB2312" w:hAnsi="Times New Roman" w:eastAsia="仿宋_GB2312" w:cs="Times New Roman"/>
          <w:sz w:val="28"/>
          <w:szCs w:val="28"/>
          <w:lang w:eastAsia="zh-CN"/>
        </w:rPr>
        <w:t>无。</w:t>
      </w:r>
    </w:p>
    <w:p w14:paraId="62CEC0A9">
      <w:pPr>
        <w:spacing w:line="520" w:lineRule="exact"/>
        <w:ind w:firstLine="640"/>
        <w:rPr>
          <w:rFonts w:ascii="仿宋_GB2312" w:eastAsia="仿宋_GB2312"/>
          <w:sz w:val="28"/>
          <w:szCs w:val="28"/>
        </w:rPr>
      </w:pPr>
      <w:r>
        <w:rPr>
          <w:rFonts w:hint="eastAsia" w:ascii="仿宋_GB2312" w:eastAsia="仿宋_GB2312"/>
          <w:sz w:val="28"/>
          <w:szCs w:val="28"/>
        </w:rPr>
        <w:t>（4）产出成本</w:t>
      </w:r>
    </w:p>
    <w:p w14:paraId="705E5754">
      <w:pPr>
        <w:spacing w:line="520" w:lineRule="exact"/>
        <w:ind w:firstLine="640"/>
        <w:rPr>
          <w:rFonts w:hint="eastAsia" w:ascii="仿宋_GB2312" w:eastAsia="仿宋_GB2312"/>
          <w:sz w:val="28"/>
          <w:szCs w:val="28"/>
        </w:rPr>
      </w:pPr>
      <w:r>
        <w:rPr>
          <w:rFonts w:hint="eastAsia" w:ascii="仿宋_GB2312" w:hAnsi="Times New Roman" w:eastAsia="仿宋_GB2312" w:cs="Times New Roman"/>
          <w:sz w:val="28"/>
          <w:szCs w:val="28"/>
          <w:lang w:eastAsia="zh-CN"/>
        </w:rPr>
        <w:t>无。</w:t>
      </w:r>
    </w:p>
    <w:p w14:paraId="6A81084D">
      <w:pPr>
        <w:spacing w:line="520" w:lineRule="exact"/>
        <w:ind w:firstLine="640"/>
        <w:rPr>
          <w:rFonts w:ascii="仿宋_GB2312" w:eastAsia="仿宋_GB2312"/>
          <w:sz w:val="28"/>
          <w:szCs w:val="28"/>
        </w:rPr>
      </w:pPr>
      <w:r>
        <w:rPr>
          <w:rFonts w:hint="eastAsia" w:ascii="仿宋_GB2312" w:eastAsia="仿宋_GB2312"/>
          <w:sz w:val="28"/>
          <w:szCs w:val="28"/>
        </w:rPr>
        <w:t>2.效果实现情况分析</w:t>
      </w:r>
    </w:p>
    <w:p w14:paraId="1CA2CB08">
      <w:pPr>
        <w:spacing w:line="520" w:lineRule="exact"/>
        <w:ind w:firstLine="640"/>
        <w:rPr>
          <w:rFonts w:ascii="仿宋_GB2312" w:eastAsia="仿宋_GB2312"/>
          <w:sz w:val="28"/>
          <w:szCs w:val="28"/>
        </w:rPr>
      </w:pPr>
      <w:r>
        <w:rPr>
          <w:rFonts w:hint="eastAsia" w:ascii="仿宋_GB2312" w:eastAsia="仿宋_GB2312"/>
          <w:sz w:val="28"/>
          <w:szCs w:val="28"/>
        </w:rPr>
        <w:t>（1）经济效益</w:t>
      </w:r>
    </w:p>
    <w:p w14:paraId="103615C5">
      <w:pPr>
        <w:spacing w:line="520" w:lineRule="exact"/>
        <w:ind w:firstLine="640"/>
        <w:rPr>
          <w:rFonts w:hint="eastAsia" w:ascii="仿宋_GB2312" w:eastAsia="仿宋_GB2312"/>
          <w:sz w:val="28"/>
          <w:szCs w:val="28"/>
        </w:rPr>
      </w:pPr>
      <w:r>
        <w:rPr>
          <w:rFonts w:hint="eastAsia" w:ascii="仿宋_GB2312" w:hAnsi="Times New Roman" w:eastAsia="仿宋_GB2312" w:cs="Times New Roman"/>
          <w:sz w:val="28"/>
          <w:szCs w:val="28"/>
          <w:lang w:eastAsia="zh-CN"/>
        </w:rPr>
        <w:t>无。</w:t>
      </w:r>
    </w:p>
    <w:p w14:paraId="3BD0C492">
      <w:pPr>
        <w:spacing w:line="520" w:lineRule="exact"/>
        <w:ind w:firstLine="640"/>
        <w:rPr>
          <w:rFonts w:ascii="仿宋_GB2312" w:eastAsia="仿宋_GB2312"/>
          <w:sz w:val="28"/>
          <w:szCs w:val="28"/>
        </w:rPr>
      </w:pPr>
      <w:r>
        <w:rPr>
          <w:rFonts w:hint="eastAsia" w:ascii="仿宋_GB2312" w:eastAsia="仿宋_GB2312"/>
          <w:sz w:val="28"/>
          <w:szCs w:val="28"/>
        </w:rPr>
        <w:t>（2）社会效益</w:t>
      </w:r>
    </w:p>
    <w:p w14:paraId="15A999D6">
      <w:pPr>
        <w:spacing w:line="520" w:lineRule="exact"/>
        <w:ind w:firstLine="560" w:firstLineChars="20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积极落实国务院和北京市深入推进“放管服”改革政策措施，推进审批制度改革，精简审批事项，清理隐形壁垒。</w:t>
      </w:r>
    </w:p>
    <w:p w14:paraId="79310EE7">
      <w:pPr>
        <w:spacing w:line="520" w:lineRule="exact"/>
        <w:ind w:firstLine="560" w:firstLineChars="20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按照国务院和北京市政务服务建设标准，推进“全城通办”、“跨省通办”，推动综窗2.0改革，提升三级政务服务体系规范化标准化水平。</w:t>
      </w:r>
    </w:p>
    <w:p w14:paraId="34A96F3A">
      <w:pPr>
        <w:spacing w:line="520" w:lineRule="exact"/>
        <w:ind w:firstLine="560" w:firstLineChars="20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持续完善政务服务平台建设，办事智能化、便利化水平不断提高。</w:t>
      </w:r>
    </w:p>
    <w:p w14:paraId="24E86919">
      <w:pPr>
        <w:spacing w:line="520" w:lineRule="exact"/>
        <w:ind w:firstLine="560" w:firstLineChars="20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组织协调、指导推进、监督检查本区行政机关政务公开工作，政府信息公开率不断提高。</w:t>
      </w:r>
    </w:p>
    <w:p w14:paraId="3B09AA89">
      <w:pPr>
        <w:spacing w:line="520" w:lineRule="exact"/>
        <w:ind w:firstLine="640"/>
        <w:rPr>
          <w:rFonts w:hint="eastAsia" w:ascii="仿宋_GB2312" w:eastAsia="仿宋_GB2312"/>
          <w:sz w:val="24"/>
          <w:szCs w:val="24"/>
        </w:rPr>
      </w:pPr>
      <w:r>
        <w:rPr>
          <w:rFonts w:hint="eastAsia" w:ascii="仿宋_GB2312" w:hAnsi="仿宋" w:eastAsia="仿宋_GB2312" w:cs="Times New Roman"/>
          <w:sz w:val="28"/>
          <w:szCs w:val="28"/>
          <w:lang w:eastAsia="zh-CN"/>
        </w:rPr>
        <w:t>推进本区政务公开标准化、规范化、信息化建设，加强对政府网站、政务新媒体、政务公开栏等公开渠道的建设和统筹，信息内容更新及时准确。</w:t>
      </w:r>
    </w:p>
    <w:p w14:paraId="6D1DD2EE">
      <w:pPr>
        <w:spacing w:line="520" w:lineRule="exact"/>
        <w:ind w:firstLine="640"/>
        <w:rPr>
          <w:rFonts w:ascii="仿宋_GB2312" w:eastAsia="仿宋_GB2312"/>
          <w:sz w:val="28"/>
          <w:szCs w:val="28"/>
        </w:rPr>
      </w:pPr>
      <w:r>
        <w:rPr>
          <w:rFonts w:hint="eastAsia" w:ascii="仿宋_GB2312" w:eastAsia="仿宋_GB2312"/>
          <w:sz w:val="28"/>
          <w:szCs w:val="28"/>
        </w:rPr>
        <w:t>（3）环境效益</w:t>
      </w:r>
    </w:p>
    <w:p w14:paraId="1DF8D4D2">
      <w:pPr>
        <w:spacing w:line="520" w:lineRule="exact"/>
        <w:ind w:firstLine="640"/>
        <w:rPr>
          <w:rFonts w:hint="eastAsia" w:ascii="仿宋_GB2312" w:eastAsia="仿宋_GB2312"/>
          <w:sz w:val="28"/>
          <w:szCs w:val="28"/>
        </w:rPr>
      </w:pPr>
      <w:r>
        <w:rPr>
          <w:rFonts w:hint="eastAsia" w:ascii="仿宋_GB2312" w:hAnsi="Times New Roman" w:eastAsia="仿宋_GB2312" w:cs="Times New Roman"/>
          <w:sz w:val="28"/>
          <w:szCs w:val="28"/>
          <w:lang w:eastAsia="zh-CN"/>
        </w:rPr>
        <w:t>无。</w:t>
      </w:r>
    </w:p>
    <w:p w14:paraId="1B43AF59">
      <w:pPr>
        <w:spacing w:line="520" w:lineRule="exact"/>
        <w:ind w:firstLine="640"/>
        <w:rPr>
          <w:rFonts w:ascii="仿宋_GB2312" w:eastAsia="仿宋_GB2312"/>
          <w:sz w:val="28"/>
          <w:szCs w:val="28"/>
        </w:rPr>
      </w:pPr>
      <w:r>
        <w:rPr>
          <w:rFonts w:hint="eastAsia" w:ascii="仿宋_GB2312" w:eastAsia="仿宋_GB2312"/>
          <w:sz w:val="28"/>
          <w:szCs w:val="28"/>
        </w:rPr>
        <w:t>（4）可持续影响</w:t>
      </w:r>
    </w:p>
    <w:p w14:paraId="070D0B51">
      <w:pPr>
        <w:spacing w:line="520" w:lineRule="exact"/>
        <w:ind w:firstLine="640"/>
        <w:rPr>
          <w:rFonts w:hint="eastAsia" w:ascii="仿宋_GB2312" w:eastAsia="仿宋_GB2312"/>
          <w:sz w:val="28"/>
          <w:szCs w:val="28"/>
        </w:rPr>
      </w:pPr>
      <w:r>
        <w:rPr>
          <w:rFonts w:hint="eastAsia" w:ascii="仿宋_GB2312" w:hAnsi="Times New Roman" w:eastAsia="仿宋_GB2312" w:cs="Times New Roman"/>
          <w:sz w:val="28"/>
          <w:szCs w:val="28"/>
          <w:lang w:eastAsia="zh-CN"/>
        </w:rPr>
        <w:t>无。</w:t>
      </w:r>
    </w:p>
    <w:p w14:paraId="3E75C211">
      <w:pPr>
        <w:spacing w:line="520" w:lineRule="exact"/>
        <w:ind w:firstLine="640"/>
        <w:rPr>
          <w:rFonts w:ascii="仿宋_GB2312" w:eastAsia="仿宋_GB2312"/>
          <w:sz w:val="28"/>
          <w:szCs w:val="28"/>
        </w:rPr>
      </w:pPr>
      <w:r>
        <w:rPr>
          <w:rFonts w:hint="eastAsia" w:ascii="仿宋_GB2312" w:eastAsia="仿宋_GB2312"/>
          <w:sz w:val="28"/>
          <w:szCs w:val="28"/>
        </w:rPr>
        <w:t>（5）服务对象满意度</w:t>
      </w:r>
    </w:p>
    <w:p w14:paraId="543290DF">
      <w:pPr>
        <w:numPr>
          <w:ilvl w:val="0"/>
          <w:numId w:val="0"/>
        </w:numPr>
        <w:spacing w:line="520" w:lineRule="exact"/>
        <w:ind w:firstLine="560" w:firstLineChars="200"/>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rPr>
        <w:t>加强管理，促进便民利企</w:t>
      </w:r>
      <w:r>
        <w:rPr>
          <w:rFonts w:hint="eastAsia" w:ascii="仿宋_GB2312" w:hAnsi="仿宋" w:eastAsia="仿宋_GB2312" w:cs="Times New Roman"/>
          <w:sz w:val="28"/>
          <w:szCs w:val="28"/>
          <w:lang w:eastAsia="zh-CN"/>
        </w:rPr>
        <w:t>，企业群众满意度≥</w:t>
      </w:r>
      <w:r>
        <w:rPr>
          <w:rFonts w:hint="eastAsia" w:ascii="仿宋_GB2312" w:hAnsi="仿宋" w:eastAsia="仿宋_GB2312" w:cs="Times New Roman"/>
          <w:sz w:val="28"/>
          <w:szCs w:val="28"/>
          <w:lang w:val="en-US" w:eastAsia="zh-CN"/>
        </w:rPr>
        <w:t>90%。</w:t>
      </w:r>
    </w:p>
    <w:p w14:paraId="4CA03FF0">
      <w:pPr>
        <w:numPr>
          <w:ilvl w:val="0"/>
          <w:numId w:val="0"/>
        </w:numPr>
        <w:spacing w:line="520" w:lineRule="exact"/>
        <w:ind w:firstLine="560" w:firstLineChars="200"/>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采购服务对象满意。</w:t>
      </w:r>
    </w:p>
    <w:p w14:paraId="7AACF13D">
      <w:pPr>
        <w:spacing w:line="520" w:lineRule="exact"/>
        <w:ind w:firstLine="560" w:firstLineChars="200"/>
        <w:rPr>
          <w:rFonts w:hint="eastAsia" w:ascii="楷体_GB2312" w:eastAsia="楷体_GB2312"/>
          <w:b/>
          <w:sz w:val="28"/>
          <w:szCs w:val="28"/>
        </w:rPr>
      </w:pPr>
      <w:r>
        <w:rPr>
          <w:rFonts w:hint="eastAsia" w:ascii="仿宋_GB2312" w:hAnsi="仿宋" w:eastAsia="仿宋_GB2312" w:cs="Times New Roman"/>
          <w:sz w:val="28"/>
          <w:szCs w:val="28"/>
          <w:lang w:val="en-US" w:eastAsia="zh-CN"/>
        </w:rPr>
        <w:t>公共资源交易平台服务对象满意。</w:t>
      </w:r>
    </w:p>
    <w:p w14:paraId="5E703110">
      <w:pPr>
        <w:spacing w:line="520" w:lineRule="exact"/>
        <w:ind w:firstLine="640"/>
        <w:rPr>
          <w:rFonts w:ascii="楷体_GB2312" w:eastAsia="楷体_GB2312"/>
          <w:b/>
          <w:sz w:val="28"/>
          <w:szCs w:val="28"/>
        </w:rPr>
      </w:pPr>
      <w:r>
        <w:rPr>
          <w:rFonts w:hint="eastAsia" w:ascii="楷体_GB2312" w:eastAsia="楷体_GB2312"/>
          <w:b/>
          <w:sz w:val="28"/>
          <w:szCs w:val="28"/>
        </w:rPr>
        <w:t>（四）预算管理情况分析</w:t>
      </w:r>
    </w:p>
    <w:p w14:paraId="5F2D6A1E">
      <w:pPr>
        <w:spacing w:line="520" w:lineRule="exact"/>
        <w:ind w:firstLine="640"/>
        <w:rPr>
          <w:rFonts w:ascii="仿宋_GB2312" w:eastAsia="仿宋_GB2312"/>
          <w:sz w:val="28"/>
          <w:szCs w:val="28"/>
        </w:rPr>
      </w:pPr>
      <w:r>
        <w:rPr>
          <w:rFonts w:hint="eastAsia" w:ascii="仿宋_GB2312" w:eastAsia="仿宋_GB2312"/>
          <w:sz w:val="28"/>
          <w:szCs w:val="28"/>
        </w:rPr>
        <w:t>1.财务管理</w:t>
      </w:r>
    </w:p>
    <w:p w14:paraId="55E00264">
      <w:pPr>
        <w:spacing w:line="520" w:lineRule="exact"/>
        <w:ind w:firstLine="560" w:firstLineChars="200"/>
        <w:rPr>
          <w:rFonts w:hint="eastAsia" w:ascii="仿宋_GB2312" w:eastAsia="仿宋_GB2312"/>
          <w:sz w:val="28"/>
          <w:szCs w:val="28"/>
        </w:rPr>
      </w:pPr>
      <w:r>
        <w:rPr>
          <w:rFonts w:hint="eastAsia" w:ascii="仿宋_GB2312" w:hAnsi="仿宋" w:eastAsia="仿宋_GB2312" w:cs="Times New Roman"/>
          <w:sz w:val="28"/>
          <w:szCs w:val="28"/>
          <w:lang w:eastAsia="zh-CN"/>
        </w:rPr>
        <w:t>本单位已建立预算管理、收支管理、现金管理、银行账户管理等办法，严格按照预算批复及审批程序使用资金，财务方面事项严格按制度执行，</w:t>
      </w:r>
      <w:r>
        <w:rPr>
          <w:rFonts w:hint="eastAsia" w:ascii="仿宋_GB2312" w:hAnsi="仿宋" w:eastAsia="仿宋_GB2312" w:cs="Times New Roman"/>
          <w:sz w:val="28"/>
          <w:szCs w:val="28"/>
        </w:rPr>
        <w:t>会计基础信息完善</w:t>
      </w:r>
      <w:r>
        <w:rPr>
          <w:rFonts w:hint="eastAsia" w:ascii="仿宋_GB2312" w:hAnsi="仿宋" w:eastAsia="仿宋_GB2312" w:cs="Times New Roman"/>
          <w:sz w:val="28"/>
          <w:szCs w:val="28"/>
          <w:lang w:eastAsia="zh-CN"/>
        </w:rPr>
        <w:t>。</w:t>
      </w:r>
    </w:p>
    <w:p w14:paraId="5D6961CD">
      <w:pPr>
        <w:spacing w:line="520" w:lineRule="exact"/>
        <w:ind w:firstLine="640"/>
        <w:rPr>
          <w:rFonts w:ascii="仿宋_GB2312" w:eastAsia="仿宋_GB2312"/>
          <w:sz w:val="28"/>
          <w:szCs w:val="28"/>
        </w:rPr>
      </w:pPr>
      <w:r>
        <w:rPr>
          <w:rFonts w:hint="eastAsia" w:ascii="仿宋_GB2312" w:eastAsia="仿宋_GB2312"/>
          <w:sz w:val="28"/>
          <w:szCs w:val="28"/>
        </w:rPr>
        <w:t>2.资产管理</w:t>
      </w:r>
    </w:p>
    <w:p w14:paraId="2BF657E0">
      <w:pPr>
        <w:spacing w:line="520" w:lineRule="exact"/>
        <w:ind w:firstLine="560" w:firstLineChars="200"/>
        <w:rPr>
          <w:rFonts w:hint="eastAsia" w:ascii="仿宋_GB2312" w:eastAsia="仿宋_GB2312"/>
          <w:sz w:val="28"/>
          <w:szCs w:val="28"/>
        </w:rPr>
      </w:pPr>
      <w:r>
        <w:rPr>
          <w:rFonts w:hint="eastAsia" w:ascii="仿宋_GB2312" w:hAnsi="仿宋" w:eastAsia="仿宋_GB2312" w:cs="Times New Roman"/>
          <w:sz w:val="28"/>
          <w:szCs w:val="28"/>
          <w:lang w:eastAsia="zh-CN"/>
        </w:rPr>
        <w:t>本单位已建立固定资产管理办法，明确固定资产归口管理科室，有专人负责固定资产的日常管理、盘点、处置等工作，资产保存完整，使用合规。</w:t>
      </w:r>
    </w:p>
    <w:p w14:paraId="592ABEB2">
      <w:pPr>
        <w:spacing w:line="520" w:lineRule="exact"/>
        <w:ind w:firstLine="640"/>
        <w:rPr>
          <w:rFonts w:ascii="仿宋_GB2312" w:eastAsia="仿宋_GB2312"/>
          <w:sz w:val="28"/>
          <w:szCs w:val="28"/>
        </w:rPr>
      </w:pPr>
      <w:r>
        <w:rPr>
          <w:rFonts w:hint="eastAsia" w:ascii="仿宋_GB2312" w:eastAsia="仿宋_GB2312"/>
          <w:sz w:val="28"/>
          <w:szCs w:val="28"/>
        </w:rPr>
        <w:t>3.绩效管理</w:t>
      </w:r>
    </w:p>
    <w:p w14:paraId="2639701D">
      <w:pPr>
        <w:spacing w:line="520" w:lineRule="exact"/>
        <w:ind w:firstLine="640"/>
        <w:rPr>
          <w:rFonts w:ascii="仿宋_GB2312" w:eastAsia="仿宋_GB2312"/>
          <w:sz w:val="28"/>
          <w:szCs w:val="28"/>
        </w:rPr>
      </w:pPr>
      <w:r>
        <w:rPr>
          <w:rFonts w:hint="eastAsia" w:ascii="仿宋_GB2312" w:eastAsia="仿宋_GB2312"/>
          <w:sz w:val="28"/>
          <w:szCs w:val="28"/>
        </w:rPr>
        <w:t>（1）预算绩效管理制度情况</w:t>
      </w:r>
    </w:p>
    <w:p w14:paraId="140B727A">
      <w:pPr>
        <w:spacing w:line="520" w:lineRule="exact"/>
        <w:ind w:firstLine="560" w:firstLineChars="20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本单位严格落实我区预算绩效管理办法等相关规定，将预算绩效管理纳入预算管理制度，并按要求开展预算绩效自评及绩效运行监控等工作。</w:t>
      </w:r>
    </w:p>
    <w:p w14:paraId="438E6C3B">
      <w:pPr>
        <w:spacing w:line="520" w:lineRule="exact"/>
        <w:ind w:firstLine="640"/>
        <w:rPr>
          <w:rFonts w:ascii="仿宋_GB2312" w:eastAsia="仿宋_GB2312"/>
          <w:sz w:val="28"/>
          <w:szCs w:val="28"/>
        </w:rPr>
      </w:pPr>
      <w:r>
        <w:rPr>
          <w:rFonts w:hint="eastAsia" w:ascii="仿宋_GB2312" w:eastAsia="仿宋_GB2312"/>
          <w:sz w:val="28"/>
          <w:szCs w:val="28"/>
        </w:rPr>
        <w:t>（2）绩效目标管理情况</w:t>
      </w:r>
    </w:p>
    <w:p w14:paraId="5E5F274A">
      <w:pPr>
        <w:spacing w:line="520" w:lineRule="exact"/>
        <w:ind w:firstLine="560" w:firstLineChars="200"/>
        <w:rPr>
          <w:rFonts w:ascii="仿宋_GB2312" w:hAnsi="微软雅黑" w:eastAsia="仿宋_GB2312" w:cs="微软雅黑"/>
          <w:color w:val="404040"/>
          <w:sz w:val="32"/>
          <w:szCs w:val="32"/>
          <w:highlight w:val="none"/>
          <w:shd w:val="clear" w:color="auto" w:fill="FFFFFF"/>
        </w:rPr>
      </w:pPr>
      <w:r>
        <w:rPr>
          <w:rFonts w:hint="eastAsia" w:ascii="仿宋_GB2312" w:hAnsi="仿宋" w:eastAsia="仿宋_GB2312" w:cs="Times New Roman"/>
          <w:sz w:val="28"/>
          <w:szCs w:val="28"/>
          <w:lang w:eastAsia="zh-CN"/>
        </w:rPr>
        <w:t>2025年部门预算项目</w:t>
      </w:r>
      <w:r>
        <w:rPr>
          <w:rFonts w:hint="eastAsia" w:ascii="仿宋_GB2312" w:hAnsi="仿宋" w:eastAsia="仿宋_GB2312" w:cs="Times New Roman"/>
          <w:sz w:val="28"/>
          <w:szCs w:val="28"/>
          <w:lang w:val="en-US" w:eastAsia="zh-CN"/>
        </w:rPr>
        <w:t>9</w:t>
      </w:r>
      <w:r>
        <w:rPr>
          <w:rFonts w:hint="eastAsia" w:ascii="仿宋_GB2312" w:hAnsi="仿宋" w:eastAsia="仿宋_GB2312" w:cs="Times New Roman"/>
          <w:sz w:val="28"/>
          <w:szCs w:val="28"/>
          <w:lang w:eastAsia="zh-CN"/>
        </w:rPr>
        <w:t>个，部门预算公开绩效目标的预算项目</w:t>
      </w:r>
      <w:r>
        <w:rPr>
          <w:rFonts w:hint="eastAsia" w:ascii="仿宋_GB2312" w:hAnsi="仿宋" w:eastAsia="仿宋_GB2312" w:cs="Times New Roman"/>
          <w:sz w:val="28"/>
          <w:szCs w:val="28"/>
          <w:lang w:val="en-US" w:eastAsia="zh-CN"/>
        </w:rPr>
        <w:t>9</w:t>
      </w:r>
      <w:r>
        <w:rPr>
          <w:rFonts w:hint="eastAsia" w:ascii="仿宋_GB2312" w:hAnsi="仿宋" w:eastAsia="仿宋_GB2312" w:cs="Times New Roman"/>
          <w:sz w:val="28"/>
          <w:szCs w:val="28"/>
          <w:lang w:eastAsia="zh-CN"/>
        </w:rPr>
        <w:t>个，占本部门全部预算项目的</w:t>
      </w:r>
      <w:r>
        <w:rPr>
          <w:rFonts w:hint="eastAsia" w:ascii="仿宋_GB2312" w:hAnsi="仿宋" w:eastAsia="仿宋_GB2312" w:cs="Times New Roman"/>
          <w:sz w:val="28"/>
          <w:szCs w:val="28"/>
          <w:lang w:val="en-US" w:eastAsia="zh-CN"/>
        </w:rPr>
        <w:t>100</w:t>
      </w:r>
      <w:r>
        <w:rPr>
          <w:rFonts w:hint="eastAsia" w:ascii="仿宋_GB2312" w:hAnsi="仿宋" w:eastAsia="仿宋_GB2312" w:cs="Times New Roman"/>
          <w:sz w:val="28"/>
          <w:szCs w:val="28"/>
          <w:lang w:eastAsia="zh-CN"/>
        </w:rPr>
        <w:t>%。</w:t>
      </w:r>
    </w:p>
    <w:p w14:paraId="777C7503">
      <w:pPr>
        <w:spacing w:line="520" w:lineRule="exact"/>
        <w:ind w:firstLine="640"/>
        <w:rPr>
          <w:rFonts w:ascii="仿宋_GB2312" w:eastAsia="仿宋_GB2312"/>
          <w:sz w:val="28"/>
          <w:szCs w:val="28"/>
        </w:rPr>
      </w:pPr>
      <w:r>
        <w:rPr>
          <w:rFonts w:hint="eastAsia" w:ascii="仿宋_GB2312" w:eastAsia="仿宋_GB2312"/>
          <w:sz w:val="28"/>
          <w:szCs w:val="28"/>
        </w:rPr>
        <w:t>（3）绩效运行监控情况</w:t>
      </w:r>
    </w:p>
    <w:p w14:paraId="6DBCC338">
      <w:pPr>
        <w:spacing w:line="520" w:lineRule="exact"/>
        <w:ind w:firstLine="560" w:firstLineChars="20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2025年对本部门及所属单位</w:t>
      </w:r>
      <w:r>
        <w:rPr>
          <w:rFonts w:hint="eastAsia" w:ascii="仿宋_GB2312" w:hAnsi="仿宋" w:eastAsia="仿宋_GB2312" w:cs="Times New Roman"/>
          <w:sz w:val="28"/>
          <w:szCs w:val="28"/>
          <w:lang w:val="en-US" w:eastAsia="zh-CN"/>
        </w:rPr>
        <w:t>9</w:t>
      </w:r>
      <w:r>
        <w:rPr>
          <w:rFonts w:hint="eastAsia" w:ascii="仿宋_GB2312" w:hAnsi="仿宋" w:eastAsia="仿宋_GB2312" w:cs="Times New Roman"/>
          <w:sz w:val="28"/>
          <w:szCs w:val="28"/>
          <w:lang w:eastAsia="zh-CN"/>
        </w:rPr>
        <w:t>个预算项目进行绩效运行监控，占部门项目总数的</w:t>
      </w:r>
      <w:r>
        <w:rPr>
          <w:rFonts w:hint="eastAsia" w:ascii="仿宋_GB2312" w:hAnsi="仿宋" w:eastAsia="仿宋_GB2312" w:cs="Times New Roman"/>
          <w:sz w:val="28"/>
          <w:szCs w:val="28"/>
          <w:lang w:val="en-US" w:eastAsia="zh-CN"/>
        </w:rPr>
        <w:t>100</w:t>
      </w:r>
      <w:r>
        <w:rPr>
          <w:rFonts w:hint="eastAsia" w:ascii="仿宋_GB2312" w:hAnsi="仿宋" w:eastAsia="仿宋_GB2312" w:cs="Times New Roman"/>
          <w:sz w:val="28"/>
          <w:szCs w:val="28"/>
          <w:lang w:eastAsia="zh-CN"/>
        </w:rPr>
        <w:t>%，涉及资金</w:t>
      </w:r>
      <w:r>
        <w:rPr>
          <w:rFonts w:hint="eastAsia" w:ascii="仿宋_GB2312" w:hAnsi="仿宋" w:eastAsia="仿宋_GB2312" w:cs="Times New Roman"/>
          <w:sz w:val="28"/>
          <w:szCs w:val="28"/>
          <w:lang w:val="en-US" w:eastAsia="zh-CN"/>
        </w:rPr>
        <w:t>7,139,019.20</w:t>
      </w:r>
      <w:r>
        <w:rPr>
          <w:rFonts w:hint="eastAsia" w:ascii="仿宋_GB2312" w:hAnsi="仿宋" w:eastAsia="仿宋_GB2312" w:cs="Times New Roman"/>
          <w:sz w:val="28"/>
          <w:szCs w:val="28"/>
          <w:lang w:eastAsia="zh-CN"/>
        </w:rPr>
        <w:t>元。</w:t>
      </w:r>
    </w:p>
    <w:p w14:paraId="620F4954">
      <w:pPr>
        <w:spacing w:line="520" w:lineRule="exact"/>
        <w:ind w:firstLine="640"/>
        <w:rPr>
          <w:rFonts w:ascii="仿宋_GB2312" w:eastAsia="仿宋_GB2312"/>
          <w:sz w:val="28"/>
          <w:szCs w:val="28"/>
        </w:rPr>
      </w:pPr>
      <w:r>
        <w:rPr>
          <w:rFonts w:hint="eastAsia" w:ascii="仿宋_GB2312" w:eastAsia="仿宋_GB2312"/>
          <w:sz w:val="28"/>
          <w:szCs w:val="28"/>
        </w:rPr>
        <w:t>（4）绩效自评情况</w:t>
      </w:r>
    </w:p>
    <w:p w14:paraId="5E59A079">
      <w:pPr>
        <w:spacing w:line="520" w:lineRule="exact"/>
        <w:ind w:firstLine="560" w:firstLineChars="20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2025年对本部门及所属单位2024年项目支出实施了绩效自评，评价项目</w:t>
      </w:r>
      <w:r>
        <w:rPr>
          <w:rFonts w:hint="eastAsia" w:ascii="仿宋_GB2312" w:hAnsi="仿宋" w:eastAsia="仿宋_GB2312" w:cs="Times New Roman"/>
          <w:sz w:val="28"/>
          <w:szCs w:val="28"/>
          <w:lang w:val="en-US" w:eastAsia="zh-CN"/>
        </w:rPr>
        <w:t>17</w:t>
      </w:r>
      <w:r>
        <w:rPr>
          <w:rFonts w:hint="eastAsia" w:ascii="仿宋_GB2312" w:hAnsi="仿宋" w:eastAsia="仿宋_GB2312" w:cs="Times New Roman"/>
          <w:sz w:val="28"/>
          <w:szCs w:val="28"/>
          <w:lang w:eastAsia="zh-CN"/>
        </w:rPr>
        <w:t>个，涉及金额</w:t>
      </w:r>
      <w:r>
        <w:rPr>
          <w:rFonts w:hint="eastAsia" w:ascii="仿宋_GB2312" w:hAnsi="仿宋" w:eastAsia="仿宋_GB2312" w:cs="Times New Roman"/>
          <w:sz w:val="28"/>
          <w:szCs w:val="28"/>
          <w:lang w:val="en-US" w:eastAsia="zh-CN"/>
        </w:rPr>
        <w:t>21,941,069.09</w:t>
      </w:r>
      <w:r>
        <w:rPr>
          <w:rFonts w:hint="eastAsia" w:ascii="仿宋_GB2312" w:hAnsi="仿宋" w:eastAsia="仿宋_GB2312" w:cs="Times New Roman"/>
          <w:sz w:val="28"/>
          <w:szCs w:val="28"/>
          <w:lang w:eastAsia="zh-CN"/>
        </w:rPr>
        <w:t>元。</w:t>
      </w:r>
    </w:p>
    <w:p w14:paraId="392AD8E9">
      <w:pPr>
        <w:spacing w:line="520" w:lineRule="exact"/>
        <w:ind w:firstLine="640"/>
        <w:rPr>
          <w:rFonts w:ascii="楷体_GB2312" w:eastAsia="楷体_GB2312"/>
          <w:b/>
          <w:sz w:val="28"/>
          <w:szCs w:val="28"/>
        </w:rPr>
      </w:pPr>
      <w:r>
        <w:rPr>
          <w:rFonts w:hint="eastAsia" w:ascii="楷体_GB2312" w:eastAsia="楷体_GB2312"/>
          <w:b/>
          <w:sz w:val="28"/>
          <w:szCs w:val="28"/>
        </w:rPr>
        <w:t>（五）总体评价结论</w:t>
      </w:r>
    </w:p>
    <w:p w14:paraId="5192A46A">
      <w:pPr>
        <w:spacing w:line="520" w:lineRule="exact"/>
        <w:ind w:firstLine="640"/>
        <w:rPr>
          <w:rFonts w:ascii="仿宋_GB2312" w:eastAsia="仿宋_GB2312"/>
          <w:sz w:val="28"/>
          <w:szCs w:val="28"/>
        </w:rPr>
      </w:pPr>
      <w:r>
        <w:rPr>
          <w:rFonts w:hint="eastAsia" w:ascii="仿宋_GB2312" w:eastAsia="仿宋_GB2312"/>
          <w:sz w:val="28"/>
          <w:szCs w:val="28"/>
        </w:rPr>
        <w:t>1.评价得分情况</w:t>
      </w:r>
    </w:p>
    <w:p w14:paraId="6E268FA6">
      <w:pPr>
        <w:widowControl/>
        <w:spacing w:line="520" w:lineRule="exact"/>
        <w:ind w:firstLine="560" w:firstLineChars="200"/>
        <w:rPr>
          <w:rFonts w:hint="eastAsia" w:ascii="仿宋_GB2312" w:hAnsi="仿宋" w:eastAsia="仿宋_GB2312" w:cs="Times New Roman"/>
          <w:sz w:val="28"/>
          <w:szCs w:val="28"/>
          <w:lang w:eastAsia="zh-CN"/>
        </w:rPr>
      </w:pPr>
      <w:r>
        <w:rPr>
          <w:rFonts w:hint="eastAsia" w:ascii="仿宋_GB2312" w:eastAsia="仿宋_GB2312"/>
          <w:sz w:val="28"/>
          <w:szCs w:val="28"/>
        </w:rPr>
        <w:t>绩效自评总分：</w:t>
      </w:r>
      <w:r>
        <w:rPr>
          <w:rFonts w:hint="eastAsia" w:ascii="仿宋_GB2312" w:hAnsi="仿宋" w:eastAsia="仿宋_GB2312" w:cs="Times New Roman"/>
          <w:sz w:val="28"/>
          <w:szCs w:val="28"/>
          <w:lang w:val="en-US" w:eastAsia="zh-CN"/>
        </w:rPr>
        <w:t>99.8</w:t>
      </w:r>
      <w:r>
        <w:rPr>
          <w:rFonts w:hint="eastAsia" w:ascii="仿宋_GB2312" w:hAnsi="仿宋" w:eastAsia="仿宋_GB2312" w:cs="Times New Roman"/>
          <w:sz w:val="28"/>
          <w:szCs w:val="28"/>
          <w:lang w:eastAsia="zh-CN"/>
        </w:rPr>
        <w:t>分</w:t>
      </w:r>
    </w:p>
    <w:p w14:paraId="524FFF61">
      <w:pPr>
        <w:widowControl/>
        <w:spacing w:line="520" w:lineRule="exact"/>
        <w:ind w:firstLine="560" w:firstLineChars="200"/>
        <w:rPr>
          <w:rFonts w:hint="eastAsia" w:ascii="仿宋_GB2312" w:hAnsi="仿宋" w:eastAsia="仿宋_GB2312" w:cs="Times New Roman"/>
          <w:sz w:val="28"/>
          <w:szCs w:val="28"/>
          <w:lang w:eastAsia="zh-CN"/>
        </w:rPr>
      </w:pPr>
      <w:r>
        <w:rPr>
          <w:rFonts w:hint="eastAsia" w:ascii="仿宋_GB2312" w:eastAsia="仿宋_GB2312"/>
          <w:sz w:val="28"/>
          <w:szCs w:val="28"/>
        </w:rPr>
        <w:t>绩效自评等级：</w:t>
      </w:r>
      <w:r>
        <w:rPr>
          <w:rFonts w:hint="eastAsia" w:ascii="仿宋_GB2312" w:hAnsi="仿宋" w:eastAsia="仿宋_GB2312" w:cs="Times New Roman"/>
          <w:sz w:val="28"/>
          <w:szCs w:val="28"/>
          <w:lang w:eastAsia="zh-CN"/>
        </w:rPr>
        <w:t>优秀</w:t>
      </w:r>
    </w:p>
    <w:p w14:paraId="0E5898BD">
      <w:pPr>
        <w:spacing w:line="520" w:lineRule="exact"/>
        <w:ind w:firstLine="640"/>
        <w:rPr>
          <w:rFonts w:ascii="仿宋_GB2312" w:eastAsia="仿宋_GB2312"/>
          <w:sz w:val="28"/>
          <w:szCs w:val="28"/>
        </w:rPr>
      </w:pPr>
      <w:r>
        <w:rPr>
          <w:rFonts w:hint="eastAsia" w:ascii="仿宋_GB2312" w:eastAsia="仿宋_GB2312"/>
          <w:sz w:val="28"/>
          <w:szCs w:val="28"/>
        </w:rPr>
        <w:t>2.存在的问题及原因分析</w:t>
      </w:r>
    </w:p>
    <w:p w14:paraId="6CDD71A7">
      <w:pPr>
        <w:spacing w:line="520" w:lineRule="exact"/>
        <w:ind w:firstLine="560" w:firstLineChars="20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val="en-US" w:eastAsia="zh-CN"/>
        </w:rPr>
        <w:t>强化资金使用部门绩效意识和责任意识，将绩效追踪常态化。</w:t>
      </w:r>
    </w:p>
    <w:p w14:paraId="0909EB3E">
      <w:pPr>
        <w:spacing w:line="520" w:lineRule="exact"/>
        <w:ind w:firstLine="640"/>
        <w:rPr>
          <w:rFonts w:ascii="仿宋_GB2312" w:eastAsia="仿宋_GB2312"/>
          <w:sz w:val="28"/>
          <w:szCs w:val="28"/>
        </w:rPr>
      </w:pPr>
      <w:r>
        <w:rPr>
          <w:rFonts w:hint="eastAsia" w:ascii="仿宋_GB2312" w:eastAsia="仿宋_GB2312"/>
          <w:sz w:val="28"/>
          <w:szCs w:val="28"/>
        </w:rPr>
        <w:t>3.改进措施</w:t>
      </w:r>
    </w:p>
    <w:p w14:paraId="736AE6B2">
      <w:pPr>
        <w:spacing w:line="520" w:lineRule="exact"/>
        <w:ind w:firstLine="560" w:firstLineChars="20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val="en-US" w:eastAsia="zh-CN"/>
        </w:rPr>
        <w:t>进一步加强项目追踪，健全绩效评价常态化机制，增强资金使用部门的支出责任和绩效意识，提高财政资金使用效益。</w:t>
      </w:r>
    </w:p>
    <w:p w14:paraId="0955CDF0">
      <w:pPr>
        <w:spacing w:line="520" w:lineRule="exact"/>
        <w:ind w:firstLine="640"/>
        <w:rPr>
          <w:rFonts w:ascii="黑体" w:hAnsi="黑体" w:eastAsia="黑体"/>
          <w:sz w:val="28"/>
          <w:szCs w:val="28"/>
        </w:rPr>
      </w:pPr>
      <w:r>
        <w:rPr>
          <w:rFonts w:hint="eastAsia" w:ascii="黑体" w:hAnsi="黑体" w:eastAsia="黑体"/>
          <w:sz w:val="28"/>
          <w:szCs w:val="28"/>
        </w:rPr>
        <w:t>二、项目支出绩效自评情况</w:t>
      </w:r>
    </w:p>
    <w:p w14:paraId="7C0A7FA5">
      <w:pPr>
        <w:spacing w:line="520" w:lineRule="exact"/>
        <w:ind w:firstLine="708" w:firstLineChars="253"/>
        <w:rPr>
          <w:rFonts w:ascii="楷体_GB2312" w:hAnsi="仿宋" w:eastAsia="楷体_GB2312"/>
          <w:b/>
          <w:sz w:val="28"/>
          <w:szCs w:val="28"/>
        </w:rPr>
      </w:pPr>
      <w:r>
        <w:rPr>
          <w:rFonts w:hint="eastAsia" w:ascii="楷体_GB2312" w:hAnsi="仿宋" w:eastAsia="楷体_GB2312"/>
          <w:b/>
          <w:sz w:val="28"/>
          <w:szCs w:val="28"/>
        </w:rPr>
        <w:t>（一）绩效自评开展总体情况</w:t>
      </w:r>
    </w:p>
    <w:p w14:paraId="338BA6BB">
      <w:pPr>
        <w:spacing w:line="520" w:lineRule="exact"/>
        <w:ind w:firstLine="708" w:firstLineChars="253"/>
        <w:rPr>
          <w:rFonts w:ascii="仿宋_GB2312" w:eastAsia="仿宋_GB2312"/>
          <w:sz w:val="28"/>
          <w:szCs w:val="28"/>
        </w:rPr>
      </w:pPr>
      <w:r>
        <w:rPr>
          <w:rFonts w:hint="eastAsia" w:ascii="仿宋_GB2312" w:eastAsia="仿宋_GB2312"/>
          <w:sz w:val="28"/>
          <w:szCs w:val="28"/>
        </w:rPr>
        <w:t>2025年度区财政批复项目支出</w:t>
      </w:r>
      <w:r>
        <w:rPr>
          <w:rFonts w:ascii="仿宋_GB2312" w:eastAsia="仿宋_GB2312"/>
          <w:sz w:val="28"/>
          <w:szCs w:val="28"/>
        </w:rPr>
        <w:t>预算项目</w:t>
      </w:r>
      <w:r>
        <w:rPr>
          <w:rFonts w:hint="eastAsia" w:ascii="仿宋_GB2312" w:eastAsia="仿宋_GB2312"/>
          <w:sz w:val="28"/>
          <w:szCs w:val="28"/>
          <w:lang w:val="en-US" w:eastAsia="zh-CN"/>
        </w:rPr>
        <w:t>16</w:t>
      </w:r>
      <w:r>
        <w:rPr>
          <w:rFonts w:hint="eastAsia" w:ascii="仿宋_GB2312" w:eastAsia="仿宋_GB2312"/>
          <w:sz w:val="28"/>
          <w:szCs w:val="28"/>
        </w:rPr>
        <w:t>个，涉及金额</w:t>
      </w:r>
      <w:r>
        <w:rPr>
          <w:rFonts w:hint="eastAsia" w:ascii="仿宋_GB2312" w:eastAsia="仿宋_GB2312"/>
          <w:sz w:val="28"/>
          <w:szCs w:val="28"/>
          <w:lang w:val="en-US" w:eastAsia="zh-CN"/>
        </w:rPr>
        <w:t>111,924,536.12</w:t>
      </w:r>
      <w:r>
        <w:rPr>
          <w:rFonts w:hint="eastAsia" w:ascii="仿宋_GB2312" w:eastAsia="仿宋_GB2312"/>
          <w:sz w:val="28"/>
          <w:szCs w:val="28"/>
        </w:rPr>
        <w:t>元。本次</w:t>
      </w:r>
      <w:r>
        <w:rPr>
          <w:rFonts w:ascii="仿宋_GB2312" w:eastAsia="仿宋_GB2312"/>
          <w:sz w:val="28"/>
          <w:szCs w:val="28"/>
        </w:rPr>
        <w:t>实施</w:t>
      </w:r>
      <w:r>
        <w:rPr>
          <w:rFonts w:hint="eastAsia" w:ascii="仿宋_GB2312" w:eastAsia="仿宋_GB2312"/>
          <w:sz w:val="28"/>
          <w:szCs w:val="28"/>
        </w:rPr>
        <w:t>绩效自评项目</w:t>
      </w:r>
      <w:r>
        <w:rPr>
          <w:rFonts w:hint="eastAsia" w:ascii="仿宋_GB2312" w:eastAsia="仿宋_GB2312"/>
          <w:sz w:val="28"/>
          <w:szCs w:val="28"/>
          <w:lang w:val="en-US" w:eastAsia="zh-CN"/>
        </w:rPr>
        <w:t>16</w:t>
      </w:r>
      <w:r>
        <w:rPr>
          <w:rFonts w:hint="eastAsia" w:ascii="仿宋_GB2312" w:eastAsia="仿宋_GB2312"/>
          <w:sz w:val="28"/>
          <w:szCs w:val="28"/>
        </w:rPr>
        <w:t>个，涉及金额</w:t>
      </w:r>
      <w:r>
        <w:rPr>
          <w:rFonts w:hint="eastAsia" w:ascii="仿宋_GB2312" w:eastAsia="仿宋_GB2312"/>
          <w:sz w:val="28"/>
          <w:szCs w:val="28"/>
          <w:lang w:val="en-US" w:eastAsia="zh-CN"/>
        </w:rPr>
        <w:t>111,924,536.12</w:t>
      </w:r>
      <w:r>
        <w:rPr>
          <w:rFonts w:hint="eastAsia" w:ascii="仿宋_GB2312" w:eastAsia="仿宋_GB2312"/>
          <w:sz w:val="28"/>
          <w:szCs w:val="28"/>
        </w:rPr>
        <w:t>元。评价得分在90分（含90分）以上的</w:t>
      </w:r>
      <w:r>
        <w:rPr>
          <w:rFonts w:hint="eastAsia" w:ascii="仿宋_GB2312" w:eastAsia="仿宋_GB2312"/>
          <w:sz w:val="28"/>
          <w:szCs w:val="28"/>
          <w:lang w:val="en-US" w:eastAsia="zh-CN"/>
        </w:rPr>
        <w:t>16</w:t>
      </w:r>
      <w:r>
        <w:rPr>
          <w:rFonts w:hint="eastAsia" w:ascii="仿宋_GB2312" w:eastAsia="仿宋_GB2312"/>
          <w:sz w:val="28"/>
          <w:szCs w:val="28"/>
        </w:rPr>
        <w:t>个，评价得分在80-90分（含80分）的</w:t>
      </w:r>
      <w:r>
        <w:rPr>
          <w:rFonts w:hint="eastAsia" w:ascii="仿宋_GB2312" w:eastAsia="仿宋_GB2312"/>
          <w:sz w:val="28"/>
          <w:szCs w:val="28"/>
          <w:lang w:val="en-US" w:eastAsia="zh-CN"/>
        </w:rPr>
        <w:t>0</w:t>
      </w:r>
      <w:r>
        <w:rPr>
          <w:rFonts w:hint="eastAsia" w:ascii="仿宋_GB2312" w:eastAsia="仿宋_GB2312"/>
          <w:sz w:val="28"/>
          <w:szCs w:val="28"/>
        </w:rPr>
        <w:t>个，评价得分在60-80分（含60分）的</w:t>
      </w:r>
      <w:r>
        <w:rPr>
          <w:rFonts w:hint="eastAsia" w:ascii="仿宋_GB2312" w:eastAsia="仿宋_GB2312"/>
          <w:sz w:val="28"/>
          <w:szCs w:val="28"/>
          <w:lang w:val="en-US" w:eastAsia="zh-CN"/>
        </w:rPr>
        <w:t>0</w:t>
      </w:r>
      <w:r>
        <w:rPr>
          <w:rFonts w:hint="eastAsia" w:ascii="仿宋_GB2312" w:eastAsia="仿宋_GB2312"/>
          <w:sz w:val="28"/>
          <w:szCs w:val="28"/>
        </w:rPr>
        <w:t>个，评价得分在60分以下的</w:t>
      </w:r>
      <w:r>
        <w:rPr>
          <w:rFonts w:hint="eastAsia" w:ascii="仿宋_GB2312" w:eastAsia="仿宋_GB2312"/>
          <w:sz w:val="28"/>
          <w:szCs w:val="28"/>
          <w:lang w:val="en-US" w:eastAsia="zh-CN"/>
        </w:rPr>
        <w:t>0</w:t>
      </w:r>
      <w:r>
        <w:rPr>
          <w:rFonts w:hint="eastAsia" w:ascii="仿宋_GB2312" w:eastAsia="仿宋_GB2312"/>
          <w:sz w:val="28"/>
          <w:szCs w:val="28"/>
        </w:rPr>
        <w:t>个。</w:t>
      </w:r>
    </w:p>
    <w:p w14:paraId="1848B045">
      <w:pPr>
        <w:spacing w:line="520" w:lineRule="exact"/>
        <w:ind w:firstLine="708" w:firstLineChars="253"/>
        <w:rPr>
          <w:rFonts w:ascii="楷体_GB2312" w:hAnsi="仿宋" w:eastAsia="楷体_GB2312"/>
          <w:b/>
          <w:sz w:val="28"/>
          <w:szCs w:val="28"/>
        </w:rPr>
      </w:pPr>
      <w:r>
        <w:rPr>
          <w:rFonts w:hint="eastAsia" w:ascii="楷体_GB2312" w:hAnsi="仿宋" w:eastAsia="楷体_GB2312"/>
          <w:b/>
          <w:sz w:val="28"/>
          <w:szCs w:val="28"/>
        </w:rPr>
        <w:t>（二）重点支出项目绩效自评报告</w:t>
      </w:r>
    </w:p>
    <w:p w14:paraId="2E9DAC78">
      <w:pPr>
        <w:spacing w:line="520" w:lineRule="exact"/>
        <w:ind w:firstLine="560" w:firstLineChars="200"/>
        <w:rPr>
          <w:rFonts w:ascii="仿宋_GB2312" w:eastAsia="仿宋_GB2312"/>
          <w:sz w:val="28"/>
          <w:szCs w:val="28"/>
        </w:rPr>
      </w:pPr>
      <w:r>
        <w:rPr>
          <w:rFonts w:hint="eastAsia" w:ascii="仿宋_GB2312" w:eastAsia="仿宋_GB2312"/>
          <w:color w:val="auto"/>
          <w:sz w:val="28"/>
          <w:szCs w:val="28"/>
          <w:lang w:eastAsia="zh-CN"/>
        </w:rPr>
        <w:t>见附件</w:t>
      </w:r>
      <w:r>
        <w:rPr>
          <w:rFonts w:hint="eastAsia" w:ascii="仿宋_GB2312" w:eastAsia="仿宋_GB2312"/>
          <w:color w:val="auto"/>
          <w:sz w:val="28"/>
          <w:szCs w:val="28"/>
          <w:lang w:val="en-US" w:eastAsia="zh-CN"/>
        </w:rPr>
        <w:t>1</w:t>
      </w:r>
    </w:p>
    <w:p w14:paraId="2FC0B80C">
      <w:pPr>
        <w:spacing w:line="520" w:lineRule="exact"/>
        <w:ind w:firstLine="708" w:firstLineChars="253"/>
        <w:rPr>
          <w:rFonts w:hint="eastAsia" w:ascii="楷体_GB2312" w:hAnsi="仿宋" w:eastAsia="楷体_GB2312"/>
          <w:b/>
          <w:sz w:val="28"/>
          <w:szCs w:val="28"/>
        </w:rPr>
      </w:pPr>
      <w:r>
        <w:rPr>
          <w:rFonts w:hint="eastAsia" w:ascii="楷体_GB2312" w:hAnsi="仿宋" w:eastAsia="楷体_GB2312"/>
          <w:b/>
          <w:sz w:val="28"/>
          <w:szCs w:val="28"/>
          <w:lang w:eastAsia="zh-CN"/>
        </w:rPr>
        <w:t>（三）</w:t>
      </w:r>
      <w:r>
        <w:rPr>
          <w:rFonts w:hint="eastAsia" w:ascii="楷体_GB2312" w:hAnsi="仿宋" w:eastAsia="楷体_GB2312"/>
          <w:b/>
          <w:sz w:val="28"/>
          <w:szCs w:val="28"/>
        </w:rPr>
        <w:t>项目支出绩效自评表</w:t>
      </w:r>
    </w:p>
    <w:p w14:paraId="2A26E198">
      <w:pPr>
        <w:spacing w:line="520" w:lineRule="exact"/>
        <w:ind w:firstLine="560" w:firstLineChars="200"/>
        <w:rPr>
          <w:rFonts w:hint="default" w:ascii="仿宋_GB2312" w:eastAsia="仿宋_GB2312"/>
          <w:sz w:val="28"/>
          <w:szCs w:val="28"/>
          <w:lang w:val="en-US" w:eastAsia="zh-CN"/>
        </w:rPr>
      </w:pPr>
      <w:r>
        <w:rPr>
          <w:rFonts w:hint="eastAsia" w:ascii="仿宋_GB2312" w:eastAsia="仿宋_GB2312"/>
          <w:sz w:val="28"/>
          <w:szCs w:val="28"/>
          <w:lang w:eastAsia="zh-CN"/>
        </w:rPr>
        <w:t>见附件</w:t>
      </w:r>
      <w:r>
        <w:rPr>
          <w:rFonts w:hint="eastAsia" w:ascii="仿宋_GB2312" w:eastAsia="仿宋_GB2312"/>
          <w:sz w:val="28"/>
          <w:szCs w:val="28"/>
          <w:lang w:val="en-US" w:eastAsia="zh-CN"/>
        </w:rPr>
        <w:t>2</w:t>
      </w:r>
    </w:p>
    <w:p w14:paraId="5F0C2E2C">
      <w:pPr>
        <w:spacing w:line="580" w:lineRule="exact"/>
        <w:ind w:firstLine="560" w:firstLineChars="200"/>
        <w:rPr>
          <w:rFonts w:hint="eastAsia" w:ascii="仿宋_GB2312" w:eastAsia="仿宋_GB2312"/>
          <w:sz w:val="28"/>
          <w:szCs w:val="28"/>
        </w:rPr>
      </w:pPr>
      <w:bookmarkStart w:id="4" w:name="_GoBack"/>
      <w:bookmarkEnd w:id="4"/>
      <w:r>
        <w:rPr>
          <w:rFonts w:hint="eastAsia" w:ascii="仿宋_GB2312" w:eastAsia="仿宋_GB2312"/>
          <w:sz w:val="28"/>
          <w:szCs w:val="28"/>
        </w:rPr>
        <w:t>附件：1.重点支出项目绩效自评报告</w:t>
      </w:r>
    </w:p>
    <w:p w14:paraId="0F669779">
      <w:pPr>
        <w:spacing w:line="580" w:lineRule="exact"/>
        <w:ind w:firstLine="1400" w:firstLineChars="500"/>
        <w:rPr>
          <w:rFonts w:hint="eastAsia" w:ascii="仿宋_GB2312" w:eastAsia="仿宋_GB2312"/>
          <w:sz w:val="28"/>
          <w:szCs w:val="28"/>
        </w:rPr>
      </w:pPr>
      <w:r>
        <w:rPr>
          <w:rFonts w:hint="eastAsia" w:ascii="仿宋_GB2312" w:eastAsia="仿宋_GB2312"/>
          <w:sz w:val="28"/>
          <w:szCs w:val="28"/>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CESI黑体-GB2312">
    <w:altName w:val="黑体"/>
    <w:panose1 w:val="00000000000000000000"/>
    <w:charset w:val="86"/>
    <w:family w:val="auto"/>
    <w:pitch w:val="default"/>
    <w:sig w:usb0="00000000" w:usb1="00000000"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DEB5F">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1DC3FA0D">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D0C80">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783C6D9A">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6AC2B">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17FA05AC">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CF856B"/>
    <w:multiLevelType w:val="singleLevel"/>
    <w:tmpl w:val="DFCF856B"/>
    <w:lvl w:ilvl="0" w:tentative="0">
      <w:start w:val="2"/>
      <w:numFmt w:val="chineseCounting"/>
      <w:suff w:val="nothing"/>
      <w:lvlText w:val="（%1）"/>
      <w:lvlJc w:val="left"/>
      <w:rPr>
        <w:rFonts w:hint="eastAsia"/>
      </w:rPr>
    </w:lvl>
  </w:abstractNum>
  <w:abstractNum w:abstractNumId="1">
    <w:nsid w:val="6E276063"/>
    <w:multiLevelType w:val="singleLevel"/>
    <w:tmpl w:val="6E276063"/>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6925"/>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4795"/>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73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213098"/>
    <w:rsid w:val="02306957"/>
    <w:rsid w:val="02CD1F73"/>
    <w:rsid w:val="02F120AB"/>
    <w:rsid w:val="032B5196"/>
    <w:rsid w:val="03374F36"/>
    <w:rsid w:val="034C72DC"/>
    <w:rsid w:val="037C1086"/>
    <w:rsid w:val="04C3537C"/>
    <w:rsid w:val="052027CE"/>
    <w:rsid w:val="053E7D66"/>
    <w:rsid w:val="057C377D"/>
    <w:rsid w:val="0645174F"/>
    <w:rsid w:val="0664493D"/>
    <w:rsid w:val="068838F4"/>
    <w:rsid w:val="06EB6E0C"/>
    <w:rsid w:val="07704955"/>
    <w:rsid w:val="078E7121"/>
    <w:rsid w:val="079004AC"/>
    <w:rsid w:val="07983134"/>
    <w:rsid w:val="07ED44BE"/>
    <w:rsid w:val="087756B2"/>
    <w:rsid w:val="0A746B6C"/>
    <w:rsid w:val="0AC858A8"/>
    <w:rsid w:val="0BA148CA"/>
    <w:rsid w:val="0BD31C1D"/>
    <w:rsid w:val="0C1165C4"/>
    <w:rsid w:val="0C84135A"/>
    <w:rsid w:val="0CA35D73"/>
    <w:rsid w:val="0CC55282"/>
    <w:rsid w:val="0CD45C4C"/>
    <w:rsid w:val="0D156991"/>
    <w:rsid w:val="0D6D544B"/>
    <w:rsid w:val="0DD136FE"/>
    <w:rsid w:val="0E5E2629"/>
    <w:rsid w:val="0EE7238E"/>
    <w:rsid w:val="0EF645A0"/>
    <w:rsid w:val="0F8E2C57"/>
    <w:rsid w:val="0FD0094D"/>
    <w:rsid w:val="0FFF2167"/>
    <w:rsid w:val="1059665E"/>
    <w:rsid w:val="10AC13BA"/>
    <w:rsid w:val="11813D97"/>
    <w:rsid w:val="11980797"/>
    <w:rsid w:val="11DD2B24"/>
    <w:rsid w:val="11E325DE"/>
    <w:rsid w:val="125E66E4"/>
    <w:rsid w:val="129513D3"/>
    <w:rsid w:val="129A088F"/>
    <w:rsid w:val="13975953"/>
    <w:rsid w:val="1415068B"/>
    <w:rsid w:val="14191898"/>
    <w:rsid w:val="145A6C1B"/>
    <w:rsid w:val="14B66EED"/>
    <w:rsid w:val="14B73493"/>
    <w:rsid w:val="14E86739"/>
    <w:rsid w:val="152139F9"/>
    <w:rsid w:val="153115A5"/>
    <w:rsid w:val="156A35F2"/>
    <w:rsid w:val="167A2FF9"/>
    <w:rsid w:val="16B72867"/>
    <w:rsid w:val="16BA7F2A"/>
    <w:rsid w:val="16D026BB"/>
    <w:rsid w:val="173B6FF4"/>
    <w:rsid w:val="174E2D0E"/>
    <w:rsid w:val="177C55A8"/>
    <w:rsid w:val="17BF6A70"/>
    <w:rsid w:val="17E05399"/>
    <w:rsid w:val="18581C69"/>
    <w:rsid w:val="186D28E5"/>
    <w:rsid w:val="18AD2173"/>
    <w:rsid w:val="18C4126B"/>
    <w:rsid w:val="18E31223"/>
    <w:rsid w:val="19157D18"/>
    <w:rsid w:val="198F3627"/>
    <w:rsid w:val="19C5529B"/>
    <w:rsid w:val="1A7D7923"/>
    <w:rsid w:val="1AC35C7E"/>
    <w:rsid w:val="1AEC0734"/>
    <w:rsid w:val="1C054074"/>
    <w:rsid w:val="1C116575"/>
    <w:rsid w:val="1C203C3A"/>
    <w:rsid w:val="1DEF20B0"/>
    <w:rsid w:val="1DFE521F"/>
    <w:rsid w:val="20145022"/>
    <w:rsid w:val="204926DE"/>
    <w:rsid w:val="214243FA"/>
    <w:rsid w:val="218965AC"/>
    <w:rsid w:val="21AD613C"/>
    <w:rsid w:val="221B5875"/>
    <w:rsid w:val="22467189"/>
    <w:rsid w:val="22570824"/>
    <w:rsid w:val="228F4698"/>
    <w:rsid w:val="230F5474"/>
    <w:rsid w:val="235B3089"/>
    <w:rsid w:val="23A067C1"/>
    <w:rsid w:val="2446522A"/>
    <w:rsid w:val="24651B54"/>
    <w:rsid w:val="25032FC9"/>
    <w:rsid w:val="257A14F5"/>
    <w:rsid w:val="260D435E"/>
    <w:rsid w:val="26280B3A"/>
    <w:rsid w:val="26C74FDC"/>
    <w:rsid w:val="27196C26"/>
    <w:rsid w:val="273253EF"/>
    <w:rsid w:val="274E2D73"/>
    <w:rsid w:val="27B737CF"/>
    <w:rsid w:val="29424212"/>
    <w:rsid w:val="297840D8"/>
    <w:rsid w:val="297D524A"/>
    <w:rsid w:val="29EF086F"/>
    <w:rsid w:val="2A014A0F"/>
    <w:rsid w:val="2A2B2EF8"/>
    <w:rsid w:val="2B0C214E"/>
    <w:rsid w:val="2B836D64"/>
    <w:rsid w:val="2CB11C4E"/>
    <w:rsid w:val="2DEA55A7"/>
    <w:rsid w:val="2DEB69F1"/>
    <w:rsid w:val="2E1819E5"/>
    <w:rsid w:val="2EFFE297"/>
    <w:rsid w:val="2F000DF7"/>
    <w:rsid w:val="2F2F5238"/>
    <w:rsid w:val="2F6173BC"/>
    <w:rsid w:val="2F7B2DB6"/>
    <w:rsid w:val="2F994DA8"/>
    <w:rsid w:val="2FA15A0A"/>
    <w:rsid w:val="2FAD0853"/>
    <w:rsid w:val="2FC21E4B"/>
    <w:rsid w:val="301437CA"/>
    <w:rsid w:val="312A57B3"/>
    <w:rsid w:val="31B57BDD"/>
    <w:rsid w:val="31CB5BAA"/>
    <w:rsid w:val="32087FC3"/>
    <w:rsid w:val="32791381"/>
    <w:rsid w:val="32957AA8"/>
    <w:rsid w:val="33B2468A"/>
    <w:rsid w:val="33DE58E0"/>
    <w:rsid w:val="346403C4"/>
    <w:rsid w:val="349D1F0A"/>
    <w:rsid w:val="34BE22C9"/>
    <w:rsid w:val="34DD0473"/>
    <w:rsid w:val="36CE17DB"/>
    <w:rsid w:val="37A05395"/>
    <w:rsid w:val="37EC6BDD"/>
    <w:rsid w:val="383E64EC"/>
    <w:rsid w:val="39653912"/>
    <w:rsid w:val="396C5CC6"/>
    <w:rsid w:val="3A3C0ECD"/>
    <w:rsid w:val="3A8D5509"/>
    <w:rsid w:val="3AAC6B47"/>
    <w:rsid w:val="3B4958D4"/>
    <w:rsid w:val="3BF12145"/>
    <w:rsid w:val="3C181CA7"/>
    <w:rsid w:val="3C684897"/>
    <w:rsid w:val="3CB7686D"/>
    <w:rsid w:val="3CED1F0B"/>
    <w:rsid w:val="3D197528"/>
    <w:rsid w:val="3D864BBD"/>
    <w:rsid w:val="3D8D43BC"/>
    <w:rsid w:val="3DA768E2"/>
    <w:rsid w:val="3DE61E54"/>
    <w:rsid w:val="3E104487"/>
    <w:rsid w:val="3E42660A"/>
    <w:rsid w:val="3E7A14AF"/>
    <w:rsid w:val="3F762A0F"/>
    <w:rsid w:val="3FC4377B"/>
    <w:rsid w:val="3FE47979"/>
    <w:rsid w:val="40E1035D"/>
    <w:rsid w:val="41206E52"/>
    <w:rsid w:val="412E7544"/>
    <w:rsid w:val="41497DDC"/>
    <w:rsid w:val="416A64CB"/>
    <w:rsid w:val="41C6204F"/>
    <w:rsid w:val="42026F12"/>
    <w:rsid w:val="42B3339C"/>
    <w:rsid w:val="42C716E4"/>
    <w:rsid w:val="42CB3072"/>
    <w:rsid w:val="43212240"/>
    <w:rsid w:val="433E495C"/>
    <w:rsid w:val="436D2D3C"/>
    <w:rsid w:val="442005DB"/>
    <w:rsid w:val="449E4289"/>
    <w:rsid w:val="45107462"/>
    <w:rsid w:val="451D2804"/>
    <w:rsid w:val="456F68F7"/>
    <w:rsid w:val="459D0B0A"/>
    <w:rsid w:val="45CD7101"/>
    <w:rsid w:val="45D51691"/>
    <w:rsid w:val="46041FB3"/>
    <w:rsid w:val="467625C0"/>
    <w:rsid w:val="471C20EE"/>
    <w:rsid w:val="476E14BB"/>
    <w:rsid w:val="47AD75EE"/>
    <w:rsid w:val="47C65C99"/>
    <w:rsid w:val="488206B9"/>
    <w:rsid w:val="489F2FD7"/>
    <w:rsid w:val="48A00AFD"/>
    <w:rsid w:val="494F4FF5"/>
    <w:rsid w:val="4A58343D"/>
    <w:rsid w:val="4AC27CB3"/>
    <w:rsid w:val="4BDD19BC"/>
    <w:rsid w:val="4BDD5F4B"/>
    <w:rsid w:val="4BF72BEF"/>
    <w:rsid w:val="4C646F19"/>
    <w:rsid w:val="4D9E78F3"/>
    <w:rsid w:val="4E154813"/>
    <w:rsid w:val="4EA053B3"/>
    <w:rsid w:val="4EA74993"/>
    <w:rsid w:val="4F2C42DF"/>
    <w:rsid w:val="4F437C01"/>
    <w:rsid w:val="4FA90297"/>
    <w:rsid w:val="4FC41A43"/>
    <w:rsid w:val="50410FC1"/>
    <w:rsid w:val="518C5431"/>
    <w:rsid w:val="51DB3C59"/>
    <w:rsid w:val="51E335B3"/>
    <w:rsid w:val="520D1996"/>
    <w:rsid w:val="536F43D9"/>
    <w:rsid w:val="53C3212C"/>
    <w:rsid w:val="53E27C24"/>
    <w:rsid w:val="53EA75FE"/>
    <w:rsid w:val="54563E63"/>
    <w:rsid w:val="545F27ED"/>
    <w:rsid w:val="54DC7D1A"/>
    <w:rsid w:val="550C0952"/>
    <w:rsid w:val="55762E42"/>
    <w:rsid w:val="564502F6"/>
    <w:rsid w:val="56680EAC"/>
    <w:rsid w:val="56A417B8"/>
    <w:rsid w:val="56CE4A87"/>
    <w:rsid w:val="56E12A0D"/>
    <w:rsid w:val="57A7B272"/>
    <w:rsid w:val="58470068"/>
    <w:rsid w:val="58481600"/>
    <w:rsid w:val="58747CAC"/>
    <w:rsid w:val="58917B4D"/>
    <w:rsid w:val="58E25576"/>
    <w:rsid w:val="58E65ABE"/>
    <w:rsid w:val="592D126E"/>
    <w:rsid w:val="59376914"/>
    <w:rsid w:val="59965D30"/>
    <w:rsid w:val="59B87359"/>
    <w:rsid w:val="5A1720F9"/>
    <w:rsid w:val="5AE14D89"/>
    <w:rsid w:val="5B7F45A2"/>
    <w:rsid w:val="5B9C37C2"/>
    <w:rsid w:val="5BA7C654"/>
    <w:rsid w:val="5BAD25F6"/>
    <w:rsid w:val="5BBE331C"/>
    <w:rsid w:val="5BD112A2"/>
    <w:rsid w:val="5BE64901"/>
    <w:rsid w:val="5C180F45"/>
    <w:rsid w:val="5C473312"/>
    <w:rsid w:val="5C5B6DBD"/>
    <w:rsid w:val="5CBB0F9F"/>
    <w:rsid w:val="5CBC7D04"/>
    <w:rsid w:val="5D5F28DD"/>
    <w:rsid w:val="5F325FE6"/>
    <w:rsid w:val="60A54109"/>
    <w:rsid w:val="60E47381"/>
    <w:rsid w:val="60E92BEA"/>
    <w:rsid w:val="60F5158E"/>
    <w:rsid w:val="61447E20"/>
    <w:rsid w:val="61D01CDF"/>
    <w:rsid w:val="61F07FA8"/>
    <w:rsid w:val="63EB1668"/>
    <w:rsid w:val="64244519"/>
    <w:rsid w:val="64C0607C"/>
    <w:rsid w:val="656C203B"/>
    <w:rsid w:val="65756C86"/>
    <w:rsid w:val="6603364C"/>
    <w:rsid w:val="66140709"/>
    <w:rsid w:val="674D385B"/>
    <w:rsid w:val="676F09E1"/>
    <w:rsid w:val="68213DB8"/>
    <w:rsid w:val="692D1AE1"/>
    <w:rsid w:val="69315021"/>
    <w:rsid w:val="69564B94"/>
    <w:rsid w:val="69CA3FC5"/>
    <w:rsid w:val="69F75461"/>
    <w:rsid w:val="6A567D3A"/>
    <w:rsid w:val="6A582B8E"/>
    <w:rsid w:val="6B251937"/>
    <w:rsid w:val="6BF32B6E"/>
    <w:rsid w:val="6C532F73"/>
    <w:rsid w:val="6D281A14"/>
    <w:rsid w:val="6E3F55C7"/>
    <w:rsid w:val="6EED1FF5"/>
    <w:rsid w:val="6F1A57AF"/>
    <w:rsid w:val="706D2FBB"/>
    <w:rsid w:val="70A77CBB"/>
    <w:rsid w:val="7100783A"/>
    <w:rsid w:val="71793A80"/>
    <w:rsid w:val="725D6F93"/>
    <w:rsid w:val="7357290B"/>
    <w:rsid w:val="736E51D0"/>
    <w:rsid w:val="73A5381F"/>
    <w:rsid w:val="746C1710"/>
    <w:rsid w:val="753C37D8"/>
    <w:rsid w:val="75B90985"/>
    <w:rsid w:val="75E672A0"/>
    <w:rsid w:val="760F6550"/>
    <w:rsid w:val="772F5588"/>
    <w:rsid w:val="77876861"/>
    <w:rsid w:val="77A613DD"/>
    <w:rsid w:val="78056103"/>
    <w:rsid w:val="78ED7920"/>
    <w:rsid w:val="798524E4"/>
    <w:rsid w:val="79BC1A78"/>
    <w:rsid w:val="7A7F1C49"/>
    <w:rsid w:val="7B0C1F1C"/>
    <w:rsid w:val="7B5B7AE6"/>
    <w:rsid w:val="7B7B6628"/>
    <w:rsid w:val="7BA7071E"/>
    <w:rsid w:val="7BB340C8"/>
    <w:rsid w:val="7BDF6DA8"/>
    <w:rsid w:val="7BDF7589"/>
    <w:rsid w:val="7C155F09"/>
    <w:rsid w:val="7C1D1542"/>
    <w:rsid w:val="7C6D637A"/>
    <w:rsid w:val="7C7EDC1A"/>
    <w:rsid w:val="7CCED98D"/>
    <w:rsid w:val="7CF14CE5"/>
    <w:rsid w:val="7D08410F"/>
    <w:rsid w:val="7D2759BE"/>
    <w:rsid w:val="7D4704B1"/>
    <w:rsid w:val="7D641B1E"/>
    <w:rsid w:val="7DB96DED"/>
    <w:rsid w:val="7DD3AD81"/>
    <w:rsid w:val="7F0B3ECA"/>
    <w:rsid w:val="7F3745C0"/>
    <w:rsid w:val="7F7FE70F"/>
    <w:rsid w:val="7F930498"/>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11146.29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d1a5dec3-d587-4de2-a750-29d6efd828b7}"/>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7.8%</a:t>
                    </a:r>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92.2%</a:t>
                    </a:r>
                  </a:p>
                </c:rich>
              </c:tx>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868.29</c:v>
                </c:pt>
                <c:pt idx="1">
                  <c:v>10288.01</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b272337-5745-485a-b8f4-be2c14451430}"/>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4168</Words>
  <Characters>4994</Characters>
  <Lines>47</Lines>
  <Paragraphs>13</Paragraphs>
  <TotalTime>4</TotalTime>
  <ScaleCrop>false</ScaleCrop>
  <LinksUpToDate>false</LinksUpToDate>
  <CharactersWithSpaces>5044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芳芳</cp:lastModifiedBy>
  <cp:lastPrinted>2020-08-07T11:39:00Z</cp:lastPrinted>
  <dcterms:modified xsi:type="dcterms:W3CDTF">2026-08-19T09:04:50Z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435078ACFECC4A5A8A519EF4C3681114_13</vt:lpwstr>
  </property>
  <property fmtid="{D5CDD505-2E9C-101B-9397-08002B2CF9AE}" pid="4" name="KSOTemplateDocerSaveRecord">
    <vt:lpwstr>eyJoZGlkIjoiYTgxYTRhOTgzNGU0ZDFkMjgxZTUzOGYzNzQ5OGE4NDIiLCJ1c2VySWQiOiIxMzY0Nzk4OTE0In0=</vt:lpwstr>
  </property>
</Properties>
</file>